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COOPER JANET KATHERINE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12/12/2012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12/12/2012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10,965</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4"/>
              <w:spacing w:after="0"/>
              <w:rPr>
                <w:sz w:val="20"/>
                <w:szCs w:val="20"/>
                <w:color w:val="auto"/>
              </w:rPr>
            </w:pPr>
            <w:r>
              <w:rPr>
                <w:rFonts w:ascii="Arial" w:cs="Arial" w:eastAsia="Arial" w:hAnsi="Arial"/>
                <w:sz w:val="18"/>
                <w:szCs w:val="18"/>
                <w:color w:val="0000FF"/>
                <w:w w:val="79"/>
              </w:rPr>
              <w:t>0</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7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12/12/2012</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32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11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10,965</w:t>
            </w:r>
            <w:r>
              <w:rPr>
                <w:rFonts w:ascii="Arial" w:cs="Arial" w:eastAsia="Arial" w:hAnsi="Arial"/>
                <w:sz w:val="22"/>
                <w:szCs w:val="22"/>
                <w:color w:val="008000"/>
                <w:vertAlign w:val="superscript"/>
              </w:rPr>
              <w:t>(1)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22"/>
                <w:szCs w:val="22"/>
                <w:color w:val="auto"/>
              </w:rPr>
            </w:pPr>
          </w:p>
        </w:tc>
        <w:tc>
          <w:tcPr>
            <w:tcW w:w="90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7"/>
              </w:rPr>
              <w:t>10,965</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w w:val="91"/>
              </w:rPr>
              <w:t>Common Stock Units</w:t>
            </w:r>
          </w:p>
        </w:tc>
        <w:tc>
          <w:tcPr>
            <w:tcW w:w="108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6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20,904.823</w:t>
            </w:r>
          </w:p>
        </w:tc>
        <w:tc>
          <w:tcPr>
            <w:tcW w:w="920" w:type="dxa"/>
            <w:vAlign w:val="bottom"/>
            <w:tcBorders>
              <w:top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ind w:left="92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were gifted by the reporting person to a trust for the benefit of the reporting person's spouse and children. The reporting person's spouse is the trustee of the trust. The reporting person disclaims beneficial ownership of these securities, and the filing of this report is not an admission that the reporting person is the beneficial owner of these securities for purposes of Section 16 or any other purpose.</w:t>
      </w:r>
    </w:p>
    <w:tbl>
      <w:tblPr>
        <w:tblLayout w:type="fixed"/>
        <w:tblInd w:w="6860" w:type="dxa"/>
        <w:tblCellMar>
          <w:top w:w="0" w:type="dxa"/>
          <w:left w:w="0" w:type="dxa"/>
          <w:bottom w:w="0" w:type="dxa"/>
          <w:right w:w="0" w:type="dxa"/>
        </w:tblCellMar>
      </w:tblPr>
      <w:tr>
        <w:trPr>
          <w:trHeight w:val="199"/>
        </w:trPr>
        <w:tc>
          <w:tcPr>
            <w:tcW w:w="16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12/17/2012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279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2019-12-17T00:44:37Z</dcterms:created>
  <dcterms:modified xsi:type="dcterms:W3CDTF">2019-12-17T00:44:37Z</dcterms:modified>
</cp:coreProperties>
</file>