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22, 2014</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40"/>
          </w:cols>
          <w:pgMar w:left="240" w:top="544" w:right="199" w:bottom="0"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544" w:right="199" w:bottom="0"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On May 22, 2014, The Toro Company announced its earnings for the three and six months ended May 2, 2014.</w:t>
      </w:r>
    </w:p>
    <w:p>
      <w:pPr>
        <w:spacing w:after="0" w:line="225" w:lineRule="exact"/>
        <w:rPr>
          <w:sz w:val="24"/>
          <w:szCs w:val="24"/>
          <w:color w:val="auto"/>
        </w:rPr>
      </w:pPr>
    </w:p>
    <w:p>
      <w:pPr>
        <w:ind w:left="820" w:right="1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20" w:hanging="502"/>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640" w:type="dxa"/>
            <w:vAlign w:val="bottom"/>
            <w:gridSpan w:val="3"/>
          </w:tcPr>
          <w:p>
            <w:pPr>
              <w:ind w:left="980"/>
              <w:spacing w:after="0"/>
              <w:rPr>
                <w:sz w:val="20"/>
                <w:szCs w:val="20"/>
                <w:color w:val="auto"/>
              </w:rPr>
            </w:pPr>
            <w:r>
              <w:rPr>
                <w:rFonts w:ascii="Arial" w:cs="Arial" w:eastAsia="Arial" w:hAnsi="Arial"/>
                <w:sz w:val="14"/>
                <w:szCs w:val="14"/>
                <w:b w:val="1"/>
                <w:bCs w:val="1"/>
                <w:color w:val="auto"/>
              </w:rPr>
              <w:t>Exhibit No.</w:t>
            </w:r>
          </w:p>
        </w:tc>
        <w:tc>
          <w:tcPr>
            <w:tcW w:w="8600" w:type="dxa"/>
            <w:vAlign w:val="bottom"/>
          </w:tcPr>
          <w:p>
            <w:pPr>
              <w:jc w:val="right"/>
              <w:ind w:right="3856"/>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4"/>
                <w:szCs w:val="14"/>
                <w:color w:val="auto"/>
              </w:rPr>
            </w:pPr>
          </w:p>
        </w:tc>
      </w:tr>
      <w:tr>
        <w:trPr>
          <w:trHeight w:val="224"/>
        </w:trPr>
        <w:tc>
          <w:tcPr>
            <w:tcW w:w="980" w:type="dxa"/>
            <w:vAlign w:val="bottom"/>
          </w:tcPr>
          <w:p>
            <w:pPr>
              <w:spacing w:after="0"/>
              <w:rPr>
                <w:sz w:val="19"/>
                <w:szCs w:val="19"/>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19"/>
                <w:szCs w:val="19"/>
                <w:color w:val="auto"/>
              </w:rPr>
            </w:pPr>
          </w:p>
        </w:tc>
        <w:tc>
          <w:tcPr>
            <w:tcW w:w="8600" w:type="dxa"/>
            <w:vAlign w:val="bottom"/>
            <w:tcBorders>
              <w:top w:val="single" w:sz="8" w:color="auto"/>
            </w:tcBorders>
          </w:tcPr>
          <w:p>
            <w:pPr>
              <w:jc w:val="right"/>
              <w:ind w:right="4536"/>
              <w:spacing w:after="0"/>
              <w:rPr>
                <w:sz w:val="20"/>
                <w:szCs w:val="20"/>
                <w:color w:val="auto"/>
              </w:rPr>
            </w:pPr>
            <w:r>
              <w:rPr>
                <w:rFonts w:ascii="Arial" w:cs="Arial" w:eastAsia="Arial" w:hAnsi="Arial"/>
                <w:sz w:val="18"/>
                <w:szCs w:val="18"/>
                <w:color w:val="auto"/>
                <w:w w:val="89"/>
              </w:rPr>
              <w:t>Press release dated May 22, 2014 (furnished herewith).</w:t>
            </w:r>
          </w:p>
        </w:tc>
        <w:tc>
          <w:tcPr>
            <w:tcW w:w="220" w:type="dxa"/>
            <w:vAlign w:val="bottom"/>
          </w:tcPr>
          <w:p>
            <w:pPr>
              <w:spacing w:after="0"/>
              <w:rPr>
                <w:sz w:val="19"/>
                <w:szCs w:val="19"/>
                <w:color w:val="auto"/>
              </w:rPr>
            </w:pPr>
          </w:p>
        </w:tc>
      </w:tr>
      <w:tr>
        <w:trPr>
          <w:trHeight w:val="418"/>
        </w:trPr>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0" w:type="dxa"/>
            <w:vAlign w:val="bottom"/>
          </w:tcPr>
          <w:p>
            <w:pPr>
              <w:jc w:val="right"/>
              <w:ind w:right="5396"/>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86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20" w:type="dxa"/>
            <w:vAlign w:val="bottom"/>
            <w:gridSpan w:val="2"/>
          </w:tcPr>
          <w:p>
            <w:pPr>
              <w:ind w:left="342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120" w:type="dxa"/>
            <w:vAlign w:val="bottom"/>
            <w:gridSpan w:val="2"/>
          </w:tcPr>
          <w:p>
            <w:pPr>
              <w:ind w:left="342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1920" w:type="dxa"/>
            <w:vAlign w:val="bottom"/>
            <w:gridSpan w:val="2"/>
          </w:tcPr>
          <w:p>
            <w:pPr>
              <w:spacing w:after="0"/>
              <w:rPr>
                <w:sz w:val="20"/>
                <w:szCs w:val="20"/>
                <w:color w:val="auto"/>
              </w:rPr>
            </w:pPr>
            <w:r>
              <w:rPr>
                <w:rFonts w:ascii="Arial" w:cs="Arial" w:eastAsia="Arial" w:hAnsi="Arial"/>
                <w:sz w:val="18"/>
                <w:szCs w:val="18"/>
                <w:color w:val="auto"/>
              </w:rPr>
              <w:t>Date: May 22, 2014</w:t>
            </w:r>
          </w:p>
        </w:tc>
        <w:tc>
          <w:tcPr>
            <w:tcW w:w="380" w:type="dxa"/>
            <w:vAlign w:val="bottom"/>
          </w:tcPr>
          <w:p>
            <w:pPr>
              <w:spacing w:after="0"/>
              <w:rPr>
                <w:sz w:val="24"/>
                <w:szCs w:val="24"/>
                <w:color w:val="auto"/>
              </w:rPr>
            </w:pPr>
          </w:p>
        </w:tc>
        <w:tc>
          <w:tcPr>
            <w:tcW w:w="9120" w:type="dxa"/>
            <w:vAlign w:val="bottom"/>
            <w:gridSpan w:val="2"/>
          </w:tcPr>
          <w:p>
            <w:pPr>
              <w:ind w:left="342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940" w:type="dxa"/>
            <w:vAlign w:val="bottom"/>
          </w:tcPr>
          <w:p>
            <w:pPr>
              <w:ind w:left="3420"/>
              <w:spacing w:after="0" w:line="182" w:lineRule="exact"/>
              <w:rPr>
                <w:sz w:val="20"/>
                <w:szCs w:val="20"/>
                <w:color w:val="auto"/>
              </w:rPr>
            </w:pPr>
            <w:r>
              <w:rPr>
                <w:rFonts w:ascii="Arial" w:cs="Arial" w:eastAsia="Arial" w:hAnsi="Arial"/>
                <w:sz w:val="18"/>
                <w:szCs w:val="18"/>
                <w:color w:val="auto"/>
                <w:w w:val="94"/>
              </w:rPr>
              <w:t>Renee</w:t>
            </w:r>
          </w:p>
        </w:tc>
        <w:tc>
          <w:tcPr>
            <w:tcW w:w="51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20" w:type="dxa"/>
            <w:vAlign w:val="bottom"/>
            <w:gridSpan w:val="2"/>
          </w:tcPr>
          <w:p>
            <w:pPr>
              <w:ind w:left="3420"/>
              <w:spacing w:after="0"/>
              <w:rPr>
                <w:sz w:val="20"/>
                <w:szCs w:val="20"/>
                <w:color w:val="auto"/>
              </w:rPr>
            </w:pPr>
            <w:r>
              <w:rPr>
                <w:rFonts w:ascii="Arial" w:cs="Arial" w:eastAsia="Arial" w:hAnsi="Arial"/>
                <w:sz w:val="18"/>
                <w:szCs w:val="18"/>
                <w:color w:val="auto"/>
              </w:rPr>
              <w:t>Vice President, Treasurer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120" w:type="dxa"/>
            <w:vAlign w:val="bottom"/>
            <w:gridSpan w:val="2"/>
          </w:tcPr>
          <w:p>
            <w:pPr>
              <w:ind w:left="342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320" w:type="dxa"/>
            <w:vAlign w:val="bottom"/>
            <w:gridSpan w:val="2"/>
          </w:tcPr>
          <w:p>
            <w:pPr>
              <w:jc w:val="center"/>
              <w:ind w:left="3170"/>
              <w:spacing w:after="0"/>
              <w:rPr>
                <w:sz w:val="20"/>
                <w:szCs w:val="20"/>
                <w:color w:val="auto"/>
              </w:rPr>
            </w:pPr>
            <w:r>
              <w:rPr>
                <w:rFonts w:ascii="Arial" w:cs="Arial" w:eastAsia="Arial" w:hAnsi="Arial"/>
                <w:sz w:val="18"/>
                <w:szCs w:val="18"/>
                <w:color w:val="auto"/>
                <w:w w:val="99"/>
              </w:rPr>
              <w:t>4</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9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912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2"/>
          </w:tcPr>
          <w:p>
            <w:pPr>
              <w:jc w:val="center"/>
              <w:ind w:right="219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3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180" w:type="dxa"/>
            <w:vAlign w:val="bottom"/>
          </w:tcPr>
          <w:p>
            <w:pPr>
              <w:ind w:left="1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19"/>
                <w:szCs w:val="19"/>
                <w:color w:val="auto"/>
              </w:rPr>
            </w:pPr>
          </w:p>
        </w:tc>
        <w:tc>
          <w:tcPr>
            <w:tcW w:w="9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May 22, 2014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320" w:type="dxa"/>
            <w:vAlign w:val="bottom"/>
            <w:gridSpan w:val="2"/>
          </w:tcPr>
          <w:p>
            <w:pPr>
              <w:jc w:val="center"/>
              <w:ind w:left="3170"/>
              <w:spacing w:after="0"/>
              <w:rPr>
                <w:sz w:val="20"/>
                <w:szCs w:val="20"/>
                <w:color w:val="auto"/>
              </w:rPr>
            </w:pPr>
            <w:r>
              <w:rPr>
                <w:rFonts w:ascii="Arial" w:cs="Arial" w:eastAsia="Arial" w:hAnsi="Arial"/>
                <w:sz w:val="18"/>
                <w:szCs w:val="18"/>
                <w:color w:val="auto"/>
                <w:w w:val="99"/>
              </w:rPr>
              <w:t>5</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9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394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71880"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Amy Dahl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Corporate Communications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887-8917, amy.dahl@toro.com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Record Second Quarter Results</w:t>
      </w:r>
    </w:p>
    <w:p>
      <w:pPr>
        <w:spacing w:after="0" w:line="22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Company achieves record second quarter sales of $745 million, a 6 percent increase, driven by strong demand for professional segment products</w:t>
      </w:r>
    </w:p>
    <w:p>
      <w:pPr>
        <w:spacing w:after="0" w:line="34" w:lineRule="exact"/>
        <w:rPr>
          <w:rFonts w:ascii="Arial" w:cs="Arial" w:eastAsia="Arial" w:hAnsi="Arial"/>
          <w:sz w:val="17"/>
          <w:szCs w:val="17"/>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net earnings increase 14 percent to a record $1.51 per share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Toro Company to celebrate the significant milestone of 100 years in business on July 10, 2014</w:t>
      </w:r>
    </w:p>
    <w:p>
      <w:pPr>
        <w:spacing w:after="0" w:line="21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BLOOMINGTON, Minn. (May 22, 2014) — The Toro Company (NYSE: TTC) today reported net earnings of $87.1 million, or $1.51 per share, on a net sales increase of 5.8 percent to $745 million for its fiscal 2014 second quarter ended May 2, 2014. In the comparable fiscal 2013 period, the company delivered net earnings of $78.4 million, or $1.32 per share, on net sales of $704.5 million.</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“I’m proud of our team’s execution that delivered record sales and earnings for the quarter despite challenging spring weather conditions for the second straight year,” said Michael J. Hoffman, Toro’s chairman and chief executive officer. “Although retail sales of some residential products were hampered by the late spring, we experienced strong growth in our landscape maintenance business. Contractors who benefited from the robust snow season last winter invested in more new turf equipment during the quarter, favoring our productivity-enhancing mowers. In addition, shipments of golf equipment and irrigation products increased due to channel demand for our innovative new product offerings, including the recently introduced INFINITY™ sprinklers.”</w:t>
      </w:r>
    </w:p>
    <w:p>
      <w:pPr>
        <w:spacing w:after="0" w:line="15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the first six months, Toro reported net earnings of $113 million, or $1.95 per share, on a net sales increase of 3.6 percent to $1.191 billion. In the comparable fiscal 2013 period, the company posted net earnings of $109.8 million, or $1.85 per share, on net sales of $1.149 billion. Strong retail demand for snow products and landscape maintenance equipment, as well as contributions from its micro irrigation, construction and rental businesses, helped the company to surpass sales and earnings earned in the comparable fiscal 2013 period, which benefited from the Tier 4 diesel engine transition.</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we approach our Centennial and look ahead to the end of our Destination 2014 journey, we remain encouraged about both our business and prospects for achieving our goals,” said Hoffman. “Our portfolio of innovative products has us well-positioned to drive retail sales and strengthen our market share. We will keep a watchful eye on retail demand and field inventories across our businesses and make any necessary adjustments. In addition, we will benefit from increased pre-season snowthrower shipments, primarily in the fourth quarter, that are needed to replenish inventories diminished by strong customer demand last winter. As we strive to achieve our operating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earnings goal, we will continue to pursue productivity improvements to leverage expenses and expand margins. While focused on things within our control, we remain mindful that Mother Nature may not deliver favorable summer growing conditions again this year or economic conditions may change, either of which could create potential challenges for our businesses and customers.”</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continues to expect revenue growth for fiscal 2014 to be about 5 to 6 percent, and net earnings per share to be about $2.90 to $2.95. For the third quarter, the company expects net earnings per share to be about $0.82.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7" w:lineRule="exact"/>
        <w:rPr>
          <w:sz w:val="20"/>
          <w:szCs w:val="20"/>
          <w:color w:val="auto"/>
        </w:rPr>
      </w:pPr>
    </w:p>
    <w:p>
      <w:pPr>
        <w:ind w:left="340" w:right="120" w:hanging="332"/>
        <w:spacing w:after="0" w:line="281" w:lineRule="auto"/>
        <w:tabs>
          <w:tab w:leader="none" w:pos="304"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Professional segment net sales for the second quarter totaled $528.6 million, up 6.5 percent from the comparable fiscal 2013 period. Sales of landscape maintenance equipment increased on strong retail demand, including for our zero turn radius mowers. Golf equipment and irrigation product sales were up due to channel optimism and demand for new product offerings, including the INFINITY™ sprinklers and Multi Pro® advanced spraying system.</w:t>
      </w:r>
    </w:p>
    <w:p>
      <w:pPr>
        <w:spacing w:after="0" w:line="2" w:lineRule="exact"/>
        <w:rPr>
          <w:rFonts w:ascii="Arial" w:cs="Arial" w:eastAsia="Arial" w:hAnsi="Arial"/>
          <w:sz w:val="16"/>
          <w:szCs w:val="16"/>
          <w:color w:val="auto"/>
        </w:rPr>
      </w:pPr>
    </w:p>
    <w:p>
      <w:pPr>
        <w:ind w:left="340" w:right="200"/>
        <w:spacing w:after="0" w:line="292" w:lineRule="auto"/>
        <w:rPr>
          <w:rFonts w:ascii="Arial" w:cs="Arial" w:eastAsia="Arial" w:hAnsi="Arial"/>
          <w:sz w:val="16"/>
          <w:szCs w:val="16"/>
          <w:color w:val="auto"/>
        </w:rPr>
      </w:pPr>
      <w:r>
        <w:rPr>
          <w:rFonts w:ascii="Arial" w:cs="Arial" w:eastAsia="Arial" w:hAnsi="Arial"/>
          <w:sz w:val="16"/>
          <w:szCs w:val="16"/>
          <w:color w:val="auto"/>
        </w:rPr>
        <w:t>Global micro irrigation sales increased with continued demand for more efficient solutions for agriculture and construction and rental equipment sales grew on channel demand for Toro® branded products. Slightly offsetting these increases were lower sales of professional products in international markets. For the first six months, professional segment net sales were $824 million, essentially flat with the comparable fiscal 2013 period. Sales benefited from strong retail demand for landscape maintenance equipment and increased demand for micro irrigation, construction and rental products, but were offset by sales in the first quarter of last fiscal year that benefited from the Tier 4 diesel engine transition and were not repeated this year.</w:t>
      </w:r>
    </w:p>
    <w:p>
      <w:pPr>
        <w:spacing w:after="0" w:line="162" w:lineRule="exact"/>
        <w:rPr>
          <w:rFonts w:ascii="Arial" w:cs="Arial" w:eastAsia="Arial" w:hAnsi="Arial"/>
          <w:sz w:val="16"/>
          <w:szCs w:val="16"/>
          <w:color w:val="auto"/>
        </w:rPr>
      </w:pPr>
    </w:p>
    <w:p>
      <w:pPr>
        <w:ind w:left="340" w:right="560" w:hanging="332"/>
        <w:spacing w:after="0" w:line="308"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Professional segment earnings for the second quarter totaled $122.4 million, up 9 percent from the comparable fiscal 2013 period. For the first six months, professional segment earnings were $169.8 million, down 1.8 percent from the comparable fiscal 2013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ectPr>
          <w:pgSz w:w="11900" w:h="16838" w:orient="portrait"/>
          <w:cols w:equalWidth="0" w:num="1">
            <w:col w:w="11420"/>
          </w:cols>
          <w:pgMar w:left="240" w:top="121" w:right="239" w:bottom="0" w:gutter="0" w:footer="0" w:header="0"/>
        </w:sectPr>
      </w:pPr>
    </w:p>
    <w:bookmarkStart w:id="3" w:name="page4"/>
    <w:bookmarkEnd w:id="3"/>
    <w:p>
      <w:pPr>
        <w:spacing w:after="0" w:line="88" w:lineRule="exact"/>
        <w:rPr>
          <w:sz w:val="20"/>
          <w:szCs w:val="20"/>
          <w:color w:val="auto"/>
        </w:rPr>
      </w:pPr>
    </w:p>
    <w:p>
      <w:pPr>
        <w:ind w:left="340" w:right="20" w:hanging="332"/>
        <w:spacing w:after="0" w:line="254"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segment net sales for the second quarter totaled $210.4 million, up 4.5 percent from the comparable fiscal 2013 period. Sales increased due to stronger domestic retail demand for our residential zero turn mowing products, as customers continued to transition to this mowing platform. International demand for walk power mowers, as well as domestic demand for electric blowers and trimmers, also benefited sales for the quarter. Offsetting these increases were lower shipments of domestic walk power mowers and decreased sales in Australia due to unfavorable currency exchange and weather conditions. For the first six months, residential segment net sales were $357.9 million, up 11 percent from the comparable fiscal 2013 period. Sales for the period increased on strong retail demand for our snow products, primarily in the first quarter, due to significant snowfall across key North American markets, as well as increased channel and retail demand for residential zero turn mowing products and international demand for walk power mowers.</w:t>
      </w:r>
    </w:p>
    <w:p>
      <w:pPr>
        <w:spacing w:after="0" w:line="192" w:lineRule="exact"/>
        <w:rPr>
          <w:rFonts w:ascii="Arial" w:cs="Arial" w:eastAsia="Arial" w:hAnsi="Arial"/>
          <w:sz w:val="18"/>
          <w:szCs w:val="18"/>
          <w:color w:val="auto"/>
        </w:rPr>
      </w:pPr>
    </w:p>
    <w:p>
      <w:pPr>
        <w:ind w:left="340" w:right="380" w:hanging="332"/>
        <w:spacing w:after="0" w:line="277"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segment earnings for the second quarter totaled $23.8 million, down 3.5 percent from the comparable fiscal 2013 period. For the first six months, residential segment earnings were $42 million, up 13.9 percent from the comparable fiscal 2013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Gross margin for the second quarter was 35.5 percent, a decrease of 30 basis points compared to the same fiscal 2013 period, primarily due to higher commodity costs and unfavorable currency exchange rates, somewhat offset by realized pricing. For the first six months, gross margin was 35.9 percent, a decrease of 50 basis points, primarily due to higher commodity costs, segment mix and unfavorable currency exchange rates, somewhat offset by realized pricing.</w:t>
      </w:r>
    </w:p>
    <w:p>
      <w:pPr>
        <w:spacing w:after="0" w:line="18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Selling, general and administrative (SG&amp;A) expense as a percent of sales for the second quarter was 17.9 percent, a decrease of 120 basis points compared to the same fiscal 2013 period. For the first six months, SG&amp;A expense as a percent of sales was 21.5 percent, a decrease of 60 basis points. For both periods, the decrease primarily was due to lower administrative expense, including health care costs, somewhat offset by higher incentive expense.</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Second quarter operating earnings as a percent of sales improved 90 basis points to 17.6 percent compared to the same fiscal 2013 period. For the first six months, operating earnings as a percentage of sales improved 10 basis points to 14.4 percent.</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effective tax rate for the second quarter was 32.6 percent, which is the same as the effective tax rate for the comparable fiscal 2013 period. For the first six months, the effective tax rate increased to 32.7 percent from 31.3 percent in the comparable fiscal 2013 period when the company benefited from the retroactive reinstatement of the Federal Research and Engineering Tax Credit in the first quarter.</w:t>
      </w:r>
    </w:p>
    <w:p>
      <w:pPr>
        <w:spacing w:after="0" w:line="18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Accounts receivable at the end of the second quarter totaled $313.5 million, up 1.9 percent from the same fiscal 2013 period. Net inventories were $302.5 million, down 2.4 percent from the same period last year. Trade payables were $236 million, up 15.8 percent compared to the same fiscal 2013 period, primarily due to recent component and commodity purchases in anticipation of product demand in the second half of our fiscal year.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7"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The Toro Company (NYSE: TTC) is a leading worldwide provider of innovative turf, landscape, rental and construction equipment, and irrigation and outdoor lighting solutions. With sales of more than $2 billion in fiscal 2013, Toro’s global presence extends to more than 90 countries through strong relationships built on integrity and trust, constant innovation and a commitment to helping customers enrich the beauty, productivity and sustainability of the land. Since 1914, the company has built a tradition of excellence around a number of strong brands to help customers care for golf courses, sports fields, public green spaces, commercial and residential properties and agricultural fields. More information is available at www.thetorocompany.com.</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22, 2014 at 10:00 a.m. CDT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21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color w:val="auto"/>
        </w:rPr>
        <w:t>The Toro Company will conduct its earnings call and webcast for investors beginning at 10:00 a.m. CDT on May 22, 2014.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news release contains forward-looking statements, which are being made pursuant to the safe harbor provisions of the Private Securities Litigation Reform Act of 1995. These forward-looking statements are based on management’s current expectations of future events, and often can be identified by words such as “expect,” “strive,” “looking ahead,” “outlook,” “guidance,” “forecast,” “goal,” “optimistic,” “anticipate,” “continue,” “plan,” “estimate,” “project,” “believe,” “should,” “could,” “will,” “would,” “possible,” “may,” “likely,” “intend,” and similar expressions or future dates. Forward-looking statements involve risks and uncertainties that could cause actual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raw materials and components, including steel, engines, hydraulics and resins; the impact of abnormal weather patterns, including unfavorable weather conditions exacerbated by global climate change 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operations and markets, including political, economic and/or social instability and tax policies in the countries in which we manufacture or sell our products; foreign currency exchange rate fluctuations; our relationships with our distribution channel partners, including the financial viability of our distributors and dealers; risks associated with acquisitions; management of our alliances or joint ventures, including Red Iron Acceptance, LLC; the costs and effects of enactment of, changes in and compliance with laws, regulations and standards, including those relating to consumer product safety, Tier 4 emissions requirements, conflict mineral disclosure, taxation, healthcare, and environmental, health and safety matters; unforeseen product quality problems; loss of or changes in executive management or key employees; interruption of our management information systems, including by</w:t>
      </w:r>
    </w:p>
    <w:p>
      <w:pPr>
        <w:sectPr>
          <w:pgSz w:w="11900" w:h="16927" w:orient="portrait"/>
          <w:cols w:equalWidth="0" w:num="1">
            <w:col w:w="11420"/>
          </w:cols>
          <w:pgMar w:left="240" w:top="125" w:right="239" w:bottom="0" w:gutter="0" w:footer="0" w:header="0"/>
        </w:sectPr>
      </w:pPr>
    </w:p>
    <w:bookmarkStart w:id="4" w:name="page5"/>
    <w:bookmarkEnd w:id="4"/>
    <w:p>
      <w:pPr>
        <w:ind w:right="160"/>
        <w:spacing w:after="0" w:line="259" w:lineRule="auto"/>
        <w:rPr>
          <w:sz w:val="20"/>
          <w:szCs w:val="20"/>
          <w:color w:val="auto"/>
        </w:rPr>
      </w:pPr>
      <w:r>
        <w:rPr>
          <w:rFonts w:ascii="Arial" w:cs="Arial" w:eastAsia="Arial" w:hAnsi="Arial"/>
          <w:sz w:val="18"/>
          <w:szCs w:val="18"/>
          <w:color w:val="auto"/>
        </w:rPr>
        <w:t>unauthorized access, security breaches, cyber attacks or other disruptive events;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undertake no obligation to update forward-looking statements made herein to reflect events or circumstances after the date hereof.</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tables follow)</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5"/>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May 2,</w:t>
            </w: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74"/>
              <w:spacing w:after="0" w:line="119" w:lineRule="exact"/>
              <w:rPr>
                <w:sz w:val="20"/>
                <w:szCs w:val="20"/>
                <w:color w:val="auto"/>
              </w:rPr>
            </w:pPr>
            <w:r>
              <w:rPr>
                <w:rFonts w:ascii="Arial" w:cs="Arial" w:eastAsia="Arial" w:hAnsi="Arial"/>
                <w:sz w:val="13"/>
                <w:szCs w:val="13"/>
                <w:b w:val="1"/>
                <w:bCs w:val="1"/>
                <w:color w:val="auto"/>
              </w:rPr>
              <w:t>May 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jc w:val="right"/>
              <w:ind w:right="740"/>
              <w:spacing w:after="0" w:line="119" w:lineRule="exact"/>
              <w:rPr>
                <w:sz w:val="20"/>
                <w:szCs w:val="20"/>
                <w:color w:val="auto"/>
              </w:rPr>
            </w:pPr>
            <w:r>
              <w:rPr>
                <w:rFonts w:ascii="Arial" w:cs="Arial" w:eastAsia="Arial" w:hAnsi="Arial"/>
                <w:sz w:val="13"/>
                <w:szCs w:val="13"/>
                <w:b w:val="1"/>
                <w:bCs w:val="1"/>
                <w:color w:val="auto"/>
              </w:rPr>
              <w:t>May 2,</w:t>
            </w:r>
          </w:p>
        </w:tc>
        <w:tc>
          <w:tcPr>
            <w:tcW w:w="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374"/>
              <w:spacing w:after="0" w:line="119" w:lineRule="exact"/>
              <w:rPr>
                <w:sz w:val="20"/>
                <w:szCs w:val="20"/>
                <w:color w:val="auto"/>
              </w:rPr>
            </w:pPr>
            <w:r>
              <w:rPr>
                <w:rFonts w:ascii="Arial" w:cs="Arial" w:eastAsia="Arial" w:hAnsi="Arial"/>
                <w:sz w:val="13"/>
                <w:szCs w:val="13"/>
                <w:b w:val="1"/>
                <w:bCs w:val="1"/>
                <w:color w:val="auto"/>
              </w:rPr>
              <w:t>May 3,</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745,030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704,486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1,191,011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1,149,147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264,540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252,301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428,054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418,118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percent</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133,661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134,830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256,577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254,443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earnings</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130,879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117,471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171,477</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163,675</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(3,683)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(4,149)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(7,436)</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(8,398)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129,116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167,871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159,715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42,030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54,916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earnings</w:t>
            </w:r>
          </w:p>
        </w:tc>
        <w:tc>
          <w:tcPr>
            <w:tcW w:w="4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87,086</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78,402</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112,955</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109,798</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Basic net earnings per share</w:t>
            </w:r>
          </w:p>
        </w:tc>
        <w:tc>
          <w:tcPr>
            <w:tcW w:w="100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22"/>
                <w:szCs w:val="22"/>
                <w:color w:val="auto"/>
              </w:rPr>
            </w:pPr>
          </w:p>
        </w:tc>
        <w:tc>
          <w:tcPr>
            <w:tcW w:w="28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22"/>
                <w:szCs w:val="22"/>
                <w:color w:val="auto"/>
              </w:rPr>
            </w:pPr>
          </w:p>
        </w:tc>
        <w:tc>
          <w:tcPr>
            <w:tcW w:w="3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22"/>
                <w:szCs w:val="22"/>
                <w:color w:val="auto"/>
              </w:rPr>
            </w:pPr>
          </w:p>
        </w:tc>
        <w:tc>
          <w:tcPr>
            <w:tcW w:w="460" w:type="dxa"/>
            <w:vAlign w:val="bottom"/>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Diluted net earnings per share</w:t>
            </w:r>
          </w:p>
        </w:tc>
        <w:tc>
          <w:tcPr>
            <w:tcW w:w="100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2"/>
                <w:szCs w:val="22"/>
                <w:color w:val="auto"/>
              </w:rPr>
            </w:pPr>
          </w:p>
        </w:tc>
        <w:tc>
          <w:tcPr>
            <w:tcW w:w="28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22"/>
                <w:szCs w:val="22"/>
                <w:color w:val="auto"/>
              </w:rPr>
            </w:pPr>
          </w:p>
        </w:tc>
        <w:tc>
          <w:tcPr>
            <w:tcW w:w="3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22"/>
                <w:szCs w:val="22"/>
                <w:color w:val="auto"/>
              </w:rPr>
            </w:pPr>
          </w:p>
        </w:tc>
        <w:tc>
          <w:tcPr>
            <w:tcW w:w="460" w:type="dxa"/>
            <w:vAlign w:val="bottom"/>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60" w:type="dxa"/>
            <w:vAlign w:val="bottom"/>
            <w:gridSpan w:val="3"/>
          </w:tcPr>
          <w:p>
            <w:pPr>
              <w:spacing w:after="0" w:line="201" w:lineRule="exact"/>
              <w:rPr>
                <w:sz w:val="20"/>
                <w:szCs w:val="20"/>
                <w:color w:val="auto"/>
              </w:rPr>
            </w:pPr>
            <w:r>
              <w:rPr>
                <w:rFonts w:ascii="Arial" w:cs="Arial" w:eastAsia="Arial" w:hAnsi="Arial"/>
                <w:sz w:val="18"/>
                <w:szCs w:val="18"/>
                <w:color w:val="auto"/>
                <w:w w:val="98"/>
              </w:rPr>
              <w:t>Weighted average number of shares of common stock</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outstanding — Basic</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56,493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58,132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56,758</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58,308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60" w:type="dxa"/>
            <w:vAlign w:val="bottom"/>
            <w:gridSpan w:val="3"/>
          </w:tcPr>
          <w:p>
            <w:pPr>
              <w:spacing w:after="0" w:line="201" w:lineRule="exact"/>
              <w:rPr>
                <w:sz w:val="20"/>
                <w:szCs w:val="20"/>
                <w:color w:val="auto"/>
              </w:rPr>
            </w:pPr>
            <w:r>
              <w:rPr>
                <w:rFonts w:ascii="Arial" w:cs="Arial" w:eastAsia="Arial" w:hAnsi="Arial"/>
                <w:sz w:val="18"/>
                <w:szCs w:val="18"/>
                <w:color w:val="auto"/>
                <w:w w:val="98"/>
              </w:rPr>
              <w:t>Weighted average number of shares of common stock</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outstanding — Diluted</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57,773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59,257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58,040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59,444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40" w:type="dxa"/>
            <w:vAlign w:val="bottom"/>
            <w:gridSpan w:val="8"/>
          </w:tcPr>
          <w:p>
            <w:pPr>
              <w:jc w:val="right"/>
              <w:ind w:right="90"/>
              <w:spacing w:after="0"/>
              <w:rPr>
                <w:sz w:val="20"/>
                <w:szCs w:val="20"/>
                <w:color w:val="auto"/>
              </w:rPr>
            </w:pPr>
            <w:r>
              <w:rPr>
                <w:rFonts w:ascii="Arial" w:cs="Arial" w:eastAsia="Arial" w:hAnsi="Arial"/>
                <w:sz w:val="18"/>
                <w:szCs w:val="18"/>
                <w:b w:val="1"/>
                <w:bCs w:val="1"/>
                <w:color w:val="auto"/>
              </w:rPr>
              <w:t>Segment Data (Unaudited)</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4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w w:val="96"/>
              </w:rPr>
              <w:t>(Dollars in thousands)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9"/>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Net Sales</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May 2,</w:t>
            </w: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May 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May 2,</w:t>
            </w:r>
          </w:p>
        </w:tc>
        <w:tc>
          <w:tcPr>
            <w:tcW w:w="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May 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right="196"/>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2013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Professional</w:t>
            </w: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528,561</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496,436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824,029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825,580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210,377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201,390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357,947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322,337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6,660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9,035</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1,230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w:t>
            </w:r>
          </w:p>
        </w:tc>
        <w:tc>
          <w:tcPr>
            <w:tcW w:w="4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745,030</w:t>
            </w:r>
          </w:p>
        </w:tc>
        <w:tc>
          <w:tcPr>
            <w:tcW w:w="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704,486</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gridSpan w:val="2"/>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1,191,011</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1,149,147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0" w:type="dxa"/>
            <w:vAlign w:val="bottom"/>
            <w:gridSpan w:val="2"/>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11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11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1000" w:type="dxa"/>
            <w:vAlign w:val="bottom"/>
            <w:gridSpan w:val="3"/>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205,117</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212,005</w:t>
            </w:r>
          </w:p>
        </w:tc>
        <w:tc>
          <w:tcPr>
            <w:tcW w:w="3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356,380</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353,596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9"/>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Earnings (Loss) Before Income Taxes</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May 2,</w:t>
            </w: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May 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May 2,</w:t>
            </w:r>
          </w:p>
        </w:tc>
        <w:tc>
          <w:tcPr>
            <w:tcW w:w="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May 3,</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right="196"/>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2013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Professional</w:t>
            </w: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122,367</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112,275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169,830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173,013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23,822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24,679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41,956</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36,833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(17,073)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(20,637)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(43,915)</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(50,131)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129,116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116,317</w:t>
            </w:r>
          </w:p>
        </w:tc>
        <w:tc>
          <w:tcPr>
            <w:tcW w:w="1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167,871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159,715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84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2,</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3,</w:t>
            </w: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4980" w:type="dxa"/>
            <w:vAlign w:val="bottom"/>
            <w:tcBorders>
              <w:bottom w:val="single" w:sz="8" w:color="CCEEFF"/>
            </w:tcBorders>
            <w:shd w:val="clear" w:color="auto" w:fill="CCEEFF"/>
          </w:tcPr>
          <w:p>
            <w:pPr>
              <w:spacing w:after="0"/>
              <w:rPr>
                <w:sz w:val="15"/>
                <w:szCs w:val="15"/>
                <w:color w:val="auto"/>
              </w:rPr>
            </w:pPr>
          </w:p>
        </w:tc>
        <w:tc>
          <w:tcPr>
            <w:tcW w:w="26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129,909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80,341</w:t>
            </w: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313,489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307,770</w:t>
            </w: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302,477</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309,998</w:t>
            </w: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29,218</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30,434</w:t>
            </w: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39,261</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62,768</w:t>
            </w: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814,354</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791,311</w:t>
            </w:r>
          </w:p>
        </w:tc>
        <w:tc>
          <w:tcPr>
            <w:tcW w:w="10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460"/>
          </w:cols>
          <w:pgMar w:left="240" w:top="125" w:right="1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192,751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25,942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other assets, net</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146,199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23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1,179,246</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1,114,954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80" w:type="dxa"/>
            <w:vAlign w:val="bottom"/>
            <w:gridSpan w:val="2"/>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8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235,971</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203,710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302,515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294,648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current liabilities</w:t>
            </w:r>
          </w:p>
        </w:tc>
        <w:tc>
          <w:tcPr>
            <w:tcW w:w="23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538,626</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498,608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223,855</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223,513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10,891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5,969</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14,355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385,550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373,043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1,179,246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1,114,954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368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rPr>
              <w:t>May 2,</w:t>
            </w:r>
          </w:p>
        </w:tc>
        <w:tc>
          <w:tcPr>
            <w:tcW w:w="440" w:type="dxa"/>
            <w:vAlign w:val="bottom"/>
          </w:tcPr>
          <w:p>
            <w:pPr>
              <w:spacing w:after="0"/>
              <w:rPr>
                <w:sz w:val="10"/>
                <w:szCs w:val="10"/>
                <w:color w:val="auto"/>
              </w:rPr>
            </w:pPr>
          </w:p>
        </w:tc>
        <w:tc>
          <w:tcPr>
            <w:tcW w:w="920" w:type="dxa"/>
            <w:vAlign w:val="bottom"/>
          </w:tcPr>
          <w:p>
            <w:pPr>
              <w:jc w:val="right"/>
              <w:ind w:right="391"/>
              <w:spacing w:after="0" w:line="119" w:lineRule="exact"/>
              <w:rPr>
                <w:sz w:val="20"/>
                <w:szCs w:val="20"/>
                <w:color w:val="auto"/>
              </w:rPr>
            </w:pPr>
            <w:r>
              <w:rPr>
                <w:rFonts w:ascii="Arial" w:cs="Arial" w:eastAsia="Arial" w:hAnsi="Arial"/>
                <w:sz w:val="13"/>
                <w:szCs w:val="13"/>
                <w:b w:val="1"/>
                <w:bCs w:val="1"/>
                <w:color w:val="auto"/>
              </w:rPr>
              <w:t>May 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112,955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109,798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Noncash income from finance affiliate</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(3,377)</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and amortization</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26,589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5,051</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deferred income taxes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(156,423)</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(160,534)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(62,072)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4,285</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150,836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77,949</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(32,682)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to finance affiliate, net</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(4,868)</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Acquisition, net of cash acquired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(715)</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Repayments of short-term debt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(849)</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(repayments of) long-term debt</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6,657</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(81,694)</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(50,499)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(22,670)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(93,736)</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(57,676)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853</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(53,084)</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182,993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129,909</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740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5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2019-12-05T20:17:55Z</dcterms:created>
  <dcterms:modified xsi:type="dcterms:W3CDTF">2019-12-05T20:17:55Z</dcterms:modified>
</cp:coreProperties>
</file>