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0"/>
        </w:trPr>
        <w:tc>
          <w:tcPr>
            <w:tcW w:w="8720" w:type="dxa"/>
            <w:vAlign w:val="bottom"/>
            <w:tcBorders>
              <w:right w:val="single" w:sz="8" w:color="auto"/>
            </w:tcBorders>
            <w:vMerge w:val="restart"/>
          </w:tcPr>
          <w:p>
            <w:pPr>
              <w:jc w:val="center"/>
              <w:ind w:left="2521"/>
              <w:spacing w:after="0"/>
              <w:rPr>
                <w:sz w:val="20"/>
                <w:szCs w:val="20"/>
                <w:color w:val="auto"/>
              </w:rPr>
            </w:pPr>
            <w:r>
              <w:rPr>
                <w:rFonts w:ascii="Arial" w:cs="Arial" w:eastAsia="Arial" w:hAnsi="Arial"/>
                <w:sz w:val="22"/>
                <w:szCs w:val="22"/>
                <w:b w:val="1"/>
                <w:bCs w:val="1"/>
                <w:color w:val="auto"/>
                <w:w w:val="97"/>
              </w:rPr>
              <w:t>UNITED STATES</w:t>
            </w:r>
          </w:p>
        </w:tc>
        <w:tc>
          <w:tcPr>
            <w:tcW w:w="2700" w:type="dxa"/>
            <w:vAlign w:val="bottom"/>
            <w:tcBorders>
              <w:top w:val="single" w:sz="8" w:color="auto"/>
              <w:bottom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96"/>
        </w:trPr>
        <w:tc>
          <w:tcPr>
            <w:tcW w:w="8720" w:type="dxa"/>
            <w:vAlign w:val="bottom"/>
            <w:tcBorders>
              <w:right w:val="single" w:sz="8" w:color="auto"/>
            </w:tcBorders>
            <w:vMerge w:val="continue"/>
          </w:tcPr>
          <w:p>
            <w:pPr>
              <w:spacing w:after="0"/>
              <w:rPr>
                <w:sz w:val="17"/>
                <w:szCs w:val="17"/>
                <w:color w:val="auto"/>
              </w:rPr>
            </w:pPr>
          </w:p>
        </w:tc>
        <w:tc>
          <w:tcPr>
            <w:tcW w:w="270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OMB Number: 3235-0145</w:t>
            </w:r>
          </w:p>
        </w:tc>
        <w:tc>
          <w:tcPr>
            <w:tcW w:w="0" w:type="dxa"/>
            <w:vAlign w:val="bottom"/>
          </w:tcPr>
          <w:p>
            <w:pPr>
              <w:spacing w:after="0"/>
              <w:rPr>
                <w:sz w:val="1"/>
                <w:szCs w:val="1"/>
                <w:color w:val="auto"/>
              </w:rPr>
            </w:pPr>
          </w:p>
        </w:tc>
      </w:tr>
      <w:tr>
        <w:trPr>
          <w:trHeight w:val="27"/>
        </w:trPr>
        <w:tc>
          <w:tcPr>
            <w:tcW w:w="8720" w:type="dxa"/>
            <w:vAlign w:val="bottom"/>
            <w:tcBorders>
              <w:right w:val="single" w:sz="8" w:color="auto"/>
            </w:tcBorders>
            <w:vMerge w:val="restart"/>
          </w:tcPr>
          <w:p>
            <w:pPr>
              <w:jc w:val="center"/>
              <w:ind w:left="2521"/>
              <w:spacing w:after="0"/>
              <w:rPr>
                <w:sz w:val="20"/>
                <w:szCs w:val="20"/>
                <w:color w:val="auto"/>
              </w:rPr>
            </w:pPr>
            <w:r>
              <w:rPr>
                <w:rFonts w:ascii="Arial" w:cs="Arial" w:eastAsia="Arial" w:hAnsi="Arial"/>
                <w:sz w:val="22"/>
                <w:szCs w:val="22"/>
                <w:b w:val="1"/>
                <w:bCs w:val="1"/>
                <w:color w:val="auto"/>
                <w:w w:val="99"/>
              </w:rPr>
              <w:t>SECURITIES AND EXCHANGE COMMISSION</w:t>
            </w:r>
          </w:p>
        </w:tc>
        <w:tc>
          <w:tcPr>
            <w:tcW w:w="2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720" w:type="dxa"/>
            <w:vAlign w:val="bottom"/>
            <w:tcBorders>
              <w:right w:val="single" w:sz="8" w:color="auto"/>
            </w:tcBorders>
            <w:vMerge w:val="continue"/>
          </w:tcPr>
          <w:p>
            <w:pPr>
              <w:spacing w:after="0"/>
              <w:rPr>
                <w:sz w:val="19"/>
                <w:szCs w:val="19"/>
                <w:color w:val="auto"/>
              </w:rPr>
            </w:pPr>
          </w:p>
        </w:tc>
        <w:tc>
          <w:tcPr>
            <w:tcW w:w="2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Expires: February 28, 2009</w:t>
            </w:r>
          </w:p>
        </w:tc>
        <w:tc>
          <w:tcPr>
            <w:tcW w:w="0" w:type="dxa"/>
            <w:vAlign w:val="bottom"/>
          </w:tcPr>
          <w:p>
            <w:pPr>
              <w:spacing w:after="0"/>
              <w:rPr>
                <w:sz w:val="1"/>
                <w:szCs w:val="1"/>
                <w:color w:val="auto"/>
              </w:rPr>
            </w:pPr>
          </w:p>
        </w:tc>
      </w:tr>
      <w:tr>
        <w:trPr>
          <w:trHeight w:val="195"/>
        </w:trPr>
        <w:tc>
          <w:tcPr>
            <w:tcW w:w="8720" w:type="dxa"/>
            <w:vAlign w:val="bottom"/>
            <w:tcBorders>
              <w:right w:val="single" w:sz="8" w:color="auto"/>
            </w:tcBorders>
          </w:tcPr>
          <w:p>
            <w:pPr>
              <w:jc w:val="center"/>
              <w:ind w:left="2521"/>
              <w:spacing w:after="0" w:line="195" w:lineRule="exact"/>
              <w:rPr>
                <w:sz w:val="20"/>
                <w:szCs w:val="20"/>
                <w:color w:val="auto"/>
              </w:rPr>
            </w:pPr>
            <w:r>
              <w:rPr>
                <w:rFonts w:ascii="Arial" w:cs="Arial" w:eastAsia="Arial" w:hAnsi="Arial"/>
                <w:sz w:val="18"/>
                <w:szCs w:val="18"/>
                <w:b w:val="1"/>
                <w:bCs w:val="1"/>
                <w:color w:val="auto"/>
                <w:w w:val="91"/>
              </w:rPr>
              <w:t>Washington, D.C. 20549</w:t>
            </w:r>
          </w:p>
        </w:tc>
        <w:tc>
          <w:tcPr>
            <w:tcW w:w="270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w w:val="90"/>
              </w:rPr>
              <w:t>Estimated average burden hours per</w:t>
            </w:r>
          </w:p>
        </w:tc>
        <w:tc>
          <w:tcPr>
            <w:tcW w:w="0" w:type="dxa"/>
            <w:vAlign w:val="bottom"/>
          </w:tcPr>
          <w:p>
            <w:pPr>
              <w:spacing w:after="0"/>
              <w:rPr>
                <w:sz w:val="1"/>
                <w:szCs w:val="1"/>
                <w:color w:val="auto"/>
              </w:rPr>
            </w:pPr>
          </w:p>
        </w:tc>
      </w:tr>
      <w:tr>
        <w:trPr>
          <w:trHeight w:val="230"/>
        </w:trPr>
        <w:tc>
          <w:tcPr>
            <w:tcW w:w="8720" w:type="dxa"/>
            <w:vAlign w:val="bottom"/>
            <w:tcBorders>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response. . 10.4</w:t>
            </w:r>
          </w:p>
        </w:tc>
        <w:tc>
          <w:tcPr>
            <w:tcW w:w="0" w:type="dxa"/>
            <w:vAlign w:val="bottom"/>
          </w:tcPr>
          <w:p>
            <w:pPr>
              <w:spacing w:after="0"/>
              <w:rPr>
                <w:sz w:val="1"/>
                <w:szCs w:val="1"/>
                <w:color w:val="auto"/>
              </w:rPr>
            </w:pPr>
          </w:p>
        </w:tc>
      </w:tr>
      <w:tr>
        <w:trPr>
          <w:trHeight w:val="463"/>
        </w:trPr>
        <w:tc>
          <w:tcPr>
            <w:tcW w:w="8720" w:type="dxa"/>
            <w:vAlign w:val="bottom"/>
          </w:tcPr>
          <w:p>
            <w:pPr>
              <w:jc w:val="center"/>
              <w:ind w:left="2601"/>
              <w:spacing w:after="0"/>
              <w:rPr>
                <w:sz w:val="20"/>
                <w:szCs w:val="20"/>
                <w:color w:val="auto"/>
              </w:rPr>
            </w:pPr>
            <w:r>
              <w:rPr>
                <w:rFonts w:ascii="Arial" w:cs="Arial" w:eastAsia="Arial" w:hAnsi="Arial"/>
                <w:sz w:val="22"/>
                <w:szCs w:val="22"/>
                <w:b w:val="1"/>
                <w:bCs w:val="1"/>
                <w:color w:val="auto"/>
                <w:w w:val="96"/>
              </w:rPr>
              <w:t>SCHEDULE 13G</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8720" w:type="dxa"/>
            <w:vAlign w:val="bottom"/>
          </w:tcPr>
          <w:p>
            <w:pPr>
              <w:jc w:val="center"/>
              <w:ind w:left="2621"/>
              <w:spacing w:after="0"/>
              <w:rPr>
                <w:sz w:val="20"/>
                <w:szCs w:val="20"/>
                <w:color w:val="auto"/>
              </w:rPr>
            </w:pPr>
            <w:r>
              <w:rPr>
                <w:rFonts w:ascii="Arial" w:cs="Arial" w:eastAsia="Arial" w:hAnsi="Arial"/>
                <w:sz w:val="18"/>
                <w:szCs w:val="18"/>
                <w:b w:val="1"/>
                <w:bCs w:val="1"/>
                <w:color w:val="auto"/>
                <w:w w:val="89"/>
              </w:rPr>
              <w:t>Under the Securities Exchange Act of 1934</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720" w:type="dxa"/>
            <w:vAlign w:val="bottom"/>
          </w:tcPr>
          <w:p>
            <w:pPr>
              <w:jc w:val="center"/>
              <w:ind w:left="2621"/>
              <w:spacing w:after="0"/>
              <w:rPr>
                <w:sz w:val="20"/>
                <w:szCs w:val="20"/>
                <w:color w:val="auto"/>
              </w:rPr>
            </w:pPr>
            <w:r>
              <w:rPr>
                <w:rFonts w:ascii="Arial" w:cs="Arial" w:eastAsia="Arial" w:hAnsi="Arial"/>
                <w:sz w:val="18"/>
                <w:szCs w:val="18"/>
                <w:b w:val="1"/>
                <w:bCs w:val="1"/>
                <w:color w:val="auto"/>
                <w:w w:val="92"/>
              </w:rPr>
              <w:t>(Amendment No. 1)*</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8720" w:type="dxa"/>
            <w:vAlign w:val="bottom"/>
            <w:tcBorders>
              <w:bottom w:val="single" w:sz="8" w:color="auto"/>
            </w:tcBorders>
          </w:tcPr>
          <w:p>
            <w:pPr>
              <w:jc w:val="center"/>
              <w:ind w:left="2601"/>
              <w:spacing w:after="0"/>
              <w:rPr>
                <w:sz w:val="20"/>
                <w:szCs w:val="20"/>
                <w:color w:val="auto"/>
              </w:rPr>
            </w:pPr>
            <w:r>
              <w:rPr>
                <w:rFonts w:ascii="Arial" w:cs="Arial" w:eastAsia="Arial" w:hAnsi="Arial"/>
                <w:sz w:val="32"/>
                <w:szCs w:val="32"/>
                <w:b w:val="1"/>
                <w:bCs w:val="1"/>
                <w:color w:val="auto"/>
                <w:w w:val="92"/>
              </w:rPr>
              <w:t>The Toro Company</w:t>
            </w:r>
          </w:p>
        </w:tc>
        <w:tc>
          <w:tcPr>
            <w:tcW w:w="2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720" w:type="dxa"/>
            <w:vAlign w:val="bottom"/>
          </w:tcPr>
          <w:p>
            <w:pPr>
              <w:jc w:val="center"/>
              <w:ind w:left="2601"/>
              <w:spacing w:after="0"/>
              <w:rPr>
                <w:sz w:val="20"/>
                <w:szCs w:val="20"/>
                <w:color w:val="auto"/>
              </w:rPr>
            </w:pPr>
            <w:r>
              <w:rPr>
                <w:rFonts w:ascii="Arial" w:cs="Arial" w:eastAsia="Arial" w:hAnsi="Arial"/>
                <w:sz w:val="18"/>
                <w:szCs w:val="18"/>
                <w:color w:val="auto"/>
                <w:w w:val="90"/>
              </w:rPr>
              <w:t>(Name of Issuer)</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720" w:type="dxa"/>
            <w:vAlign w:val="bottom"/>
          </w:tcPr>
          <w:p>
            <w:pPr>
              <w:jc w:val="center"/>
              <w:ind w:left="2601"/>
              <w:spacing w:after="0"/>
              <w:rPr>
                <w:sz w:val="20"/>
                <w:szCs w:val="20"/>
                <w:color w:val="auto"/>
              </w:rPr>
            </w:pPr>
            <w:r>
              <w:rPr>
                <w:rFonts w:ascii="Arial" w:cs="Arial" w:eastAsia="Arial" w:hAnsi="Arial"/>
                <w:sz w:val="18"/>
                <w:szCs w:val="18"/>
                <w:b w:val="1"/>
                <w:bCs w:val="1"/>
                <w:color w:val="auto"/>
                <w:w w:val="89"/>
              </w:rPr>
              <w:t>Common Stock</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7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720" w:type="dxa"/>
            <w:vAlign w:val="bottom"/>
          </w:tcPr>
          <w:p>
            <w:pPr>
              <w:jc w:val="center"/>
              <w:ind w:left="2621"/>
              <w:spacing w:after="0"/>
              <w:rPr>
                <w:sz w:val="20"/>
                <w:szCs w:val="20"/>
                <w:color w:val="auto"/>
              </w:rPr>
            </w:pPr>
            <w:r>
              <w:rPr>
                <w:rFonts w:ascii="Arial" w:cs="Arial" w:eastAsia="Arial" w:hAnsi="Arial"/>
                <w:sz w:val="18"/>
                <w:szCs w:val="18"/>
                <w:color w:val="auto"/>
                <w:w w:val="92"/>
              </w:rPr>
              <w:t>(Title of Class of Securities)</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720" w:type="dxa"/>
            <w:vAlign w:val="bottom"/>
          </w:tcPr>
          <w:p>
            <w:pPr>
              <w:jc w:val="center"/>
              <w:ind w:left="2601"/>
              <w:spacing w:after="0"/>
              <w:rPr>
                <w:sz w:val="20"/>
                <w:szCs w:val="20"/>
                <w:color w:val="auto"/>
              </w:rPr>
            </w:pPr>
            <w:r>
              <w:rPr>
                <w:rFonts w:ascii="Arial" w:cs="Arial" w:eastAsia="Arial" w:hAnsi="Arial"/>
                <w:sz w:val="18"/>
                <w:szCs w:val="18"/>
                <w:b w:val="1"/>
                <w:bCs w:val="1"/>
                <w:color w:val="auto"/>
                <w:w w:val="90"/>
              </w:rPr>
              <w:t>891092108</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7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720" w:type="dxa"/>
            <w:vAlign w:val="bottom"/>
          </w:tcPr>
          <w:p>
            <w:pPr>
              <w:jc w:val="center"/>
              <w:ind w:left="2601"/>
              <w:spacing w:after="0"/>
              <w:rPr>
                <w:sz w:val="20"/>
                <w:szCs w:val="20"/>
                <w:color w:val="auto"/>
              </w:rPr>
            </w:pPr>
            <w:r>
              <w:rPr>
                <w:rFonts w:ascii="Arial" w:cs="Arial" w:eastAsia="Arial" w:hAnsi="Arial"/>
                <w:sz w:val="18"/>
                <w:szCs w:val="18"/>
                <w:color w:val="auto"/>
                <w:w w:val="92"/>
              </w:rPr>
              <w:t>(CUSIP Number)</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8720" w:type="dxa"/>
            <w:vAlign w:val="bottom"/>
            <w:tcBorders>
              <w:bottom w:val="single" w:sz="8" w:color="auto"/>
            </w:tcBorders>
          </w:tcPr>
          <w:p>
            <w:pPr>
              <w:jc w:val="center"/>
              <w:ind w:left="2601"/>
              <w:spacing w:after="0"/>
              <w:rPr>
                <w:sz w:val="20"/>
                <w:szCs w:val="20"/>
                <w:color w:val="auto"/>
              </w:rPr>
            </w:pPr>
            <w:r>
              <w:rPr>
                <w:rFonts w:ascii="Arial" w:cs="Arial" w:eastAsia="Arial" w:hAnsi="Arial"/>
                <w:sz w:val="18"/>
                <w:szCs w:val="18"/>
                <w:b w:val="1"/>
                <w:bCs w:val="1"/>
                <w:color w:val="auto"/>
                <w:w w:val="90"/>
              </w:rPr>
              <w:t>December 31, 2007</w:t>
            </w:r>
          </w:p>
        </w:tc>
        <w:tc>
          <w:tcPr>
            <w:tcW w:w="2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720" w:type="dxa"/>
            <w:vAlign w:val="bottom"/>
          </w:tcPr>
          <w:p>
            <w:pPr>
              <w:jc w:val="center"/>
              <w:ind w:left="2601"/>
              <w:spacing w:after="0"/>
              <w:rPr>
                <w:sz w:val="20"/>
                <w:szCs w:val="20"/>
                <w:color w:val="auto"/>
              </w:rPr>
            </w:pPr>
            <w:r>
              <w:rPr>
                <w:rFonts w:ascii="Arial" w:cs="Arial" w:eastAsia="Arial" w:hAnsi="Arial"/>
                <w:sz w:val="18"/>
                <w:szCs w:val="18"/>
                <w:color w:val="auto"/>
                <w:w w:val="92"/>
              </w:rPr>
              <w:t>(Date of Event Which Requires Filing of this Statement)</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891092108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Mairs and Power, Inc. 41 - 0844499</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740" w:hanging="620"/>
        <w:spacing w:after="0" w:line="308" w:lineRule="auto"/>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color w:val="auto"/>
        </w:rPr>
        <w:t>Citizenship or Place of Organization St. Paul, Minnesota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0</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-549275</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-960755</wp:posOffset>
            </wp:positionV>
            <wp:extent cx="58743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-1174750</wp:posOffset>
            </wp:positionV>
            <wp:extent cx="58743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-1792605</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420"/>
          </w:cols>
          <w:pgMar w:left="240" w:top="444" w:right="239" w:bottom="463" w:gutter="0" w:footer="0" w:header="0"/>
        </w:sectPr>
      </w:pPr>
    </w:p>
    <w:p>
      <w:pPr>
        <w:spacing w:after="0" w:line="376"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Shares</w:t>
            </w:r>
          </w:p>
        </w:tc>
        <w:tc>
          <w:tcPr>
            <w:tcW w:w="50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500" w:type="dxa"/>
            <w:vAlign w:val="bottom"/>
          </w:tcPr>
          <w:p>
            <w:pPr>
              <w:spacing w:after="0"/>
              <w:rPr>
                <w:sz w:val="18"/>
                <w:szCs w:val="18"/>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r>
      <w:tr>
        <w:trPr>
          <w:trHeight w:val="432"/>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20" w:lineRule="exact"/>
        <w:rPr>
          <w:sz w:val="24"/>
          <w:szCs w:val="24"/>
          <w:color w:val="auto"/>
        </w:rPr>
      </w:pPr>
      <w:r>
        <w:rPr>
          <w:sz w:val="24"/>
          <w:szCs w:val="24"/>
          <w:color w:val="auto"/>
        </w:rPr>
        <w:br w:type="column"/>
      </w:r>
    </w:p>
    <w:p>
      <w:pPr>
        <w:spacing w:after="0" w:line="356" w:lineRule="exact"/>
        <w:rPr>
          <w:sz w:val="24"/>
          <w:szCs w:val="24"/>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1,890,200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color w:val="auto"/>
        </w:rPr>
        <w:t>Shared Voting Power</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2,169,726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ectPr>
          <w:pgSz w:w="11900" w:h="16838" w:orient="portrait"/>
          <w:cols w:equalWidth="0" w:num="2">
            <w:col w:w="2040" w:space="720"/>
            <w:col w:w="8660"/>
          </w:cols>
          <w:pgMar w:left="240" w:top="444" w:right="239" w:bottom="463" w:gutter="0" w:footer="0" w:header="0"/>
          <w:type w:val="continuous"/>
        </w:sectPr>
      </w:pPr>
    </w:p>
    <w:bookmarkStart w:id="1" w:name="page2"/>
    <w:bookmarkEnd w:id="1"/>
    <w:p>
      <w:pPr>
        <w:spacing w:after="0" w:line="9" w:lineRule="exact"/>
        <w:rPr>
          <w:sz w:val="20"/>
          <w:szCs w:val="20"/>
          <w:color w:val="auto"/>
        </w:rPr>
      </w:pPr>
    </w:p>
    <w:p>
      <w:pPr>
        <w:ind w:left="2700" w:right="662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386" w:lineRule="exact"/>
        <w:rPr>
          <w:rFonts w:ascii="Arial" w:cs="Arial" w:eastAsia="Arial" w:hAnsi="Arial"/>
          <w:sz w:val="18"/>
          <w:szCs w:val="18"/>
          <w:color w:val="auto"/>
        </w:rPr>
      </w:pPr>
    </w:p>
    <w:p>
      <w:pPr>
        <w:ind w:left="1000" w:right="540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2,169,726</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40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5.7%</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-2017395</wp:posOffset>
            </wp:positionV>
            <wp:extent cx="55314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440" w:right="8340" w:hanging="493"/>
        <w:spacing w:after="0" w:line="342" w:lineRule="auto"/>
        <w:tabs>
          <w:tab w:leader="none" w:pos="1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Name of Issuer The Toro Company</w:t>
      </w:r>
    </w:p>
    <w:p>
      <w:pPr>
        <w:spacing w:after="0" w:line="29" w:lineRule="exact"/>
        <w:rPr>
          <w:rFonts w:ascii="Arial" w:cs="Arial" w:eastAsia="Arial" w:hAnsi="Arial"/>
          <w:sz w:val="16"/>
          <w:szCs w:val="16"/>
          <w:color w:val="auto"/>
        </w:rPr>
      </w:pPr>
    </w:p>
    <w:p>
      <w:pPr>
        <w:ind w:left="1440" w:hanging="493"/>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8111 Lyndale Avenue South, Bloomington, MN 55420 - 1196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40005</wp:posOffset>
            </wp:positionV>
            <wp:extent cx="63290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-311150</wp:posOffset>
            </wp:positionV>
            <wp:extent cx="63290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jc w:val="both"/>
        <w:ind w:left="1440" w:right="812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 of Person Filing Mairs and Power, Inc.</w:t>
      </w:r>
    </w:p>
    <w:p>
      <w:pPr>
        <w:spacing w:after="0" w:line="29" w:lineRule="exact"/>
        <w:rPr>
          <w:rFonts w:ascii="Arial" w:cs="Arial" w:eastAsia="Arial" w:hAnsi="Arial"/>
          <w:sz w:val="16"/>
          <w:szCs w:val="16"/>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332 Minnesota Street, W-1520 First National Bank Building, St. Paul, MN 55101</w:t>
      </w:r>
    </w:p>
    <w:p>
      <w:pPr>
        <w:spacing w:after="0" w:line="116"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Minnesota Corporation</w:t>
      </w:r>
    </w:p>
    <w:p>
      <w:pPr>
        <w:spacing w:after="0" w:line="116" w:lineRule="exact"/>
        <w:rPr>
          <w:rFonts w:ascii="Arial" w:cs="Arial" w:eastAsia="Arial" w:hAnsi="Arial"/>
          <w:sz w:val="18"/>
          <w:szCs w:val="18"/>
          <w:color w:val="auto"/>
        </w:rPr>
      </w:pPr>
    </w:p>
    <w:p>
      <w:pPr>
        <w:ind w:left="1440" w:right="784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29" w:lineRule="exact"/>
        <w:rPr>
          <w:rFonts w:ascii="Arial" w:cs="Arial" w:eastAsia="Arial" w:hAnsi="Arial"/>
          <w:sz w:val="16"/>
          <w:szCs w:val="16"/>
          <w:color w:val="auto"/>
        </w:rPr>
      </w:pPr>
    </w:p>
    <w:p>
      <w:pPr>
        <w:ind w:left="1440" w:right="860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CUSIP Number 891092108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-717550</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-1069340</wp:posOffset>
            </wp:positionV>
            <wp:extent cx="63290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-1421130</wp:posOffset>
            </wp:positionV>
            <wp:extent cx="63290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23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960" w:hanging="1013"/>
        <w:spacing w:after="0" w:line="277" w:lineRule="auto"/>
        <w:tabs>
          <w:tab w:leader="none" w:pos="1447" w:val="left"/>
        </w:tabs>
        <w:numPr>
          <w:ilvl w:val="0"/>
          <w:numId w:val="7"/>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ectPr>
          <w:pgSz w:w="11900" w:h="16847" w:orient="portrait"/>
          <w:cols w:equalWidth="0" w:num="1">
            <w:col w:w="11200"/>
          </w:cols>
          <w:pgMar w:left="300" w:top="179" w:right="399" w:bottom="0" w:gutter="0" w:footer="0" w:header="0"/>
        </w:sectPr>
      </w:pPr>
    </w:p>
    <w:bookmarkStart w:id="2" w:name="page3"/>
    <w:bookmarkEnd w:id="2"/>
    <w:p>
      <w:pPr>
        <w:ind w:left="1660" w:right="7640" w:hanging="394"/>
        <w:spacing w:after="0" w:line="324" w:lineRule="auto"/>
        <w:tabs>
          <w:tab w:leader="none" w:pos="1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 2,169,726</w:t>
      </w:r>
    </w:p>
    <w:p>
      <w:pPr>
        <w:spacing w:after="0" w:line="116" w:lineRule="exact"/>
        <w:rPr>
          <w:rFonts w:ascii="Arial" w:cs="Arial" w:eastAsia="Arial" w:hAnsi="Arial"/>
          <w:sz w:val="18"/>
          <w:szCs w:val="18"/>
          <w:color w:val="auto"/>
        </w:rPr>
      </w:pPr>
    </w:p>
    <w:p>
      <w:pPr>
        <w:ind w:left="1660" w:hanging="400"/>
        <w:spacing w:after="0"/>
        <w:tabs>
          <w:tab w:leader="none" w:pos="1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49" w:lineRule="exact"/>
        <w:rPr>
          <w:rFonts w:ascii="Arial" w:cs="Arial" w:eastAsia="Arial" w:hAnsi="Arial"/>
          <w:sz w:val="18"/>
          <w:szCs w:val="18"/>
          <w:color w:val="auto"/>
        </w:rPr>
      </w:pPr>
    </w:p>
    <w:p>
      <w:pPr>
        <w:ind w:left="1660"/>
        <w:spacing w:after="0"/>
        <w:rPr>
          <w:rFonts w:ascii="Arial" w:cs="Arial" w:eastAsia="Arial" w:hAnsi="Arial"/>
          <w:sz w:val="18"/>
          <w:szCs w:val="18"/>
          <w:color w:val="auto"/>
        </w:rPr>
      </w:pPr>
      <w:r>
        <w:rPr>
          <w:rFonts w:ascii="Arial" w:cs="Arial" w:eastAsia="Arial" w:hAnsi="Arial"/>
          <w:sz w:val="18"/>
          <w:szCs w:val="18"/>
          <w:color w:val="auto"/>
        </w:rPr>
        <w:t>5.7%</w:t>
      </w:r>
    </w:p>
    <w:p>
      <w:pPr>
        <w:spacing w:after="0" w:line="211" w:lineRule="exact"/>
        <w:rPr>
          <w:rFonts w:ascii="Arial" w:cs="Arial" w:eastAsia="Arial" w:hAnsi="Arial"/>
          <w:sz w:val="18"/>
          <w:szCs w:val="18"/>
          <w:color w:val="auto"/>
        </w:rPr>
      </w:pPr>
    </w:p>
    <w:p>
      <w:pPr>
        <w:ind w:left="1660" w:hanging="394"/>
        <w:spacing w:after="0"/>
        <w:tabs>
          <w:tab w:leader="none" w:pos="1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229235</wp:posOffset>
            </wp:positionV>
            <wp:extent cx="62344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-198755</wp:posOffset>
            </wp:positionV>
            <wp:extent cx="62344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-627380</wp:posOffset>
            </wp:positionV>
            <wp:extent cx="62344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280" w:right="6280" w:hanging="453"/>
        <w:spacing w:after="0" w:line="324" w:lineRule="auto"/>
        <w:tabs>
          <w:tab w:leader="none" w:pos="2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1,890,200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5715</wp:posOffset>
            </wp:positionV>
            <wp:extent cx="58400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96" w:lineRule="exact"/>
        <w:rPr>
          <w:sz w:val="20"/>
          <w:szCs w:val="20"/>
          <w:color w:val="auto"/>
        </w:rPr>
      </w:pPr>
    </w:p>
    <w:p>
      <w:pPr>
        <w:ind w:left="2280" w:right="6100" w:hanging="478"/>
        <w:spacing w:after="0" w:line="324" w:lineRule="auto"/>
        <w:tabs>
          <w:tab w:leader="none" w:pos="2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5715</wp:posOffset>
            </wp:positionV>
            <wp:extent cx="58400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96" w:lineRule="exact"/>
        <w:rPr>
          <w:sz w:val="20"/>
          <w:szCs w:val="20"/>
          <w:color w:val="auto"/>
        </w:rPr>
      </w:pPr>
    </w:p>
    <w:p>
      <w:pPr>
        <w:ind w:left="2280" w:right="5360" w:hanging="503"/>
        <w:spacing w:after="0" w:line="324" w:lineRule="auto"/>
        <w:tabs>
          <w:tab w:leader="none" w:pos="2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2,169,726</w:t>
      </w:r>
    </w:p>
    <w:p>
      <w:pPr>
        <w:spacing w:after="0" w:line="116" w:lineRule="exact"/>
        <w:rPr>
          <w:rFonts w:ascii="Arial" w:cs="Arial" w:eastAsia="Arial" w:hAnsi="Arial"/>
          <w:sz w:val="18"/>
          <w:szCs w:val="18"/>
          <w:color w:val="auto"/>
        </w:rPr>
      </w:pPr>
    </w:p>
    <w:p>
      <w:pPr>
        <w:ind w:left="2280" w:right="5180" w:hanging="498"/>
        <w:spacing w:after="0" w:line="324" w:lineRule="auto"/>
        <w:tabs>
          <w:tab w:leader="none" w:pos="2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5715</wp:posOffset>
            </wp:positionV>
            <wp:extent cx="58400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-422275</wp:posOffset>
            </wp:positionV>
            <wp:extent cx="58400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9" w:lineRule="exact"/>
        <w:rPr>
          <w:sz w:val="20"/>
          <w:szCs w:val="20"/>
          <w:color w:val="auto"/>
        </w:rPr>
      </w:pPr>
    </w:p>
    <w:p>
      <w:pPr>
        <w:ind w:left="60"/>
        <w:spacing w:after="0" w:line="271" w:lineRule="auto"/>
        <w:rPr>
          <w:sz w:val="20"/>
          <w:szCs w:val="20"/>
          <w:color w:val="auto"/>
        </w:rPr>
      </w:pPr>
      <w:r>
        <w:rPr>
          <w:rFonts w:ascii="Arial" w:cs="Arial" w:eastAsia="Arial" w:hAnsi="Arial"/>
          <w:sz w:val="17"/>
          <w:szCs w:val="17"/>
          <w:color w:val="auto"/>
        </w:rPr>
        <w:t>**Note 1** Mairs and Power, Inc. (“Mairs and Power”), an investment adviser registered under Section 203 of the Investment Advisers Act of 1940, furnishes investment advice to two investment companies registered under the Investment Company Act of 1940 and serves as investment manager to certain other commingled group trusts and separate accounts. These investment companies, trusts and accounts are the “Funds”. In its role as investment advisor or manager, Mairs and Power possesses investment and/or voting power over the securities of the Issuer described in this schedule that are owned by the Funds, and may be deemed to be the beneficial owner of the shares of the Issuer held by the Funds. All of the securities reported in this schedule are owned by the Funds. Mairs and Power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71"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For computations regarding securities which represent a right to acquire an underlying security see §240.13d-3(d)(1).</w:t>
      </w:r>
    </w:p>
    <w:p>
      <w:pPr>
        <w:spacing w:after="0" w:line="329"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60" w:right="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329"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w:t>
      </w:r>
    </w:p>
    <w:p>
      <w:pPr>
        <w:spacing w:after="0" w:line="329" w:lineRule="exact"/>
        <w:rPr>
          <w:sz w:val="20"/>
          <w:szCs w:val="20"/>
          <w:color w:val="auto"/>
        </w:rPr>
      </w:pPr>
    </w:p>
    <w:p>
      <w:pPr>
        <w:ind w:left="1180" w:right="20" w:hanging="1120"/>
        <w:spacing w:after="0" w:line="282" w:lineRule="auto"/>
        <w:tabs>
          <w:tab w:leader="none" w:pos="11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w:t>
      </w:r>
    </w:p>
    <w:p>
      <w:pPr>
        <w:spacing w:after="0" w:line="329"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w:t>
      </w:r>
    </w:p>
    <w:p>
      <w:pPr>
        <w:spacing w:after="0" w:line="329"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337" w:lineRule="exact"/>
        <w:rPr>
          <w:sz w:val="20"/>
          <w:szCs w:val="20"/>
          <w:color w:val="auto"/>
        </w:rPr>
      </w:pPr>
    </w:p>
    <w:p>
      <w:pPr>
        <w:ind w:left="1520" w:hanging="499"/>
        <w:spacing w:after="0" w:line="259" w:lineRule="auto"/>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14, 2008</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ectPr>
          <w:pgSz w:w="11900" w:h="16838" w:orient="portrait"/>
          <w:cols w:equalWidth="0" w:num="1">
            <w:col w:w="11360"/>
          </w:cols>
          <w:pgMar w:left="240" w:top="247" w:right="299" w:bottom="0" w:gutter="0" w:footer="0" w:header="0"/>
        </w:sectPr>
      </w:pPr>
    </w:p>
    <w:bookmarkStart w:id="3" w:name="page4"/>
    <w:bookmarkEnd w:id="3"/>
    <w:p>
      <w:pPr>
        <w:jc w:val="center"/>
        <w:ind w:left="5720"/>
        <w:spacing w:after="0"/>
        <w:rPr>
          <w:sz w:val="20"/>
          <w:szCs w:val="20"/>
          <w:color w:val="auto"/>
        </w:rPr>
      </w:pPr>
      <w:r>
        <w:rPr>
          <w:rFonts w:ascii="Arial" w:cs="Arial" w:eastAsia="Arial" w:hAnsi="Arial"/>
          <w:sz w:val="18"/>
          <w:szCs w:val="18"/>
          <w:color w:val="auto"/>
        </w:rPr>
        <w:t>/s/ Jon A. Theobald</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6"/>
          <w:szCs w:val="16"/>
          <w:color w:val="auto"/>
        </w:rPr>
        <w:t>Jon A. Theobald/President</w:t>
      </w:r>
    </w:p>
    <w:p>
      <w:pPr>
        <w:spacing w:after="0" w:line="46"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019"/>
      </w:cols>
      <w:pgMar w:left="1440" w:top="3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x"/>
      <w:numFmt w:val="bullet"/>
      <w:start w:val="1"/>
    </w:lvl>
  </w:abstractNum>
  <w:abstractNum w:abstractNumId="1">
    <w:nsid w:val="41B71EFB"/>
    <w:multiLevelType w:val="hybridMultilevel"/>
    <w:lvl w:ilvl="0">
      <w:lvlJc w:val="left"/>
      <w:lvlText w:val="%1."/>
      <w:numFmt w:val="decimal"/>
      <w:start w:val="1"/>
    </w:lvl>
    <w:lvl w:ilvl="1">
      <w:lvlJc w:val="left"/>
      <w:lvlText w:val="(%2)"/>
      <w:numFmt w:val="lowerLetter"/>
      <w:start w:val="1"/>
    </w:lvl>
  </w:abstractNum>
  <w:abstractNum w:abstractNumId="2">
    <w:nsid w:val="79E2A9E3"/>
    <w:multiLevelType w:val="hybridMultilevel"/>
    <w:lvl w:ilvl="0">
      <w:lvlJc w:val="left"/>
      <w:lvlText w:val="%1"/>
      <w:numFmt w:val="decimal"/>
      <w:start w:val="1"/>
    </w:lvl>
    <w:lvl w:ilvl="1">
      <w:lvlJc w:val="left"/>
      <w:lvlText w:val="%2."/>
      <w:numFmt w:val="decimal"/>
      <w:start w:val="8"/>
    </w:lvl>
  </w:abstractNum>
  <w:abstractNum w:abstractNumId="3">
    <w:nsid w:val="7545E146"/>
    <w:multiLevelType w:val="hybridMultilevel"/>
    <w:lvl w:ilvl="0">
      <w:lvlJc w:val="left"/>
      <w:lvlText w:val="%1."/>
      <w:numFmt w:val="decimal"/>
      <w:start w:val="9"/>
    </w:lvl>
    <w:lvl w:ilvl="1">
      <w:lvlJc w:val="left"/>
      <w:lvlText w:val="%2"/>
      <w:numFmt w:val="decimal"/>
      <w:start w:val="1"/>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Roman"/>
      <w:start w:val="1"/>
    </w:lvl>
  </w:abstractNum>
  <w:abstractNum w:abstractNumId="9">
    <w:nsid w:val="1F16E9E8"/>
    <w:multiLevelType w:val="hybridMultilevel"/>
    <w:lvl w:ilvl="0">
      <w:lvlJc w:val="left"/>
      <w:lvlText w:val="(%1)"/>
      <w:numFmt w:val="lowerRoman"/>
      <w:start w:val="2"/>
    </w:lvl>
  </w:abstractNum>
  <w:abstractNum w:abstractNumId="10">
    <w:nsid w:val="1190CDE7"/>
    <w:multiLevelType w:val="hybridMultilevel"/>
    <w:lvl w:ilvl="0">
      <w:lvlJc w:val="left"/>
      <w:lvlText w:val="(%1)"/>
      <w:numFmt w:val="lowerRoman"/>
      <w:start w:val="3"/>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2019-12-11T14:28:20Z</dcterms:created>
  <dcterms:modified xsi:type="dcterms:W3CDTF">2019-12-11T14:28:20Z</dcterms:modified>
</cp:coreProperties>
</file>