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078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7822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92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BUHRMASTER ROBERT C</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11/01/2016</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536" w:val="left"/>
          <w:tab w:leader="none" w:pos="21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6"/>
        <w:spacing w:after="0"/>
        <w:tabs>
          <w:tab w:leader="none" w:pos="21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2" w:lineRule="exact"/>
        <w:rPr>
          <w:sz w:val="24"/>
          <w:szCs w:val="24"/>
          <w:color w:val="auto"/>
        </w:rPr>
      </w:pPr>
    </w:p>
    <w:p>
      <w:pPr>
        <w:sectPr>
          <w:pgSz w:w="11900" w:h="16838" w:orient="portrait"/>
          <w:cols w:equalWidth="0" w:num="3">
            <w:col w:w="3340" w:space="720"/>
            <w:col w:w="3264" w:space="720"/>
            <w:col w:w="3476"/>
          </w:cols>
          <w:pgMar w:left="240" w:top="225" w:right="139" w:bottom="929"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92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540" w:type="dxa"/>
            <w:vAlign w:val="bottom"/>
          </w:tcPr>
          <w:p>
            <w:pPr>
              <w:spacing w:after="0"/>
              <w:rPr>
                <w:sz w:val="11"/>
                <w:szCs w:val="11"/>
                <w:color w:val="auto"/>
              </w:rPr>
            </w:pPr>
          </w:p>
        </w:tc>
        <w:tc>
          <w:tcPr>
            <w:tcW w:w="182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1820" w:type="dxa"/>
            <w:vAlign w:val="bottom"/>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9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41"/>
        </w:trPr>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jc w:val="right"/>
              <w:ind w:right="93"/>
              <w:spacing w:after="0"/>
              <w:rPr>
                <w:sz w:val="20"/>
                <w:szCs w:val="20"/>
                <w:color w:val="auto"/>
              </w:rPr>
            </w:pPr>
            <w:r>
              <w:rPr>
                <w:rFonts w:ascii="Arial" w:cs="Arial" w:eastAsia="Arial" w:hAnsi="Arial"/>
                <w:sz w:val="17"/>
                <w:szCs w:val="17"/>
                <w:color w:val="0000FF"/>
              </w:rPr>
              <w:t>11/01/2016</w:t>
            </w:r>
          </w:p>
        </w:tc>
        <w:tc>
          <w:tcPr>
            <w:tcW w:w="1120" w:type="dxa"/>
            <w:vAlign w:val="bottom"/>
          </w:tcPr>
          <w:p>
            <w:pPr>
              <w:spacing w:after="0"/>
              <w:rPr>
                <w:sz w:val="24"/>
                <w:szCs w:val="24"/>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Pr>
          <w:p>
            <w:pPr>
              <w:ind w:left="160"/>
              <w:spacing w:after="0"/>
              <w:rPr>
                <w:sz w:val="20"/>
                <w:szCs w:val="20"/>
                <w:color w:val="auto"/>
              </w:rPr>
            </w:pPr>
            <w:r>
              <w:rPr>
                <w:rFonts w:ascii="Arial" w:cs="Arial" w:eastAsia="Arial" w:hAnsi="Arial"/>
                <w:sz w:val="17"/>
                <w:szCs w:val="17"/>
                <w:color w:val="0000FF"/>
              </w:rPr>
              <w:t>1,268</w:t>
            </w:r>
            <w:r>
              <w:rPr>
                <w:rFonts w:ascii="Arial" w:cs="Arial" w:eastAsia="Arial" w:hAnsi="Arial"/>
                <w:sz w:val="22"/>
                <w:szCs w:val="22"/>
                <w:color w:val="008000"/>
                <w:vertAlign w:val="superscript"/>
              </w:rPr>
              <w:t>(1)</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660" w:type="dxa"/>
            <w:vAlign w:val="bottom"/>
          </w:tcPr>
          <w:p>
            <w:pPr>
              <w:jc w:val="right"/>
              <w:ind w:right="14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Pr>
          <w:p>
            <w:pPr>
              <w:ind w:left="140"/>
              <w:spacing w:after="0"/>
              <w:rPr>
                <w:sz w:val="20"/>
                <w:szCs w:val="20"/>
                <w:color w:val="auto"/>
              </w:rPr>
            </w:pPr>
            <w:r>
              <w:rPr>
                <w:rFonts w:ascii="Arial" w:cs="Arial" w:eastAsia="Arial" w:hAnsi="Arial"/>
                <w:sz w:val="17"/>
                <w:szCs w:val="17"/>
                <w:color w:val="0000FF"/>
                <w:w w:val="97"/>
              </w:rPr>
              <w:t>34,304.703</w:t>
            </w:r>
            <w:r>
              <w:rPr>
                <w:rFonts w:ascii="Arial" w:cs="Arial" w:eastAsia="Arial" w:hAnsi="Arial"/>
                <w:sz w:val="22"/>
                <w:szCs w:val="22"/>
                <w:color w:val="008000"/>
                <w:w w:val="97"/>
                <w:vertAlign w:val="superscript"/>
              </w:rPr>
              <w:t>(2)</w:t>
            </w:r>
          </w:p>
        </w:tc>
        <w:tc>
          <w:tcPr>
            <w:tcW w:w="980" w:type="dxa"/>
            <w:vAlign w:val="bottom"/>
          </w:tcPr>
          <w:p>
            <w:pPr>
              <w:ind w:left="460"/>
              <w:spacing w:after="0"/>
              <w:rPr>
                <w:sz w:val="20"/>
                <w:szCs w:val="20"/>
                <w:color w:val="auto"/>
              </w:rPr>
            </w:pPr>
            <w:r>
              <w:rPr>
                <w:rFonts w:ascii="Arial" w:cs="Arial" w:eastAsia="Arial" w:hAnsi="Arial"/>
                <w:sz w:val="17"/>
                <w:szCs w:val="17"/>
                <w:color w:val="0000FF"/>
              </w:rPr>
              <w:t>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1" w:lineRule="exact"/>
        <w:rPr>
          <w:sz w:val="24"/>
          <w:szCs w:val="24"/>
          <w:color w:val="auto"/>
        </w:rPr>
      </w:pPr>
    </w:p>
    <w:p>
      <w:pPr>
        <w:ind w:left="10520"/>
        <w:spacing w:after="0"/>
        <w:rPr>
          <w:sz w:val="20"/>
          <w:szCs w:val="20"/>
          <w:color w:val="auto"/>
        </w:rPr>
      </w:pPr>
      <w:r>
        <w:rPr>
          <w:rFonts w:ascii="Arial" w:cs="Arial" w:eastAsia="Arial" w:hAnsi="Arial"/>
          <w:sz w:val="17"/>
          <w:szCs w:val="17"/>
          <w:color w:val="0000FF"/>
        </w:rPr>
        <w:t>Held by the</w:t>
      </w:r>
    </w:p>
    <w:p>
      <w:pPr>
        <w:spacing w:after="0" w:line="25" w:lineRule="exact"/>
        <w:rPr>
          <w:sz w:val="24"/>
          <w:szCs w:val="24"/>
          <w:color w:val="auto"/>
        </w:rPr>
      </w:pPr>
    </w:p>
    <w:p>
      <w:pPr>
        <w:ind w:left="10520"/>
        <w:spacing w:after="0"/>
        <w:rPr>
          <w:sz w:val="20"/>
          <w:szCs w:val="20"/>
          <w:color w:val="auto"/>
        </w:rPr>
      </w:pPr>
      <w:r>
        <w:rPr>
          <w:rFonts w:ascii="Arial" w:cs="Arial" w:eastAsia="Arial" w:hAnsi="Arial"/>
          <w:sz w:val="17"/>
          <w:szCs w:val="17"/>
          <w:color w:val="0000FF"/>
        </w:rPr>
        <w:t>Robert C</w:t>
      </w:r>
    </w:p>
    <w:p>
      <w:pPr>
        <w:spacing w:after="0" w:line="18" w:lineRule="exact"/>
        <w:rPr>
          <w:sz w:val="24"/>
          <w:szCs w:val="24"/>
          <w:color w:val="auto"/>
        </w:rPr>
      </w:pPr>
    </w:p>
    <w:p>
      <w:pPr>
        <w:ind w:left="10520"/>
        <w:spacing w:after="0"/>
        <w:rPr>
          <w:sz w:val="20"/>
          <w:szCs w:val="20"/>
          <w:color w:val="auto"/>
        </w:rPr>
      </w:pPr>
      <w:r>
        <w:rPr>
          <w:rFonts w:ascii="Arial" w:cs="Arial" w:eastAsia="Arial" w:hAnsi="Arial"/>
          <w:sz w:val="17"/>
          <w:szCs w:val="17"/>
          <w:color w:val="0000FF"/>
        </w:rPr>
        <w:t>Buhrmaster</w:t>
      </w:r>
    </w:p>
    <w:p>
      <w:pPr>
        <w:ind w:left="80"/>
        <w:spacing w:after="0"/>
        <w:tabs>
          <w:tab w:leader="none" w:pos="8420" w:val="left"/>
          <w:tab w:leader="none" w:pos="9940" w:val="left"/>
          <w:tab w:leader="none" w:pos="10500" w:val="left"/>
        </w:tabs>
        <w:rPr>
          <w:sz w:val="20"/>
          <w:szCs w:val="20"/>
          <w:color w:val="auto"/>
        </w:rPr>
      </w:pPr>
      <w:r>
        <w:rPr>
          <w:rFonts w:ascii="Arial" w:cs="Arial" w:eastAsia="Arial" w:hAnsi="Arial"/>
          <w:sz w:val="17"/>
          <w:szCs w:val="17"/>
          <w:color w:val="0000FF"/>
        </w:rPr>
        <w:t>Common Stock</w:t>
      </w:r>
      <w:r>
        <w:rPr>
          <w:sz w:val="20"/>
          <w:szCs w:val="20"/>
          <w:color w:val="auto"/>
        </w:rPr>
        <w:tab/>
      </w:r>
      <w:r>
        <w:rPr>
          <w:rFonts w:ascii="Arial" w:cs="Arial" w:eastAsia="Arial" w:hAnsi="Arial"/>
          <w:sz w:val="17"/>
          <w:szCs w:val="17"/>
          <w:color w:val="0000FF"/>
        </w:rPr>
        <w:t>34,193.955</w:t>
      </w:r>
      <w:r>
        <w:rPr>
          <w:rFonts w:ascii="Arial" w:cs="Arial" w:eastAsia="Arial" w:hAnsi="Arial"/>
          <w:sz w:val="22"/>
          <w:szCs w:val="22"/>
          <w:color w:val="008000"/>
          <w:vertAlign w:val="superscript"/>
        </w:rPr>
        <w:t>(3)</w:t>
      </w:r>
      <w:r>
        <w:rPr>
          <w:sz w:val="20"/>
          <w:szCs w:val="20"/>
          <w:color w:val="auto"/>
        </w:rPr>
        <w:tab/>
      </w:r>
      <w:r>
        <w:rPr>
          <w:rFonts w:ascii="Arial" w:cs="Arial" w:eastAsia="Arial" w:hAnsi="Arial"/>
          <w:sz w:val="17"/>
          <w:szCs w:val="17"/>
          <w:color w:val="0000FF"/>
        </w:rPr>
        <w:t>I</w:t>
      </w:r>
      <w:r>
        <w:rPr>
          <w:sz w:val="20"/>
          <w:szCs w:val="20"/>
          <w:color w:val="auto"/>
        </w:rPr>
        <w:tab/>
      </w:r>
      <w:r>
        <w:rPr>
          <w:rFonts w:ascii="Arial" w:cs="Arial" w:eastAsia="Arial" w:hAnsi="Arial"/>
          <w:sz w:val="15"/>
          <w:szCs w:val="15"/>
          <w:color w:val="0000FF"/>
        </w:rPr>
        <w:t>Grantor</w:t>
      </w:r>
    </w:p>
    <w:p>
      <w:pPr>
        <w:ind w:left="10520"/>
        <w:spacing w:after="0"/>
        <w:rPr>
          <w:sz w:val="20"/>
          <w:szCs w:val="20"/>
          <w:color w:val="auto"/>
        </w:rPr>
      </w:pPr>
      <w:r>
        <w:rPr>
          <w:rFonts w:ascii="Arial" w:cs="Arial" w:eastAsia="Arial" w:hAnsi="Arial"/>
          <w:sz w:val="17"/>
          <w:szCs w:val="17"/>
          <w:color w:val="0000FF"/>
        </w:rPr>
        <w:t>Retained</w:t>
      </w:r>
    </w:p>
    <w:p>
      <w:pPr>
        <w:spacing w:after="0" w:line="11" w:lineRule="exact"/>
        <w:rPr>
          <w:sz w:val="24"/>
          <w:szCs w:val="24"/>
          <w:color w:val="auto"/>
        </w:rPr>
      </w:pPr>
    </w:p>
    <w:p>
      <w:pPr>
        <w:ind w:left="10520"/>
        <w:spacing w:after="0"/>
        <w:rPr>
          <w:sz w:val="20"/>
          <w:szCs w:val="20"/>
          <w:color w:val="auto"/>
        </w:rPr>
      </w:pPr>
      <w:r>
        <w:rPr>
          <w:rFonts w:ascii="Arial" w:cs="Arial" w:eastAsia="Arial" w:hAnsi="Arial"/>
          <w:sz w:val="17"/>
          <w:szCs w:val="17"/>
          <w:color w:val="0000FF"/>
        </w:rPr>
        <w:t>Annuity</w:t>
      </w:r>
    </w:p>
    <w:p>
      <w:pPr>
        <w:spacing w:after="0" w:line="18" w:lineRule="exact"/>
        <w:rPr>
          <w:sz w:val="24"/>
          <w:szCs w:val="24"/>
          <w:color w:val="auto"/>
        </w:rPr>
      </w:pPr>
    </w:p>
    <w:p>
      <w:pPr>
        <w:ind w:left="10520"/>
        <w:spacing w:after="0"/>
        <w:rPr>
          <w:sz w:val="20"/>
          <w:szCs w:val="20"/>
          <w:color w:val="auto"/>
        </w:rPr>
      </w:pPr>
      <w:r>
        <w:rPr>
          <w:rFonts w:ascii="Arial" w:cs="Arial" w:eastAsia="Arial" w:hAnsi="Arial"/>
          <w:sz w:val="17"/>
          <w:szCs w:val="17"/>
          <w:color w:val="0000FF"/>
        </w:rPr>
        <w:t>Trust</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322"/>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rPr>
              <w:t>17,828.642</w:t>
            </w:r>
            <w:r>
              <w:rPr>
                <w:rFonts w:ascii="Arial" w:cs="Arial" w:eastAsia="Arial" w:hAnsi="Arial"/>
                <w:sz w:val="22"/>
                <w:szCs w:val="22"/>
                <w:color w:val="008000"/>
                <w:vertAlign w:val="superscript"/>
              </w:rPr>
              <w:t>(4)</w:t>
            </w: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8"/>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88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4"/>
              </w:rPr>
              <w:t>Derivative</w:t>
            </w:r>
          </w:p>
        </w:tc>
        <w:tc>
          <w:tcPr>
            <w:tcW w:w="24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Acquired (A)</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174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Qualified</w:t>
            </w:r>
          </w:p>
        </w:tc>
        <w:tc>
          <w:tcPr>
            <w:tcW w:w="8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47.17</w:t>
            </w:r>
          </w:p>
        </w:tc>
        <w:tc>
          <w:tcPr>
            <w:tcW w:w="1020" w:type="dxa"/>
            <w:vAlign w:val="bottom"/>
            <w:vMerge w:val="restart"/>
          </w:tcPr>
          <w:p>
            <w:pPr>
              <w:jc w:val="right"/>
              <w:ind w:right="158"/>
              <w:spacing w:after="0"/>
              <w:rPr>
                <w:sz w:val="20"/>
                <w:szCs w:val="20"/>
                <w:color w:val="auto"/>
              </w:rPr>
            </w:pPr>
            <w:r>
              <w:rPr>
                <w:rFonts w:ascii="Arial" w:cs="Arial" w:eastAsia="Arial" w:hAnsi="Arial"/>
                <w:sz w:val="13"/>
                <w:szCs w:val="13"/>
                <w:color w:val="0000FF"/>
              </w:rPr>
              <w:t>11/01/2016</w:t>
            </w:r>
          </w:p>
        </w:tc>
        <w:tc>
          <w:tcPr>
            <w:tcW w:w="1160" w:type="dxa"/>
            <w:vAlign w:val="bottom"/>
          </w:tcPr>
          <w:p>
            <w:pPr>
              <w:spacing w:after="0"/>
              <w:rPr>
                <w:sz w:val="12"/>
                <w:szCs w:val="12"/>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660" w:type="dxa"/>
            <w:vAlign w:val="bottom"/>
            <w:vMerge w:val="restart"/>
          </w:tcPr>
          <w:p>
            <w:pPr>
              <w:ind w:left="100"/>
              <w:spacing w:after="0"/>
              <w:rPr>
                <w:sz w:val="20"/>
                <w:szCs w:val="20"/>
                <w:color w:val="auto"/>
              </w:rPr>
            </w:pPr>
            <w:r>
              <w:rPr>
                <w:rFonts w:ascii="Arial" w:cs="Arial" w:eastAsia="Arial" w:hAnsi="Arial"/>
                <w:sz w:val="13"/>
                <w:szCs w:val="13"/>
                <w:color w:val="0000FF"/>
              </w:rPr>
              <w:t>4,951</w:t>
            </w:r>
            <w:r>
              <w:rPr>
                <w:rFonts w:ascii="Arial" w:cs="Arial" w:eastAsia="Arial" w:hAnsi="Arial"/>
                <w:sz w:val="22"/>
                <w:szCs w:val="22"/>
                <w:color w:val="008000"/>
                <w:vertAlign w:val="superscript"/>
              </w:rPr>
              <w:t>(5)</w:t>
            </w:r>
          </w:p>
        </w:tc>
        <w:tc>
          <w:tcPr>
            <w:tcW w:w="24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11/01/2026</w:t>
            </w:r>
          </w:p>
        </w:tc>
        <w:tc>
          <w:tcPr>
            <w:tcW w:w="720" w:type="dxa"/>
            <w:vAlign w:val="bottom"/>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4,951</w:t>
            </w: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vMerge w:val="restart"/>
          </w:tcPr>
          <w:p>
            <w:pPr>
              <w:ind w:left="340"/>
              <w:spacing w:after="0"/>
              <w:rPr>
                <w:sz w:val="20"/>
                <w:szCs w:val="20"/>
                <w:color w:val="auto"/>
              </w:rPr>
            </w:pPr>
            <w:r>
              <w:rPr>
                <w:rFonts w:ascii="Arial" w:cs="Arial" w:eastAsia="Arial" w:hAnsi="Arial"/>
                <w:sz w:val="13"/>
                <w:szCs w:val="13"/>
                <w:color w:val="0000FF"/>
              </w:rPr>
              <w:t>4,951</w:t>
            </w:r>
          </w:p>
        </w:tc>
        <w:tc>
          <w:tcPr>
            <w:tcW w:w="880" w:type="dxa"/>
            <w:vAlign w:val="bottom"/>
            <w:vMerge w:val="restart"/>
          </w:tcPr>
          <w:p>
            <w:pPr>
              <w:ind w:left="440"/>
              <w:spacing w:after="0"/>
              <w:rPr>
                <w:sz w:val="20"/>
                <w:szCs w:val="20"/>
                <w:color w:val="auto"/>
              </w:rPr>
            </w:pPr>
            <w:r>
              <w:rPr>
                <w:rFonts w:ascii="Arial" w:cs="Arial" w:eastAsia="Arial" w:hAnsi="Arial"/>
                <w:sz w:val="13"/>
                <w:szCs w:val="13"/>
                <w:color w:val="0000FF"/>
              </w:rPr>
              <w:t>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Amended and Restated 2010 Equity and Incentive Plan, as amended (the "Amended and Restated 2010 Plan").</w:t>
      </w:r>
    </w:p>
    <w:p>
      <w:pPr>
        <w:spacing w:after="0" w:line="10" w:lineRule="exact"/>
        <w:rPr>
          <w:rFonts w:ascii="Arial" w:cs="Arial" w:eastAsia="Arial" w:hAnsi="Arial"/>
          <w:sz w:val="13"/>
          <w:szCs w:val="13"/>
          <w:color w:val="008000"/>
        </w:rPr>
      </w:pPr>
    </w:p>
    <w:p>
      <w:pPr>
        <w:jc w:val="both"/>
        <w:ind w:left="40" w:right="480" w:firstLine="7"/>
        <w:spacing w:after="0" w:line="25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16, 2016, the common stock of the issuer split two-for-one (the "Stock Split"), resulting in the reporting person's ownership of 16,423.579 additional shares of common stock. Also includes 189.545 post-split shares of common stock acquired by the reporting person under the dividend reinvestment feature of The Toro Company Direct Stock Purchase Plan (the "DRIP") since the date of his last report. All future Form 4 and 5 filings made by the reporting person will include adjustments, as necessary, to reflect the Stock Split.</w:t>
      </w:r>
    </w:p>
    <w:p>
      <w:pPr>
        <w:spacing w:after="0" w:line="23" w:lineRule="exact"/>
        <w:rPr>
          <w:rFonts w:ascii="Arial" w:cs="Arial" w:eastAsia="Arial" w:hAnsi="Arial"/>
          <w:sz w:val="13"/>
          <w:szCs w:val="13"/>
          <w:color w:val="008000"/>
        </w:rPr>
      </w:pPr>
    </w:p>
    <w:p>
      <w:pPr>
        <w:ind w:left="40" w:right="2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403.109 post-split shares of common stock acquired by the reporting person under the DRIP since the date of his last report and 16,895.423 additional shares of common stock as a result of the Stock Split.</w:t>
      </w:r>
    </w:p>
    <w:p>
      <w:pPr>
        <w:spacing w:after="0" w:line="10" w:lineRule="exact"/>
        <w:rPr>
          <w:rFonts w:ascii="Arial" w:cs="Arial" w:eastAsia="Arial" w:hAnsi="Arial"/>
          <w:sz w:val="13"/>
          <w:szCs w:val="13"/>
          <w:color w:val="008000"/>
        </w:rPr>
      </w:pPr>
    </w:p>
    <w:p>
      <w:pPr>
        <w:ind w:left="40" w:right="18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175.336 post-split common stock units acquired by the reporting person under the dividend reinvestment feature of The Toro Company Deferred Compensation Plan for Non-Employee Directors since the date of his last report and 8,826.653 additional common stock units acquired as a result of the Stock Split.</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Amended and Restated 2010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520" w:type="dxa"/>
            <w:vAlign w:val="bottom"/>
          </w:tcPr>
          <w:p>
            <w:pPr>
              <w:spacing w:after="0"/>
              <w:rPr>
                <w:sz w:val="16"/>
                <w:szCs w:val="16"/>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11/03/2016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9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2019-12-23T21:02:42Z</dcterms:created>
  <dcterms:modified xsi:type="dcterms:W3CDTF">2019-12-23T21:02:42Z</dcterms:modified>
</cp:coreProperties>
</file>