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28, 2011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No 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February 25, 2011 was 31,040,200.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00" w:type="dxa"/>
            <w:vAlign w:val="bottom"/>
          </w:tcPr>
          <w:p>
            <w:pPr>
              <w:spacing w:after="0"/>
              <w:rPr>
                <w:sz w:val="24"/>
                <w:szCs w:val="24"/>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top w:val="single" w:sz="8" w:color="0000EE"/>
            </w:tcBorders>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0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00" w:type="dxa"/>
            <w:vAlign w:val="bottom"/>
            <w:gridSpan w:val="12"/>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(Unaudited) - Three Months Ended January 28, 2011 and January 29, 2010</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Balance Sheets (Unaudited) - January 28, 2011, January 29, 2010, and October 31, 2010</w:t>
              </w:r>
            </w:hyperlink>
          </w:p>
        </w:tc>
        <w:tc>
          <w:tcPr>
            <w:tcW w:w="740" w:type="dxa"/>
            <w:vAlign w:val="bottom"/>
            <w:tcBorders>
              <w:top w:val="single" w:sz="8" w:color="0000EE"/>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Cash Flows (Unaudited) - Three Months Ended January 28, 2011 and January 29,</w:t>
              </w:r>
            </w:hyperlink>
          </w:p>
        </w:tc>
        <w:tc>
          <w:tcPr>
            <w:tcW w:w="8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2010</w:t>
              </w:r>
            </w:hyperlink>
          </w:p>
        </w:tc>
        <w:tc>
          <w:tcPr>
            <w:tcW w:w="6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418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3.</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4.</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6"/>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2200" w:type="dxa"/>
            <w:vAlign w:val="bottom"/>
            <w:gridSpan w:val="9"/>
          </w:tcPr>
          <w:p>
            <w:pPr>
              <w:ind w:left="20"/>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2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1.</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74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18">
              <w:r>
                <w:rPr>
                  <w:rFonts w:ascii="Arial" w:cs="Arial" w:eastAsia="Arial" w:hAnsi="Arial"/>
                  <w:sz w:val="18"/>
                  <w:szCs w:val="18"/>
                  <w:b w:val="1"/>
                  <w:bCs w:val="1"/>
                  <w:color w:val="0000EE"/>
                  <w:w w:val="94"/>
                </w:rPr>
                <w:t>Item 1A.</w:t>
              </w:r>
            </w:hyperlink>
          </w:p>
        </w:tc>
        <w:tc>
          <w:tcPr>
            <w:tcW w:w="4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900" w:type="dxa"/>
            <w:vAlign w:val="bottom"/>
            <w:gridSpan w:val="3"/>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140" w:type="dxa"/>
            <w:vAlign w:val="bottom"/>
            <w:gridSpan w:val="6"/>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6"/>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6.</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jc w:val="center"/>
              <w:ind w:left="2110"/>
              <w:spacing w:after="0"/>
              <w:rPr>
                <w:sz w:val="20"/>
                <w:szCs w:val="20"/>
                <w:color w:val="auto"/>
              </w:rPr>
            </w:pPr>
            <w:r>
              <w:rPr>
                <w:rFonts w:ascii="Arial" w:cs="Arial" w:eastAsia="Arial" w:hAnsi="Arial"/>
                <w:sz w:val="18"/>
                <w:szCs w:val="18"/>
                <w:color w:val="auto"/>
                <w:w w:val="99"/>
              </w:rPr>
              <w:t>2</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1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Item 1. FINANCIAL STATEMENTS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rPr>
              <w:t>THE TORO COMPANY AND SUBSIDIARIES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Condensed Consolidated Statements of Earnings (Unaudited)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(Dollars and shares in thousands, except per share data)</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2"/>
              <w:spacing w:after="0" w:line="119" w:lineRule="exact"/>
              <w:rPr>
                <w:sz w:val="20"/>
                <w:szCs w:val="20"/>
                <w:color w:val="auto"/>
              </w:rPr>
            </w:pPr>
            <w:r>
              <w:rPr>
                <w:rFonts w:ascii="Arial" w:cs="Arial" w:eastAsia="Arial" w:hAnsi="Arial"/>
                <w:sz w:val="13"/>
                <w:szCs w:val="13"/>
                <w:b w:val="1"/>
                <w:bCs w:val="1"/>
                <w:color w:val="auto"/>
              </w:rPr>
              <w:t>January 29,</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246,568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14"/>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136,645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w w:val="93"/>
              </w:rPr>
              <w:t>Selling, general, and administrative expense</w:t>
            </w: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109,444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96,599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14"/>
            <w:shd w:val="clear" w:color="auto" w:fill="CCEEFF"/>
          </w:tcPr>
          <w:p>
            <w:pPr>
              <w:ind w:left="340"/>
              <w:spacing w:after="0"/>
              <w:rPr>
                <w:sz w:val="20"/>
                <w:szCs w:val="20"/>
                <w:color w:val="auto"/>
              </w:rPr>
            </w:pPr>
            <w:r>
              <w:rPr>
                <w:rFonts w:ascii="Arial" w:cs="Arial" w:eastAsia="Arial" w:hAnsi="Arial"/>
                <w:sz w:val="18"/>
                <w:szCs w:val="18"/>
                <w:color w:val="auto"/>
              </w:rPr>
              <w:t>Operating earnings</w:t>
            </w:r>
          </w:p>
        </w:tc>
        <w:tc>
          <w:tcPr>
            <w:tcW w:w="2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(4,116)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14"/>
          </w:tcPr>
          <w:p>
            <w:pPr>
              <w:ind w:left="340"/>
              <w:spacing w:after="0"/>
              <w:rPr>
                <w:sz w:val="20"/>
                <w:szCs w:val="20"/>
                <w:color w:val="auto"/>
              </w:rPr>
            </w:pPr>
            <w:r>
              <w:rPr>
                <w:rFonts w:ascii="Arial" w:cs="Arial" w:eastAsia="Arial" w:hAnsi="Arial"/>
                <w:sz w:val="18"/>
                <w:szCs w:val="18"/>
                <w:color w:val="auto"/>
              </w:rPr>
              <w:t>Earnings before income taxes</w:t>
            </w: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14"/>
          </w:tcPr>
          <w:p>
            <w:pPr>
              <w:ind w:left="340"/>
              <w:spacing w:after="0"/>
              <w:rPr>
                <w:sz w:val="20"/>
                <w:szCs w:val="20"/>
                <w:color w:val="auto"/>
              </w:rPr>
            </w:pPr>
            <w:r>
              <w:rPr>
                <w:rFonts w:ascii="Arial" w:cs="Arial" w:eastAsia="Arial" w:hAnsi="Arial"/>
                <w:sz w:val="18"/>
                <w:szCs w:val="18"/>
                <w:color w:val="auto"/>
              </w:rPr>
              <w:t>Net earnings</w:t>
            </w:r>
          </w:p>
        </w:tc>
        <w:tc>
          <w:tcPr>
            <w:tcW w:w="25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w w:val="89"/>
              </w:rPr>
              <w:t>Basic net earnings per share of common stock</w:t>
            </w:r>
          </w:p>
        </w:tc>
        <w:tc>
          <w:tcPr>
            <w:tcW w:w="2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20" w:type="dxa"/>
            <w:vAlign w:val="bottom"/>
            <w:gridSpan w:val="17"/>
          </w:tcPr>
          <w:p>
            <w:pPr>
              <w:spacing w:after="0"/>
              <w:rPr>
                <w:sz w:val="20"/>
                <w:szCs w:val="20"/>
                <w:color w:val="auto"/>
              </w:rPr>
            </w:pPr>
            <w:r>
              <w:rPr>
                <w:rFonts w:ascii="Arial" w:cs="Arial" w:eastAsia="Arial" w:hAnsi="Arial"/>
                <w:sz w:val="18"/>
                <w:szCs w:val="18"/>
                <w:color w:val="auto"/>
              </w:rPr>
              <w:t>Diluted net earnings per share of common stock</w:t>
            </w: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17"/>
          </w:tcPr>
          <w:p>
            <w:pPr>
              <w:spacing w:after="0"/>
              <w:rPr>
                <w:sz w:val="20"/>
                <w:szCs w:val="20"/>
                <w:color w:val="auto"/>
              </w:rPr>
            </w:pPr>
            <w:r>
              <w:rPr>
                <w:rFonts w:ascii="Arial" w:cs="Arial" w:eastAsia="Arial" w:hAnsi="Arial"/>
                <w:sz w:val="18"/>
                <w:szCs w:val="18"/>
                <w:color w:val="auto"/>
              </w:rPr>
              <w:t>Weighted-average number of shares of common stock outstanding — Basic</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31,858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20" w:type="dxa"/>
            <w:vAlign w:val="bottom"/>
            <w:gridSpan w:val="17"/>
          </w:tcPr>
          <w:p>
            <w:pPr>
              <w:spacing w:after="0"/>
              <w:rPr>
                <w:sz w:val="20"/>
                <w:szCs w:val="20"/>
                <w:color w:val="auto"/>
              </w:rPr>
            </w:pPr>
            <w:r>
              <w:rPr>
                <w:rFonts w:ascii="Arial" w:cs="Arial" w:eastAsia="Arial" w:hAnsi="Arial"/>
                <w:sz w:val="18"/>
                <w:szCs w:val="18"/>
                <w:color w:val="auto"/>
              </w:rPr>
              <w:t>Weighted-average number of shares of common stock outstanding — Diluted</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32,443</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34,294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40" w:type="dxa"/>
            <w:vAlign w:val="bottom"/>
            <w:gridSpan w:val="18"/>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jc w:val="center"/>
              <w:ind w:left="2110"/>
              <w:spacing w:after="0"/>
              <w:rPr>
                <w:sz w:val="20"/>
                <w:szCs w:val="20"/>
                <w:color w:val="auto"/>
              </w:rPr>
            </w:pPr>
            <w:r>
              <w:rPr>
                <w:rFonts w:ascii="Arial" w:cs="Arial" w:eastAsia="Arial" w:hAnsi="Arial"/>
                <w:sz w:val="18"/>
                <w:szCs w:val="18"/>
                <w:color w:val="auto"/>
                <w:w w:val="99"/>
              </w:rPr>
              <w:t>3</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1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rPr>
              <w:t>THE TORO COMPANY AND SUBSIDIARIES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89"/>
              </w:rPr>
              <w:t>(Dollars in thousands)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24"/>
                <w:szCs w:val="2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80" w:type="dxa"/>
            <w:vAlign w:val="bottom"/>
            <w:tcBorders>
              <w:bottom w:val="single" w:sz="8" w:color="CCEEFF"/>
            </w:tcBorders>
            <w:gridSpan w:val="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94,418</w:t>
            </w: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158,210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171,155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167,260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w w:val="89"/>
              </w:rPr>
              <w:t>Inventories,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239,734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191,071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w w:val="96"/>
              </w:rPr>
              <w:t>Prepaid expenses and other current assets</w:t>
            </w:r>
          </w:p>
        </w:tc>
        <w:tc>
          <w:tcPr>
            <w:tcW w:w="2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18,441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rPr>
              <w:t>Deferred income taxes</w:t>
            </w: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59,019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58,316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14"/>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593,298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584,973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602,951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560,001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ind w:left="160"/>
              <w:spacing w:after="0"/>
              <w:rPr>
                <w:sz w:val="20"/>
                <w:szCs w:val="20"/>
                <w:color w:val="auto"/>
              </w:rPr>
            </w:pPr>
            <w:r>
              <w:rPr>
                <w:rFonts w:ascii="Arial" w:cs="Arial" w:eastAsia="Arial" w:hAnsi="Arial"/>
                <w:sz w:val="18"/>
                <w:szCs w:val="18"/>
                <w:color w:val="auto"/>
              </w:rPr>
              <w:t>Less accumulated depreciation</w:t>
            </w: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430,303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394,074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420,663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15,961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12,774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91,875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86,427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rPr>
              <w:t>Other intangible assets, net</w:t>
            </w: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35,617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22,636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w w:val="96"/>
              </w:rPr>
              <w:t>Total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-8500110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-8500110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-3654425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-3654425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324"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jc w:val="right"/>
              <w:ind w:right="2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2,478</w:t>
            </w:r>
          </w:p>
        </w:tc>
        <w:tc>
          <w:tcPr>
            <w:tcW w:w="420" w:type="dxa"/>
            <w:vAlign w:val="bottom"/>
            <w:tcBorders>
              <w:top w:val="single" w:sz="8" w:color="CCEEFF"/>
            </w:tcBorders>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3,985</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1,970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149,702</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109,556</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125,138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235,076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205,651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387,449</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319,892</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225,101</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224,062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223,578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10,734</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7,330</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7,526</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4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par value $1.00 per share, authorized 100,000,000 shares, issued and</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outstanding 31,106,669 shares as of January 28, 2011, 33,615,011 shares as of</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January 29, 2010, and 31,394,942 shares as of October 31, 2010</w:t>
            </w:r>
          </w:p>
        </w:tc>
        <w:tc>
          <w:tcPr>
            <w:tcW w:w="4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31,107</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33,615</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31,395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243,540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300,750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(8,550)</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(9,115)</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325,250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896,711</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884,634</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17,282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used for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Equity (income) losses from affiliates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loss on disposal of property, plant, and equipment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(28,260)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(3,546)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operating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investment in affiliates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Decrease in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short-term debt,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long-term debt, net of costs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(970)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5,118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(29,836)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(6,389)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(82,948)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177,366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187,773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issued in connection with an acquisition</w:t>
            </w: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324"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5422900</wp:posOffset>
            </wp:positionH>
            <wp:positionV relativeFrom="page">
              <wp:posOffset>88900</wp:posOffset>
            </wp:positionV>
            <wp:extent cx="1912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12620" cy="8890"/>
                    </a:xfrm>
                    <a:prstGeom prst="rect">
                      <a:avLst/>
                    </a:prstGeom>
                    <a:noFill/>
                  </pic:spPr>
                </pic:pic>
              </a:graphicData>
            </a:graphic>
          </wp:anchor>
        </w:drawing>
        <w:t>See accompanying 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28,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three months ended January 28, 2011 cannot be annualized to determine the expected results for the fiscal year ending October 31, 2011. Additional factors that could cause the company’s actual results to differ materially from its expected results, including any forward-looking statements made in this report, are described in the company’s most recently filed Annual Report on Form 10-K (Item 1A. Risk Factors) and later in this report under Item 2, Management’s Discussion and Analysis of Financial Condition and Results of Operations — Forward-Looking Information.</w:t>
      </w:r>
    </w:p>
    <w:p>
      <w:pPr>
        <w:spacing w:after="0" w:line="182"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ind w:right="320" w:firstLine="272"/>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2010.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allowance for doubtful accounts, pension and postretirement accruals, self-insurance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the company’s Annual Report on Form 10-K (Item 1A. Risk Factors) for the fiscal year ended October 31, 2010, which include, among others, economic conditions, foreign currency exchange rate impact, commodity costs, credit conditions, and consumer spending and confidence levels, all of which may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resulting from changes in the economic environment will be reflected in the consolidated financial statements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January 17, 2011, during the first quarter of fiscal 2011, the company completed the acquisition of a majority of the assets and assumed certain liabilities from Unique Lighting Systems, Inc. (Unique Lighting), a leading manufacturer of professionally installed landscape lighting fixtures and transformers for residential and commercial use. The estimated purchase price was $19.1 million, which included a cash payment, the issuance of a long-term note, and an estimated earnout consideration. The earnout is based on annual financial results over certain thresholds as defined in the agreement from fiscal 2011 through fiscal 2016.</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acquisition was immaterial based on the company’s consolidated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28,</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January 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Pension liability adjustment, net of tax</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Unrealized gain on derivative instruments, net of tax</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355" w:right="25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equity-based compensation plans, option awards are granted with an exercise price equal to the closing price of the company’s common stock on the date of grant, as reported by the New York Stock Exchange. Options are generally granted to non-employee directors, officers, and other key employees on an annual basis in the first quarter of the company’s fiscal year. Option awards generally vest one-third each year over a three-year period and have a ten-year term. Other option awards granted to certain key employees vest in full on the three-year anniversary of the date of grant and have a ten-year term. Compensation expense equal to the grant date fair value is generally recognized for these awards over the vesting period. However, if a non-employee director has served on the company’s Board of Directors for ten full fiscal years or longer, the fair value of the options granted is fully expensed on the date of the grant. Similarly, options granted to officers and other key employees are also subject to accelerated expensing if the option holder meets the retirement definition set forth in the applicable equity-based compensation plan. In that case, the fair value of the options is expensed in the fiscal year of grant because the option holder must be employed as of the end of the fiscal year in which the options are granted in order for the option to continue to vest following retirement.</w:t>
      </w:r>
    </w:p>
    <w:p>
      <w:pPr>
        <w:spacing w:after="0" w:line="178"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00" w:type="dxa"/>
            <w:vAlign w:val="bottom"/>
            <w:gridSpan w:val="3"/>
          </w:tcPr>
          <w:p>
            <w:pPr>
              <w:ind w:left="520"/>
              <w:spacing w:after="0"/>
              <w:rPr>
                <w:sz w:val="20"/>
                <w:szCs w:val="20"/>
                <w:color w:val="auto"/>
              </w:rPr>
            </w:pPr>
            <w:r>
              <w:rPr>
                <w:rFonts w:ascii="Arial" w:cs="Arial" w:eastAsia="Arial" w:hAnsi="Arial"/>
                <w:sz w:val="14"/>
                <w:szCs w:val="14"/>
                <w:b w:val="1"/>
                <w:bCs w:val="1"/>
                <w:color w:val="auto"/>
              </w:rPr>
              <w:t>Fiscal 2011</w:t>
            </w:r>
          </w:p>
        </w:tc>
        <w:tc>
          <w:tcPr>
            <w:tcW w:w="1820" w:type="dxa"/>
            <w:vAlign w:val="bottom"/>
            <w:gridSpan w:val="2"/>
          </w:tcPr>
          <w:p>
            <w:pPr>
              <w:ind w:left="520"/>
              <w:spacing w:after="0"/>
              <w:rPr>
                <w:sz w:val="20"/>
                <w:szCs w:val="20"/>
                <w:color w:val="auto"/>
              </w:rPr>
            </w:pPr>
            <w:r>
              <w:rPr>
                <w:rFonts w:ascii="Arial" w:cs="Arial" w:eastAsia="Arial" w:hAnsi="Arial"/>
                <w:sz w:val="14"/>
                <w:szCs w:val="14"/>
                <w:b w:val="1"/>
                <w:bCs w:val="1"/>
                <w:color w:val="auto"/>
              </w:rPr>
              <w:t>Fiscal 2010</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8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right="710"/>
              <w:spacing w:after="0"/>
              <w:rPr>
                <w:sz w:val="20"/>
                <w:szCs w:val="20"/>
                <w:color w:val="auto"/>
              </w:rPr>
            </w:pPr>
            <w:r>
              <w:rPr>
                <w:rFonts w:ascii="Arial" w:cs="Arial" w:eastAsia="Arial" w:hAnsi="Arial"/>
                <w:sz w:val="18"/>
                <w:szCs w:val="18"/>
                <w:color w:val="auto"/>
                <w:w w:val="79"/>
              </w:rPr>
              <w:t>6</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33.34%</w:t>
            </w:r>
          </w:p>
        </w:tc>
        <w:tc>
          <w:tcPr>
            <w:tcW w:w="920" w:type="dxa"/>
            <w:vAlign w:val="bottom"/>
          </w:tcPr>
          <w:p>
            <w:pPr>
              <w:ind w:left="40"/>
              <w:spacing w:after="0"/>
              <w:rPr>
                <w:sz w:val="20"/>
                <w:szCs w:val="20"/>
                <w:color w:val="auto"/>
              </w:rPr>
            </w:pPr>
            <w:r>
              <w:rPr>
                <w:rFonts w:ascii="Arial" w:cs="Arial" w:eastAsia="Arial" w:hAnsi="Arial"/>
                <w:sz w:val="18"/>
                <w:szCs w:val="18"/>
                <w:color w:val="auto"/>
              </w:rPr>
              <w:t>- 33.43%</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33.0% - 33.1%</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33.42%</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33.0%</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8"/>
                <w:szCs w:val="18"/>
                <w:color w:val="auto"/>
              </w:rPr>
              <w:t>1.721%</w:t>
            </w:r>
          </w:p>
        </w:tc>
        <w:tc>
          <w:tcPr>
            <w:tcW w:w="920" w:type="dxa"/>
            <w:vAlign w:val="bottom"/>
          </w:tcPr>
          <w:p>
            <w:pPr>
              <w:ind w:left="40"/>
              <w:spacing w:after="0"/>
              <w:rPr>
                <w:sz w:val="20"/>
                <w:szCs w:val="20"/>
                <w:color w:val="auto"/>
              </w:rPr>
            </w:pPr>
            <w:r>
              <w:rPr>
                <w:rFonts w:ascii="Arial" w:cs="Arial" w:eastAsia="Arial" w:hAnsi="Arial"/>
                <w:sz w:val="18"/>
                <w:szCs w:val="18"/>
                <w:color w:val="auto"/>
              </w:rPr>
              <w:t>- 2.359%</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2.51% - 2.87%</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- 1.16%</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1.52%- 1.68%</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3"/>
              </w:rPr>
              <w:t>1.05%</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weighted-average fair value</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$20.30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$12.33</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grants to officers and other key employees long-term performance share awards pursuant to which they are entitled to the right to receive shares of common stock or performance share units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over a three-year period. Performance share awards are granted on an annual basis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of the company’s fiscal year. Compensation expense is recognized for these awards on a straight-line basis over the vesting period based on the fair value as of the date of grant and the probability of achieving performance goals. The fair value of performance share awards granted during the first quarter of each of fiscal 2011 and 2010 was $63.52 per share and $40.73 per share,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first quarter of fiscal 2011, the company began granting restricted stock awards to certain non-officer employees. These restricted stock awards generally vest one-third each year over a three-year period or on the three-year anniversary of the date of grant. Previously, the company granted limited restricted stock awards with varying vesting schedules. Compensation expense equal to the grant date fair value, which is equal to the closing price of the company’s common stock on the date of grant, is generally recognized for these awards over the vesting period. Similar to stock options, restricted stock awards are also subject to accelerated expensing if the restricted stock award holder meets the retirement definition set forth in the applicable equity-based compensation plan. In that case, the fair value of the restricted stock award is expensed in the fiscal year of grant because the restricted stock holder must be employed as of the end of the fiscal year in which the restricted stock awards are granted in order for the restricted stock award to continue to vest following retirement. The weighted average fair value of restricted stock awards granted during the first quarter of fiscal 2011 was $63.42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216,502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179,277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295,476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241,214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Less: adjustment to LIFO value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55,742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50,143</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55,742</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1"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660" w:type="dxa"/>
            <w:vAlign w:val="bottom"/>
            <w:tcBorders>
              <w:top w:val="single" w:sz="8" w:color="auto"/>
            </w:tcBorders>
            <w:gridSpan w:val="2"/>
          </w:tcPr>
          <w:p>
            <w:pPr>
              <w:ind w:left="320"/>
              <w:spacing w:after="0" w:line="119" w:lineRule="exact"/>
              <w:rPr>
                <w:sz w:val="20"/>
                <w:szCs w:val="20"/>
                <w:color w:val="auto"/>
              </w:rPr>
            </w:pPr>
            <w:r>
              <w:rPr>
                <w:rFonts w:ascii="Arial" w:cs="Arial" w:eastAsia="Arial" w:hAnsi="Arial"/>
                <w:sz w:val="13"/>
                <w:szCs w:val="13"/>
                <w:b w:val="1"/>
                <w:bCs w:val="1"/>
                <w:color w:val="auto"/>
              </w:rPr>
              <w:t>January 28,</w:t>
            </w:r>
          </w:p>
        </w:tc>
        <w:tc>
          <w:tcPr>
            <w:tcW w:w="136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gridSpan w:val="5"/>
            <w:vMerge w:val="continue"/>
          </w:tcPr>
          <w:p>
            <w:pPr>
              <w:spacing w:after="0"/>
              <w:rPr>
                <w:sz w:val="14"/>
                <w:szCs w:val="14"/>
                <w:color w:val="auto"/>
              </w:rPr>
            </w:pPr>
          </w:p>
        </w:tc>
        <w:tc>
          <w:tcPr>
            <w:tcW w:w="13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4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31,848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34,022</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gridSpan w:val="4"/>
          </w:tcPr>
          <w:p>
            <w:pPr>
              <w:spacing w:after="0" w:line="182" w:lineRule="exact"/>
              <w:rPr>
                <w:sz w:val="20"/>
                <w:szCs w:val="20"/>
                <w:color w:val="auto"/>
              </w:rPr>
            </w:pPr>
            <w:r>
              <w:rPr>
                <w:rFonts w:ascii="Arial" w:cs="Arial" w:eastAsia="Arial" w:hAnsi="Arial"/>
                <w:sz w:val="18"/>
                <w:szCs w:val="18"/>
                <w:color w:val="auto"/>
                <w:w w:val="95"/>
              </w:rPr>
              <w:t>Weighted-average number of shares of common stock and assumed</w:t>
            </w:r>
          </w:p>
        </w:tc>
        <w:tc>
          <w:tcPr>
            <w:tcW w:w="16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31,858</w:t>
            </w: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34,030</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66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gridSpan w:val="4"/>
          </w:tcPr>
          <w:p>
            <w:pPr>
              <w:spacing w:after="0" w:line="201" w:lineRule="exact"/>
              <w:rPr>
                <w:sz w:val="20"/>
                <w:szCs w:val="20"/>
                <w:color w:val="auto"/>
              </w:rPr>
            </w:pPr>
            <w:r>
              <w:rPr>
                <w:rFonts w:ascii="Arial" w:cs="Arial" w:eastAsia="Arial" w:hAnsi="Arial"/>
                <w:sz w:val="18"/>
                <w:szCs w:val="18"/>
                <w:color w:val="auto"/>
                <w:w w:val="95"/>
              </w:rPr>
              <w:t>Weighted-average number of shares of common stock and assumed</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31,858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34,030</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20" w:type="dxa"/>
            <w:vAlign w:val="bottom"/>
            <w:gridSpan w:val="4"/>
          </w:tcPr>
          <w:p>
            <w:pPr>
              <w:spacing w:after="0" w:line="182" w:lineRule="exact"/>
              <w:rPr>
                <w:sz w:val="20"/>
                <w:szCs w:val="20"/>
                <w:color w:val="auto"/>
              </w:rPr>
            </w:pPr>
            <w:r>
              <w:rPr>
                <w:rFonts w:ascii="Arial" w:cs="Arial" w:eastAsia="Arial" w:hAnsi="Arial"/>
                <w:sz w:val="18"/>
                <w:szCs w:val="18"/>
                <w:color w:val="auto"/>
              </w:rPr>
              <w:t>Weighted-average number of shares of common stock, assumed</w:t>
            </w:r>
          </w:p>
        </w:tc>
        <w:tc>
          <w:tcPr>
            <w:tcW w:w="16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32,443</w:t>
            </w: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34,294</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 and effect of dilutive securities</w:t>
            </w:r>
          </w:p>
        </w:tc>
        <w:tc>
          <w:tcPr>
            <w:tcW w:w="16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776"/>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285"/>
        <w:spacing w:after="0" w:line="264" w:lineRule="auto"/>
        <w:rPr>
          <w:sz w:val="20"/>
          <w:szCs w:val="20"/>
          <w:color w:val="auto"/>
        </w:rPr>
      </w:pPr>
      <w:r>
        <w:rPr>
          <w:rFonts w:ascii="Arial" w:cs="Arial" w:eastAsia="Arial" w:hAnsi="Arial"/>
          <w:sz w:val="18"/>
          <w:szCs w:val="18"/>
          <w:color w:val="auto"/>
        </w:rPr>
        <w:t>Options to purchase an aggregate of 213,915 and 742,607 shares of common stock outstanding as of January 28, 2011 and January 29, 2010, respectively, were excluded from the diluted net earnings per share calculations because their exercise prices were greater than the average market price of the company’s common stock during the same respective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2011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Addition from an acquisition</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and other adjustments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color w:val="auto"/>
              </w:rPr>
              <w:t>Balance as of January 28, 2011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80,875</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91,875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Estimated</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January 28, 2011</w:t>
            </w:r>
          </w:p>
        </w:tc>
        <w:tc>
          <w:tcPr>
            <w:tcW w:w="2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Patents</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8"/>
              </w:rPr>
              <w:t>5-13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9,304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(7,140)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Customer related</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8"/>
              </w:rPr>
              <w:t>5-13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7,963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(2,238)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22,628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(4,950)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17,678</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47,534</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Non-amortizable - trade name</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5,281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52,815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Estimated</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October 31, 2010</w:t>
            </w:r>
          </w:p>
        </w:tc>
        <w:tc>
          <w:tcPr>
            <w:tcW w:w="2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5-13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8"/>
              </w:rPr>
              <w:t>2-10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3,039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10-13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8"/>
              </w:rPr>
              <w:t>2-10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13,984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(4,511)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20" w:type="dxa"/>
            <w:vAlign w:val="bottom"/>
            <w:gridSpan w:val="3"/>
          </w:tcPr>
          <w:p>
            <w:pPr>
              <w:ind w:left="180"/>
              <w:spacing w:after="0"/>
              <w:rPr>
                <w:sz w:val="20"/>
                <w:szCs w:val="20"/>
                <w:color w:val="auto"/>
              </w:rPr>
            </w:pPr>
            <w:r>
              <w:rPr>
                <w:rFonts w:ascii="Arial" w:cs="Arial" w:eastAsia="Arial" w:hAnsi="Arial"/>
                <w:sz w:val="18"/>
                <w:szCs w:val="18"/>
                <w:color w:val="auto"/>
              </w:rPr>
              <w:t>Total amortizable</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(16,316)</w:t>
            </w:r>
          </w:p>
        </w:tc>
        <w:tc>
          <w:tcPr>
            <w:tcW w:w="28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Non-amortizable - trade name</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3"/>
          </w:tcPr>
          <w:p>
            <w:pPr>
              <w:spacing w:after="0"/>
              <w:rPr>
                <w:sz w:val="20"/>
                <w:szCs w:val="20"/>
                <w:color w:val="auto"/>
              </w:rPr>
            </w:pPr>
            <w:r>
              <w:rPr>
                <w:rFonts w:ascii="Arial" w:cs="Arial" w:eastAsia="Arial" w:hAnsi="Arial"/>
                <w:sz w:val="18"/>
                <w:szCs w:val="18"/>
                <w:color w:val="auto"/>
              </w:rPr>
              <w:t>Total other intangible assets, net</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(16,316</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2011 was $0.9 million. Estimated amortization expense for the remainder of fiscal 2011 and succeeding fiscal years is as follows: fiscal 2011 (remainder), $5.0 million; fiscal 2012, $4.9 million; fiscal 2013, $4.6 million; fiscal 2014, $4.4 million; fiscal 2015, $4.1 million; fiscal 2016, $3.6 million; and after fiscal 2016, $3.7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August 12,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2014, subject to unlimited automatic two-year extensions thereafter. Either the company or TCFIF may</w:t>
      </w:r>
    </w:p>
    <w:p>
      <w:pPr>
        <w:sectPr>
          <w:pgSz w:w="11900" w:h="16838" w:orient="portrait"/>
          <w:cols w:equalWidth="0" w:num="1">
            <w:col w:w="11460"/>
          </w:cols>
          <w:pgMar w:left="240" w:top="337" w:right="199" w:bottom="0" w:gutter="0" w:footer="0" w:header="0"/>
        </w:sectPr>
      </w:pPr>
    </w:p>
    <w:bookmarkStart w:id="6" w:name="page7"/>
    <w:bookmarkEnd w:id="6"/>
    <w:p>
      <w:pPr>
        <w:spacing w:after="0" w:line="2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elect not to extend the initial term or any subsequent term by giving one-year notice to the other party of its intention not to extend the term. Additionally, in connection with the joint venture, the company and an affiliate of TCFIF entered into an arrangement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to provide inventory financing to dealers of the company’s products in Canada. In connection with the establishment of Red Iron, the company terminated its agreement with a third party financing company that previously provided floor plan financing to dealers of the company’s products in the U.S. and Canada. During the first quarter of fiscal 2010, Red Iron began financing open account receivables, as well as floor plan receivables previously financed by such third party financing company. Red Iron also began financing floor plan receivables during the company’s fourth quarter of fiscal 2009.</w:t>
      </w:r>
    </w:p>
    <w:p>
      <w:pPr>
        <w:spacing w:after="0" w:line="154"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January 28, 2011 was $8.7 million. The company has not guaranteed the outstanding indebtedness of Red Iron. The company has agreed to repurchase products repossessed by Red Iron and the TCFIF Canadian affiliate, up to a maximum aggregate amount of $7.5 million in a calendar year. In addition, the company provided recourse to Red Iron for certain outstanding receivables, which amounted to a maximum amount of $0.7 million as of January 28, 2011.</w:t>
      </w:r>
    </w:p>
    <w:p>
      <w:pPr>
        <w:spacing w:after="0" w:line="192"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color w:val="auto"/>
        </w:rPr>
        <w:t>On October 29, 2010, the company and Red Iron amended their repurchase agreement under which Red Iron provides financing for certain dealers and distributors. Instead of transactions under the agreements being characterized as a sale of receivables from the company to Red Iron, the transactions are structured as an advance in the form of a payment by Red Iron to the company on behalf of a distributor or dealer with respect to invoices financed by Red Iron that extinguishes the obligation of the dealer or distributor to make payment to the company under the terms of the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three months ended January 31, 2011 was $216.1 million.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Red Iron’s year end date is December 31. As of December 31, 2010, Red Iron’s total assets were $174.4 million and total liabilities were $155.5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14"/>
                <w:szCs w:val="14"/>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Three months ended January 28, 2011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258,280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6,295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(7,149)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37,919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(24,834)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24,453</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514,274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202,931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179,506</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896,711</w:t>
            </w:r>
          </w:p>
        </w:tc>
        <w:tc>
          <w:tcPr>
            <w:tcW w:w="0" w:type="dxa"/>
            <w:vAlign w:val="bottom"/>
          </w:tcPr>
          <w:p>
            <w:pPr>
              <w:spacing w:after="0"/>
              <w:rPr>
                <w:sz w:val="1"/>
                <w:szCs w:val="1"/>
                <w:color w:val="auto"/>
              </w:rPr>
            </w:pPr>
          </w:p>
        </w:tc>
      </w:tr>
      <w:tr>
        <w:trPr>
          <w:trHeight w:val="350"/>
        </w:trPr>
        <w:tc>
          <w:tcPr>
            <w:tcW w:w="4700" w:type="dxa"/>
            <w:vAlign w:val="bottom"/>
          </w:tcPr>
          <w:p>
            <w:pPr>
              <w:spacing w:after="0"/>
              <w:rPr>
                <w:sz w:val="20"/>
                <w:szCs w:val="20"/>
                <w:color w:val="auto"/>
              </w:rPr>
            </w:pPr>
            <w:r>
              <w:rPr>
                <w:rFonts w:ascii="Arial" w:cs="Arial" w:eastAsia="Arial" w:hAnsi="Arial"/>
                <w:sz w:val="14"/>
                <w:szCs w:val="14"/>
                <w:b w:val="1"/>
                <w:bCs w:val="1"/>
                <w:color w:val="auto"/>
              </w:rPr>
              <w:t>Three months ended January 29, 2010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212,800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2,112</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25,810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(22,789)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436,521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180,922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267,191</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884,634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January 29,</w:t>
            </w:r>
          </w:p>
        </w:tc>
        <w:tc>
          <w:tcPr>
            <w:tcW w:w="1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w:t>
            </w:r>
          </w:p>
        </w:tc>
        <w:tc>
          <w:tcPr>
            <w:tcW w:w="120" w:type="dxa"/>
            <w:vAlign w:val="bottom"/>
            <w:tcBorders>
              <w:top w:val="single" w:sz="8" w:color="CCEEFF"/>
            </w:tcBorders>
            <w:shd w:val="clear" w:color="auto" w:fill="CCEEFF"/>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(4,116)</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(4,245)</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w:t>
      </w:r>
    </w:p>
    <w:p>
      <w:pPr>
        <w:sectPr>
          <w:pgSz w:w="11900" w:h="16867" w:orient="portrait"/>
          <w:cols w:equalWidth="0" w:num="1">
            <w:col w:w="11460"/>
          </w:cols>
          <w:pgMar w:left="240" w:top="125" w:right="199" w:bottom="0" w:gutter="0" w:footer="0" w:header="0"/>
        </w:sectPr>
      </w:pPr>
    </w:p>
    <w:bookmarkStart w:id="7" w:name="page8"/>
    <w:bookmarkEnd w:id="7"/>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factors. Special warranty reserves are also accrued for major rework campaigns. The company also sells extended warranty coverage on select products for a prescribed period after the factory warranty period expires.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Warranty provisions, claims, and changes in estimates for the first quarter of each of fiscal 2011 and 2010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Beginning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Warranty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Warranty</w:t>
            </w:r>
          </w:p>
        </w:tc>
        <w:tc>
          <w:tcPr>
            <w:tcW w:w="1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Changes in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7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Provisions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Claims</w:t>
            </w:r>
          </w:p>
        </w:tc>
        <w:tc>
          <w:tcPr>
            <w:tcW w:w="16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28, 2011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7"/>
              </w:rPr>
              <w:t>(6,696)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54,273</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(7,089)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54,775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does not allow the use of derivatives for trading or speculative purposes. The company’s primary foreign currency exchange rate exposures are with the Euro, the Australian dollar, the Canadian dollar, the British pound, the Mexican peso, and the Japanese yen against the U.S. dollar.</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its consolidated balance sheet and formally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relationships between cash flow hedging instruments and hedged items, as well as its risk-management objectives and strategy for undertaking hedge transactions. This process includes linking all derivatives to the forecasted transactions, such as sales to third parties and foreign plant operations. Changes in the fair value of outstanding derivative instruments that are designated and qualify as a cash flow hedge are recorded in other comprehensive income (“OCI”), except for the ineffective portion,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167"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OCI are recognized immediately in net earnings. In all situations in which hedge accounting is discontinued and the derivative remains outstanding, the company carries the derivative at its fair value on the balance sheet, recognizing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changes in the fair value in other income, net. For the first quarter of fiscal 2011, there were no gains or losses on contracts reclassified into earnings as a result of the discontinuance of cash flow hedges. As of January 28, 2011, the notional amount outstanding of forward contracts designated as cash flow hedges was $70.7 million.</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Derivatives not designated as hedging instruments. </w:t>
      </w:r>
      <w:r>
        <w:rPr>
          <w:rFonts w:ascii="Arial" w:cs="Arial" w:eastAsia="Arial" w:hAnsi="Arial"/>
          <w:sz w:val="17"/>
          <w:szCs w:val="17"/>
          <w:color w:val="auto"/>
        </w:rPr>
        <w:t>The company also enters into forward currency contracts to mitigate the change in fair value of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Borders>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January 28, 2011</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Borders>
              <w:bottom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January 29, 2010</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Borders>
              <w:bottom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rPr>
              <w:t>January 28, 2011</w:t>
            </w:r>
          </w:p>
        </w:tc>
        <w:tc>
          <w:tcPr>
            <w:tcW w:w="220" w:type="dxa"/>
            <w:vAlign w:val="bottom"/>
          </w:tcPr>
          <w:p>
            <w:pPr>
              <w:spacing w:after="0"/>
              <w:rPr>
                <w:sz w:val="12"/>
                <w:szCs w:val="12"/>
                <w:color w:val="auto"/>
              </w:rPr>
            </w:pPr>
          </w:p>
        </w:tc>
        <w:tc>
          <w:tcPr>
            <w:tcW w:w="1860" w:type="dxa"/>
            <w:vAlign w:val="bottom"/>
            <w:tcBorders>
              <w:bottom w:val="single" w:sz="8" w:color="auto"/>
            </w:tcBorders>
            <w:gridSpan w:val="4"/>
          </w:tcPr>
          <w:p>
            <w:pPr>
              <w:jc w:val="right"/>
              <w:ind w:right="319"/>
              <w:spacing w:after="0" w:line="142" w:lineRule="exact"/>
              <w:rPr>
                <w:sz w:val="20"/>
                <w:szCs w:val="20"/>
                <w:color w:val="auto"/>
              </w:rPr>
            </w:pPr>
            <w:r>
              <w:rPr>
                <w:rFonts w:ascii="Arial" w:cs="Arial" w:eastAsia="Arial" w:hAnsi="Arial"/>
                <w:sz w:val="14"/>
                <w:szCs w:val="14"/>
                <w:b w:val="1"/>
                <w:bCs w:val="1"/>
                <w:color w:val="auto"/>
              </w:rPr>
              <w:t>January 29,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240" w:type="dxa"/>
            <w:vAlign w:val="bottom"/>
          </w:tcPr>
          <w:p>
            <w:pPr>
              <w:spacing w:after="0"/>
              <w:rPr>
                <w:sz w:val="10"/>
                <w:szCs w:val="10"/>
                <w:color w:val="auto"/>
              </w:rPr>
            </w:pPr>
          </w:p>
        </w:tc>
        <w:tc>
          <w:tcPr>
            <w:tcW w:w="6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220" w:type="dxa"/>
            <w:vAlign w:val="bottom"/>
          </w:tcPr>
          <w:p>
            <w:pPr>
              <w:spacing w:after="0"/>
              <w:rPr>
                <w:sz w:val="10"/>
                <w:szCs w:val="10"/>
                <w:color w:val="auto"/>
              </w:rPr>
            </w:pPr>
          </w:p>
        </w:tc>
        <w:tc>
          <w:tcPr>
            <w:tcW w:w="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w:t>
            </w:r>
          </w:p>
        </w:tc>
        <w:tc>
          <w:tcPr>
            <w:tcW w:w="160" w:type="dxa"/>
            <w:vAlign w:val="bottom"/>
          </w:tcPr>
          <w:p>
            <w:pPr>
              <w:spacing w:after="0"/>
              <w:rPr>
                <w:sz w:val="10"/>
                <w:szCs w:val="10"/>
                <w:color w:val="auto"/>
              </w:rPr>
            </w:pPr>
          </w:p>
        </w:tc>
        <w:tc>
          <w:tcPr>
            <w:tcW w:w="6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Sheet</w:t>
            </w: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4"/>
                <w:szCs w:val="14"/>
                <w:color w:val="auto"/>
              </w:rPr>
            </w:pPr>
          </w:p>
        </w:tc>
        <w:tc>
          <w:tcPr>
            <w:tcW w:w="600" w:type="dxa"/>
            <w:vAlign w:val="bottom"/>
          </w:tcPr>
          <w:p>
            <w:pPr>
              <w:jc w:val="center"/>
              <w:ind w:left="128"/>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4"/>
                <w:szCs w:val="14"/>
                <w:color w:val="auto"/>
              </w:rPr>
            </w:pPr>
          </w:p>
        </w:tc>
        <w:tc>
          <w:tcPr>
            <w:tcW w:w="6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Location</w:t>
            </w:r>
          </w:p>
        </w:tc>
        <w:tc>
          <w:tcPr>
            <w:tcW w:w="160" w:type="dxa"/>
            <w:vAlign w:val="bottom"/>
          </w:tcPr>
          <w:p>
            <w:pPr>
              <w:spacing w:after="0"/>
              <w:rPr>
                <w:sz w:val="14"/>
                <w:szCs w:val="14"/>
                <w:color w:val="auto"/>
              </w:rPr>
            </w:pPr>
          </w:p>
        </w:tc>
        <w:tc>
          <w:tcPr>
            <w:tcW w:w="620" w:type="dxa"/>
            <w:vAlign w:val="bottom"/>
          </w:tcPr>
          <w:p>
            <w:pPr>
              <w:jc w:val="right"/>
              <w:ind w:right="141"/>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Designated as Hedging</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Accrued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Accrued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Accrued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Accrued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620" w:type="dxa"/>
            <w:vAlign w:val="bottom"/>
            <w:tcBorders>
              <w:top w:val="single" w:sz="8" w:color="auto"/>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64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 w:name="page9"/>
    <w:bookmarkEnd w:id="8"/>
    <w:p>
      <w:pPr>
        <w:spacing w:after="0" w:line="62" w:lineRule="exact"/>
        <w:rPr>
          <w:sz w:val="20"/>
          <w:szCs w:val="20"/>
          <w:color w:val="auto"/>
        </w:rPr>
      </w:pPr>
    </w:p>
    <w:p>
      <w:pPr>
        <w:spacing w:after="0"/>
        <w:tabs>
          <w:tab w:leader="none" w:pos="4180" w:val="left"/>
          <w:tab w:leader="none" w:pos="4800" w:val="left"/>
          <w:tab w:leader="none" w:pos="6300" w:val="left"/>
          <w:tab w:leader="none" w:pos="6940" w:val="left"/>
          <w:tab w:leader="none" w:pos="8440" w:val="left"/>
          <w:tab w:leader="none" w:pos="8820" w:val="left"/>
          <w:tab w:leader="none" w:pos="10500" w:val="left"/>
          <w:tab w:leader="none" w:pos="10880" w:val="left"/>
        </w:tabs>
        <w:rPr>
          <w:sz w:val="20"/>
          <w:szCs w:val="20"/>
          <w:color w:val="auto"/>
        </w:rPr>
      </w:pPr>
      <w:r>
        <w:rPr>
          <w:rFonts w:ascii="Arial" w:cs="Arial" w:eastAsia="Arial" w:hAnsi="Arial"/>
          <w:sz w:val="18"/>
          <w:szCs w:val="18"/>
          <w:b w:val="1"/>
          <w:bCs w:val="1"/>
          <w:color w:val="auto"/>
        </w:rPr>
        <w:t>Total Derivatives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u w:val="single" w:color="auto"/>
          <w:color w:val="auto"/>
        </w:rPr>
        <w:t>$</w:t>
        <w:tab/>
        <w:t>4,507</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0"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designed as cash flow hedging instruments for the three months ended January 28, 2011 and January 29, 2010,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9"/>
              </w:rPr>
              <w:t>Gain (Loss)</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Recognized in Income</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6"/>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Gain (Loss)</w:t>
            </w: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tcPr>
          <w:p>
            <w:pPr>
              <w:jc w:val="center"/>
              <w:ind w:left="86"/>
              <w:spacing w:after="0" w:line="122" w:lineRule="exact"/>
              <w:rPr>
                <w:sz w:val="20"/>
                <w:szCs w:val="20"/>
                <w:color w:val="auto"/>
              </w:rPr>
            </w:pPr>
            <w:r>
              <w:rPr>
                <w:rFonts w:ascii="Arial" w:cs="Arial" w:eastAsia="Arial" w:hAnsi="Arial"/>
                <w:sz w:val="11"/>
                <w:szCs w:val="11"/>
                <w:b w:val="1"/>
                <w:bCs w:val="1"/>
                <w:color w:val="auto"/>
                <w:w w:val="89"/>
              </w:rPr>
              <w:t>Gain (Loss)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Location of Gain (Loss)</w:t>
            </w:r>
          </w:p>
        </w:tc>
        <w:tc>
          <w:tcPr>
            <w:tcW w:w="100" w:type="dxa"/>
            <w:vAlign w:val="bottom"/>
          </w:tcPr>
          <w:p>
            <w:pPr>
              <w:spacing w:after="0"/>
              <w:rPr>
                <w:sz w:val="10"/>
                <w:szCs w:val="10"/>
                <w:color w:val="auto"/>
              </w:rPr>
            </w:pPr>
          </w:p>
        </w:tc>
        <w:tc>
          <w:tcPr>
            <w:tcW w:w="1900" w:type="dxa"/>
            <w:vAlign w:val="bottom"/>
            <w:gridSpan w:val="5"/>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on Derivatives</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6"/>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Recognized in OCI on</w:t>
            </w:r>
          </w:p>
        </w:tc>
        <w:tc>
          <w:tcPr>
            <w:tcW w:w="1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Location of Gain</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tcPr>
          <w:p>
            <w:pPr>
              <w:jc w:val="center"/>
              <w:ind w:left="106"/>
              <w:spacing w:after="0" w:line="122" w:lineRule="exact"/>
              <w:rPr>
                <w:sz w:val="20"/>
                <w:szCs w:val="20"/>
                <w:color w:val="auto"/>
              </w:rPr>
            </w:pPr>
            <w:r>
              <w:rPr>
                <w:rFonts w:ascii="Arial" w:cs="Arial" w:eastAsia="Arial" w:hAnsi="Arial"/>
                <w:sz w:val="11"/>
                <w:szCs w:val="11"/>
                <w:b w:val="1"/>
                <w:bCs w:val="1"/>
                <w:color w:val="auto"/>
                <w:w w:val="87"/>
              </w:rPr>
              <w:t>Reclassified from</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Recognized in Income</w:t>
            </w:r>
          </w:p>
        </w:tc>
        <w:tc>
          <w:tcPr>
            <w:tcW w:w="100" w:type="dxa"/>
            <w:vAlign w:val="bottom"/>
          </w:tcPr>
          <w:p>
            <w:pPr>
              <w:spacing w:after="0"/>
              <w:rPr>
                <w:sz w:val="10"/>
                <w:szCs w:val="10"/>
                <w:color w:val="auto"/>
              </w:rPr>
            </w:pPr>
          </w:p>
        </w:tc>
        <w:tc>
          <w:tcPr>
            <w:tcW w:w="1900" w:type="dxa"/>
            <w:vAlign w:val="bottom"/>
            <w:gridSpan w:val="5"/>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(Ineffective Portion and</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6"/>
          </w:tcPr>
          <w:p>
            <w:pPr>
              <w:jc w:val="center"/>
              <w:ind w:right="320"/>
              <w:spacing w:after="0" w:line="122" w:lineRule="exact"/>
              <w:rPr>
                <w:sz w:val="20"/>
                <w:szCs w:val="20"/>
                <w:color w:val="auto"/>
              </w:rPr>
            </w:pPr>
            <w:r>
              <w:rPr>
                <w:rFonts w:ascii="Arial" w:cs="Arial" w:eastAsia="Arial" w:hAnsi="Arial"/>
                <w:sz w:val="11"/>
                <w:szCs w:val="11"/>
                <w:b w:val="1"/>
                <w:bCs w:val="1"/>
                <w:color w:val="auto"/>
                <w:w w:val="91"/>
              </w:rPr>
              <w:t>Derivatives</w:t>
            </w:r>
          </w:p>
        </w:tc>
        <w:tc>
          <w:tcPr>
            <w:tcW w:w="1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(Loss) Reclassified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tcPr>
          <w:p>
            <w:pPr>
              <w:jc w:val="center"/>
              <w:ind w:left="106"/>
              <w:spacing w:after="0" w:line="122" w:lineRule="exact"/>
              <w:rPr>
                <w:sz w:val="20"/>
                <w:szCs w:val="20"/>
                <w:color w:val="auto"/>
              </w:rPr>
            </w:pPr>
            <w:r>
              <w:rPr>
                <w:rFonts w:ascii="Arial" w:cs="Arial" w:eastAsia="Arial" w:hAnsi="Arial"/>
                <w:sz w:val="11"/>
                <w:szCs w:val="11"/>
                <w:b w:val="1"/>
                <w:bCs w:val="1"/>
                <w:color w:val="auto"/>
                <w:w w:val="91"/>
              </w:rPr>
              <w:t>AOCL into Income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on Derivatives</w:t>
            </w:r>
          </w:p>
        </w:tc>
        <w:tc>
          <w:tcPr>
            <w:tcW w:w="100" w:type="dxa"/>
            <w:vAlign w:val="bottom"/>
          </w:tcPr>
          <w:p>
            <w:pPr>
              <w:spacing w:after="0"/>
              <w:rPr>
                <w:sz w:val="10"/>
                <w:szCs w:val="10"/>
                <w:color w:val="auto"/>
              </w:rPr>
            </w:pPr>
          </w:p>
        </w:tc>
        <w:tc>
          <w:tcPr>
            <w:tcW w:w="1900" w:type="dxa"/>
            <w:vAlign w:val="bottom"/>
            <w:gridSpan w:val="5"/>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Excluded from</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6"/>
          </w:tcPr>
          <w:p>
            <w:pPr>
              <w:jc w:val="center"/>
              <w:ind w:right="320"/>
              <w:spacing w:after="0"/>
              <w:rPr>
                <w:sz w:val="20"/>
                <w:szCs w:val="20"/>
                <w:color w:val="auto"/>
              </w:rPr>
            </w:pPr>
            <w:r>
              <w:rPr>
                <w:rFonts w:ascii="Arial" w:cs="Arial" w:eastAsia="Arial" w:hAnsi="Arial"/>
                <w:sz w:val="11"/>
                <w:szCs w:val="11"/>
                <w:b w:val="1"/>
                <w:bCs w:val="1"/>
                <w:color w:val="auto"/>
                <w:w w:val="90"/>
              </w:rPr>
              <w:t>(Effective Portion)</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5"/>
              </w:rPr>
              <w:t>from AOCL</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tcPr>
          <w:p>
            <w:pPr>
              <w:jc w:val="center"/>
              <w:ind w:left="86"/>
              <w:spacing w:after="0"/>
              <w:rPr>
                <w:sz w:val="20"/>
                <w:szCs w:val="20"/>
                <w:color w:val="auto"/>
              </w:rPr>
            </w:pPr>
            <w:r>
              <w:rPr>
                <w:rFonts w:ascii="Arial" w:cs="Arial" w:eastAsia="Arial" w:hAnsi="Arial"/>
                <w:sz w:val="11"/>
                <w:szCs w:val="11"/>
                <w:b w:val="1"/>
                <w:bCs w:val="1"/>
                <w:color w:val="auto"/>
                <w:w w:val="90"/>
              </w:rPr>
              <w:t>(Effective Portion)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(Ineffective Portion</w:t>
            </w:r>
          </w:p>
        </w:tc>
        <w:tc>
          <w:tcPr>
            <w:tcW w:w="100" w:type="dxa"/>
            <w:vAlign w:val="bottom"/>
          </w:tcPr>
          <w:p>
            <w:pPr>
              <w:spacing w:after="0"/>
              <w:rPr>
                <w:sz w:val="11"/>
                <w:szCs w:val="11"/>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5"/>
              </w:rPr>
              <w:t>Effectiveness Testing)</w:t>
            </w:r>
          </w:p>
        </w:tc>
        <w:tc>
          <w:tcPr>
            <w:tcW w:w="0" w:type="dxa"/>
            <w:vAlign w:val="bottom"/>
          </w:tcPr>
          <w:p>
            <w:pPr>
              <w:spacing w:after="0"/>
              <w:rPr>
                <w:sz w:val="1"/>
                <w:szCs w:val="1"/>
                <w:color w:val="auto"/>
              </w:rPr>
            </w:pPr>
          </w:p>
        </w:tc>
      </w:tr>
      <w:tr>
        <w:trPr>
          <w:trHeight w:val="101"/>
        </w:trPr>
        <w:tc>
          <w:tcPr>
            <w:tcW w:w="18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(Dollars in thousands)</w:t>
            </w: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2"/>
          </w:tcPr>
          <w:p>
            <w:pPr>
              <w:jc w:val="right"/>
              <w:ind w:right="260"/>
              <w:spacing w:after="0" w:line="102" w:lineRule="exact"/>
              <w:rPr>
                <w:sz w:val="20"/>
                <w:szCs w:val="20"/>
                <w:color w:val="auto"/>
              </w:rPr>
            </w:pPr>
            <w:r>
              <w:rPr>
                <w:rFonts w:ascii="Arial" w:cs="Arial" w:eastAsia="Arial" w:hAnsi="Arial"/>
                <w:sz w:val="11"/>
                <w:szCs w:val="11"/>
                <w:b w:val="1"/>
                <w:bCs w:val="1"/>
                <w:color w:val="auto"/>
                <w:w w:val="92"/>
              </w:rPr>
              <w:t>January 28,</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ind w:right="86"/>
              <w:spacing w:after="0" w:line="102" w:lineRule="exact"/>
              <w:rPr>
                <w:sz w:val="20"/>
                <w:szCs w:val="20"/>
                <w:color w:val="auto"/>
              </w:rPr>
            </w:pPr>
            <w:r>
              <w:rPr>
                <w:rFonts w:ascii="Arial" w:cs="Arial" w:eastAsia="Arial" w:hAnsi="Arial"/>
                <w:sz w:val="11"/>
                <w:szCs w:val="11"/>
                <w:b w:val="1"/>
                <w:bCs w:val="1"/>
                <w:color w:val="auto"/>
                <w:w w:val="92"/>
              </w:rPr>
              <w:t>January 29,</w:t>
            </w:r>
          </w:p>
        </w:tc>
        <w:tc>
          <w:tcPr>
            <w:tcW w:w="220" w:type="dxa"/>
            <w:vAlign w:val="bottom"/>
          </w:tcPr>
          <w:p>
            <w:pPr>
              <w:spacing w:after="0"/>
              <w:rPr>
                <w:sz w:val="8"/>
                <w:szCs w:val="8"/>
                <w:color w:val="auto"/>
              </w:rPr>
            </w:pPr>
          </w:p>
        </w:tc>
        <w:tc>
          <w:tcPr>
            <w:tcW w:w="13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7"/>
              </w:rPr>
              <w:t>into Income</w:t>
            </w: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right"/>
              <w:ind w:right="360"/>
              <w:spacing w:after="0" w:line="102" w:lineRule="exact"/>
              <w:rPr>
                <w:sz w:val="20"/>
                <w:szCs w:val="20"/>
                <w:color w:val="auto"/>
              </w:rPr>
            </w:pPr>
            <w:r>
              <w:rPr>
                <w:rFonts w:ascii="Arial" w:cs="Arial" w:eastAsia="Arial" w:hAnsi="Arial"/>
                <w:sz w:val="11"/>
                <w:szCs w:val="11"/>
                <w:b w:val="1"/>
                <w:bCs w:val="1"/>
                <w:color w:val="auto"/>
                <w:w w:val="95"/>
              </w:rPr>
              <w:t>January 28,</w:t>
            </w:r>
          </w:p>
        </w:tc>
        <w:tc>
          <w:tcPr>
            <w:tcW w:w="800" w:type="dxa"/>
            <w:vAlign w:val="bottom"/>
            <w:tcBorders>
              <w:top w:val="single" w:sz="8" w:color="auto"/>
            </w:tcBorders>
            <w:gridSpan w:val="2"/>
          </w:tcPr>
          <w:p>
            <w:pPr>
              <w:jc w:val="right"/>
              <w:ind w:right="66"/>
              <w:spacing w:after="0" w:line="102" w:lineRule="exact"/>
              <w:rPr>
                <w:sz w:val="20"/>
                <w:szCs w:val="20"/>
                <w:color w:val="auto"/>
              </w:rPr>
            </w:pPr>
            <w:r>
              <w:rPr>
                <w:rFonts w:ascii="Arial" w:cs="Arial" w:eastAsia="Arial" w:hAnsi="Arial"/>
                <w:sz w:val="11"/>
                <w:szCs w:val="11"/>
                <w:b w:val="1"/>
                <w:bCs w:val="1"/>
                <w:color w:val="auto"/>
              </w:rPr>
              <w:t>January 29,</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7"/>
              </w:rPr>
              <w:t>and excluded from</w:t>
            </w: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w w:val="92"/>
              </w:rPr>
              <w:t>January 28,</w:t>
            </w: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66"/>
              <w:spacing w:after="0" w:line="102" w:lineRule="exact"/>
              <w:rPr>
                <w:sz w:val="20"/>
                <w:szCs w:val="20"/>
                <w:color w:val="auto"/>
              </w:rPr>
            </w:pPr>
            <w:r>
              <w:rPr>
                <w:rFonts w:ascii="Arial" w:cs="Arial" w:eastAsia="Arial" w:hAnsi="Arial"/>
                <w:sz w:val="11"/>
                <w:szCs w:val="11"/>
                <w:b w:val="1"/>
                <w:bCs w:val="1"/>
                <w:color w:val="auto"/>
                <w:w w:val="89"/>
              </w:rPr>
              <w:t>January 29,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For the three months ended</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2011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2010</w:t>
            </w:r>
          </w:p>
        </w:tc>
        <w:tc>
          <w:tcPr>
            <w:tcW w:w="2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(Effective Portion)</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2011</w:t>
            </w:r>
          </w:p>
        </w:tc>
        <w:tc>
          <w:tcPr>
            <w:tcW w:w="2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2010</w:t>
            </w: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Effectiveness Testing)</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2011</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2010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Foreign exchange contracts</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(4,260)</w:t>
            </w:r>
          </w:p>
        </w:tc>
        <w:tc>
          <w:tcPr>
            <w:tcW w:w="200" w:type="dxa"/>
            <w:vAlign w:val="bottom"/>
            <w:tcBorders>
              <w:bottom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gridSpan w:val="2"/>
            <w:shd w:val="clear" w:color="auto" w:fill="CCEEFF"/>
          </w:tcPr>
          <w:p>
            <w:pPr>
              <w:jc w:val="right"/>
              <w:ind w:right="180"/>
              <w:spacing w:after="0" w:line="115" w:lineRule="exact"/>
              <w:rPr>
                <w:sz w:val="20"/>
                <w:szCs w:val="20"/>
                <w:color w:val="auto"/>
              </w:rPr>
            </w:pPr>
            <w:r>
              <w:rPr>
                <w:rFonts w:ascii="Arial" w:cs="Arial" w:eastAsia="Arial" w:hAnsi="Arial"/>
                <w:sz w:val="11"/>
                <w:szCs w:val="11"/>
                <w:color w:val="auto"/>
              </w:rPr>
              <w:t>(2,752)</w:t>
            </w:r>
          </w:p>
        </w:tc>
        <w:tc>
          <w:tcPr>
            <w:tcW w:w="13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Net sales</w:t>
            </w:r>
          </w:p>
        </w:tc>
        <w:tc>
          <w:tcPr>
            <w:tcW w:w="320" w:type="dxa"/>
            <w:vAlign w:val="bottom"/>
            <w:tcBorders>
              <w:bottom w:val="single" w:sz="8" w:color="CCEEFF"/>
            </w:tcBorders>
            <w:gridSpan w:val="2"/>
            <w:shd w:val="clear" w:color="auto" w:fill="CCEEFF"/>
          </w:tcPr>
          <w:p>
            <w:pPr>
              <w:jc w:val="right"/>
              <w:ind w:right="13"/>
              <w:spacing w:after="0" w:line="115"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gridSpan w:val="2"/>
            <w:shd w:val="clear" w:color="auto" w:fill="CCEEFF"/>
          </w:tcPr>
          <w:p>
            <w:pPr>
              <w:jc w:val="right"/>
              <w:ind w:right="200"/>
              <w:spacing w:after="0" w:line="115" w:lineRule="exact"/>
              <w:rPr>
                <w:sz w:val="20"/>
                <w:szCs w:val="20"/>
                <w:color w:val="auto"/>
              </w:rPr>
            </w:pPr>
            <w:r>
              <w:rPr>
                <w:rFonts w:ascii="Arial" w:cs="Arial" w:eastAsia="Arial" w:hAnsi="Arial"/>
                <w:sz w:val="11"/>
                <w:szCs w:val="11"/>
                <w:color w:val="auto"/>
              </w:rPr>
              <w:t>(743)</w:t>
            </w:r>
          </w:p>
        </w:tc>
        <w:tc>
          <w:tcPr>
            <w:tcW w:w="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(890)</w:t>
            </w:r>
          </w:p>
        </w:tc>
        <w:tc>
          <w:tcPr>
            <w:tcW w:w="1900" w:type="dxa"/>
            <w:vAlign w:val="bottom"/>
            <w:tcBorders>
              <w:bottom w:val="single" w:sz="8" w:color="CCEEFF"/>
            </w:tcBorders>
            <w:gridSpan w:val="3"/>
            <w:shd w:val="clear" w:color="auto" w:fill="CCEEFF"/>
          </w:tcPr>
          <w:p>
            <w:pPr>
              <w:ind w:left="100"/>
              <w:spacing w:after="0" w:line="115" w:lineRule="exact"/>
              <w:rPr>
                <w:sz w:val="20"/>
                <w:szCs w:val="20"/>
                <w:color w:val="auto"/>
              </w:rPr>
            </w:pPr>
            <w:r>
              <w:rPr>
                <w:rFonts w:ascii="Arial" w:cs="Arial" w:eastAsia="Arial" w:hAnsi="Arial"/>
                <w:sz w:val="11"/>
                <w:szCs w:val="11"/>
                <w:color w:val="auto"/>
              </w:rPr>
              <w:t>Other income,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(312)</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(123)</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line="115" w:lineRule="exact"/>
              <w:rPr>
                <w:sz w:val="20"/>
                <w:szCs w:val="20"/>
                <w:color w:val="auto"/>
              </w:rPr>
            </w:pPr>
            <w:r>
              <w:rPr>
                <w:rFonts w:ascii="Arial" w:cs="Arial" w:eastAsia="Arial" w:hAnsi="Arial"/>
                <w:sz w:val="11"/>
                <w:szCs w:val="11"/>
                <w:color w:val="auto"/>
              </w:rPr>
              <w:t>Foreign exchange contracts</w:t>
            </w:r>
          </w:p>
        </w:tc>
        <w:tc>
          <w:tcPr>
            <w:tcW w:w="100" w:type="dxa"/>
            <w:vAlign w:val="bottom"/>
          </w:tcPr>
          <w:p>
            <w:pPr>
              <w:spacing w:after="0" w:line="20" w:lineRule="exact"/>
              <w:rPr>
                <w:sz w:val="1"/>
                <w:szCs w:val="1"/>
                <w:color w:val="auto"/>
              </w:rPr>
            </w:pPr>
          </w:p>
        </w:tc>
        <w:tc>
          <w:tcPr>
            <w:tcW w:w="720" w:type="dxa"/>
            <w:vAlign w:val="bottom"/>
            <w:vMerge w:val="restart"/>
          </w:tcPr>
          <w:p>
            <w:pPr>
              <w:jc w:val="right"/>
              <w:spacing w:after="0" w:line="115" w:lineRule="exact"/>
              <w:rPr>
                <w:sz w:val="20"/>
                <w:szCs w:val="20"/>
                <w:color w:val="auto"/>
              </w:rPr>
            </w:pPr>
            <w:r>
              <w:rPr>
                <w:rFonts w:ascii="Arial" w:cs="Arial" w:eastAsia="Arial" w:hAnsi="Arial"/>
                <w:sz w:val="11"/>
                <w:szCs w:val="11"/>
                <w:color w:val="auto"/>
              </w:rPr>
              <w:t>967</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180"/>
              <w:spacing w:after="0" w:line="115" w:lineRule="exact"/>
              <w:rPr>
                <w:sz w:val="20"/>
                <w:szCs w:val="20"/>
                <w:color w:val="auto"/>
              </w:rPr>
            </w:pPr>
            <w:r>
              <w:rPr>
                <w:rFonts w:ascii="Arial" w:cs="Arial" w:eastAsia="Arial" w:hAnsi="Arial"/>
                <w:sz w:val="11"/>
                <w:szCs w:val="11"/>
                <w:color w:val="auto"/>
              </w:rPr>
              <w:t>(47)</w:t>
            </w:r>
          </w:p>
        </w:tc>
        <w:tc>
          <w:tcPr>
            <w:tcW w:w="1380" w:type="dxa"/>
            <w:vAlign w:val="bottom"/>
            <w:vMerge w:val="restart"/>
          </w:tcPr>
          <w:p>
            <w:pPr>
              <w:spacing w:after="0" w:line="115" w:lineRule="exact"/>
              <w:rPr>
                <w:sz w:val="20"/>
                <w:szCs w:val="20"/>
                <w:color w:val="auto"/>
              </w:rPr>
            </w:pPr>
            <w:r>
              <w:rPr>
                <w:rFonts w:ascii="Arial" w:cs="Arial" w:eastAsia="Arial" w:hAnsi="Arial"/>
                <w:sz w:val="11"/>
                <w:szCs w:val="11"/>
                <w:color w:val="auto"/>
              </w:rPr>
              <w:t>Cost of sales</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restart"/>
          </w:tcPr>
          <w:p>
            <w:pPr>
              <w:jc w:val="right"/>
              <w:ind w:right="240"/>
              <w:spacing w:after="0" w:line="115" w:lineRule="exact"/>
              <w:rPr>
                <w:sz w:val="20"/>
                <w:szCs w:val="20"/>
                <w:color w:val="auto"/>
              </w:rPr>
            </w:pPr>
            <w:r>
              <w:rPr>
                <w:rFonts w:ascii="Arial" w:cs="Arial" w:eastAsia="Arial" w:hAnsi="Arial"/>
                <w:sz w:val="11"/>
                <w:szCs w:val="11"/>
                <w:color w:val="auto"/>
              </w:rPr>
              <w:t>143</w:t>
            </w:r>
          </w:p>
        </w:tc>
        <w:tc>
          <w:tcPr>
            <w:tcW w:w="560" w:type="dxa"/>
            <w:vAlign w:val="bottom"/>
          </w:tcPr>
          <w:p>
            <w:pPr>
              <w:spacing w:after="0" w:line="20" w:lineRule="exact"/>
              <w:rPr>
                <w:sz w:val="1"/>
                <w:szCs w:val="1"/>
                <w:color w:val="auto"/>
              </w:rPr>
            </w:pPr>
          </w:p>
        </w:tc>
        <w:tc>
          <w:tcPr>
            <w:tcW w:w="380" w:type="dxa"/>
            <w:vAlign w:val="bottom"/>
            <w:gridSpan w:val="2"/>
            <w:vMerge w:val="restart"/>
          </w:tcPr>
          <w:p>
            <w:pPr>
              <w:jc w:val="right"/>
              <w:ind w:right="100"/>
              <w:spacing w:after="0" w:line="115" w:lineRule="exact"/>
              <w:rPr>
                <w:sz w:val="20"/>
                <w:szCs w:val="20"/>
                <w:color w:val="auto"/>
              </w:rPr>
            </w:pPr>
            <w:r>
              <w:rPr>
                <w:rFonts w:ascii="Arial" w:cs="Arial" w:eastAsia="Arial" w:hAnsi="Arial"/>
                <w:sz w:val="11"/>
                <w:szCs w:val="11"/>
                <w:color w:val="auto"/>
              </w:rPr>
              <w:t>(39)</w:t>
            </w: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40" w:type="dxa"/>
            <w:vAlign w:val="bottom"/>
            <w:tcBorders>
              <w:top w:val="single" w:sz="8" w:color="CCEEFF"/>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(3,293)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(2,799)</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38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(600)</w:t>
            </w: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5"/>
              </w:rPr>
              <w:t>(929)</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58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January 28, 2011, the company expects to reclassify approximately $2.7 million of losses from AOCL to earnings during the next twelve months.</w:t>
      </w:r>
    </w:p>
    <w:p>
      <w:pPr>
        <w:spacing w:after="0" w:line="248"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3"/>
              </w:rPr>
              <w:t>Location of Gain (Loss)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Gain (Loss) Recognized in Net Earnings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2480" w:type="dxa"/>
            <w:vAlign w:val="bottom"/>
          </w:tcPr>
          <w:p>
            <w:pPr>
              <w:jc w:val="center"/>
              <w:ind w:left="308"/>
              <w:spacing w:after="0" w:line="142" w:lineRule="exact"/>
              <w:rPr>
                <w:sz w:val="20"/>
                <w:szCs w:val="20"/>
                <w:color w:val="auto"/>
              </w:rPr>
            </w:pPr>
            <w:r>
              <w:rPr>
                <w:rFonts w:ascii="Arial" w:cs="Arial" w:eastAsia="Arial" w:hAnsi="Arial"/>
                <w:sz w:val="14"/>
                <w:szCs w:val="14"/>
                <w:b w:val="1"/>
                <w:bCs w:val="1"/>
                <w:color w:val="auto"/>
                <w:w w:val="91"/>
              </w:rPr>
              <w:t>Recognized in Net Earnings</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January 28, 2011</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January 29, 2010</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6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right="6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Cash and cash equivalents are valued at their carrying amounts in the consolidated balance sheets, which are reasonable estimates of their fair value due to their short maturities. Foreign currency forward exchange contracts are valued at fair market value using the market approach based on exchange rates as of the reporting date, which is the amount the company would receive or pay to terminate the contracts.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Assets and liabilities measured at fair value on a recurring basis, as of January 28, 2011,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94,418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94,418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4,507</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Deferred compensation liabilities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4,828</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Assets measured at fair value on a nonrecurring basis related to the company’s acquisition of Unique Lighting, as of January 28, 2011,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Level 1</w:t>
            </w:r>
          </w:p>
        </w:tc>
        <w:tc>
          <w:tcPr>
            <w:tcW w:w="11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3</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Technique</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2,300</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8,650</w:t>
            </w:r>
          </w:p>
        </w:tc>
        <w:tc>
          <w:tcPr>
            <w:tcW w:w="28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8,650</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172"/>
        </w:trPr>
        <w:tc>
          <w:tcPr>
            <w:tcW w:w="40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9" w:name="page10"/>
    <w:bookmarkEnd w:id="9"/>
    <w:p>
      <w:pPr>
        <w:ind w:left="180"/>
        <w:spacing w:after="0"/>
        <w:tabs>
          <w:tab w:leader="none" w:pos="4260" w:val="left"/>
          <w:tab w:leader="none" w:pos="4880" w:val="left"/>
          <w:tab w:leader="none" w:pos="6620" w:val="left"/>
          <w:tab w:leader="none" w:pos="8040" w:val="left"/>
          <w:tab w:leader="none" w:pos="8500" w:val="left"/>
          <w:tab w:leader="none" w:pos="914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13,550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13,550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Assets and liabilities measured at fair value are based on one or more valuation techniques. The valuation techniques are identified in the tables above and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1300" w:right="380" w:hanging="644"/>
        <w:spacing w:after="0" w:line="277" w:lineRule="auto"/>
        <w:tabs>
          <w:tab w:leader="none" w:pos="131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used an internally developed income based approach to value these assets. Inputs for this valuation model were based on internally developed forecasts and assumptions.</w:t>
      </w:r>
    </w:p>
    <w:p>
      <w:pPr>
        <w:spacing w:after="0" w:line="170" w:lineRule="exact"/>
        <w:rPr>
          <w:rFonts w:ascii="Arial" w:cs="Arial" w:eastAsia="Arial" w:hAnsi="Arial"/>
          <w:sz w:val="18"/>
          <w:szCs w:val="18"/>
          <w:color w:val="auto"/>
        </w:rPr>
      </w:pPr>
    </w:p>
    <w:p>
      <w:pPr>
        <w:ind w:left="1300" w:right="420" w:hanging="644"/>
        <w:spacing w:after="0" w:line="277" w:lineRule="auto"/>
        <w:tabs>
          <w:tab w:leader="none" w:pos="1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used a replacement cost model to value these assets. Inputs for this valuation model were based on internal estimates of the cost to recreate these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is party to litigation in the ordinary course of business. Litigation occasionally involves claims for punitive as well as compensatory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damages 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 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where it is asserting patent infringement.</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Lawnmower Engine Horsepower Marketing and Sales Practices Litigation. </w:t>
      </w:r>
      <w:r>
        <w:rPr>
          <w:rFonts w:ascii="Arial" w:cs="Arial" w:eastAsia="Arial" w:hAnsi="Arial"/>
          <w:sz w:val="17"/>
          <w:szCs w:val="17"/>
          <w:color w:val="auto"/>
        </w:rPr>
        <w:t>In June 2004, individuals who claim to have purchased lawnmowers in Illinois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 In May 2006, the case was removed to federal court in the Southern District of Illinois.</w:t>
      </w:r>
    </w:p>
    <w:p>
      <w:pPr>
        <w:spacing w:after="0" w:line="179" w:lineRule="exact"/>
        <w:rPr>
          <w:sz w:val="20"/>
          <w:szCs w:val="20"/>
          <w:color w:val="auto"/>
        </w:rPr>
      </w:pPr>
    </w:p>
    <w:p>
      <w:pPr>
        <w:jc w:val="both"/>
        <w:ind w:right="60" w:firstLine="270"/>
        <w:spacing w:after="0" w:line="286" w:lineRule="auto"/>
        <w:rPr>
          <w:sz w:val="20"/>
          <w:szCs w:val="20"/>
          <w:color w:val="auto"/>
        </w:rPr>
      </w:pPr>
      <w:r>
        <w:rPr>
          <w:rFonts w:ascii="Arial" w:cs="Arial" w:eastAsia="Arial" w:hAnsi="Arial"/>
          <w:sz w:val="17"/>
          <w:szCs w:val="17"/>
          <w:color w:val="auto"/>
        </w:rPr>
        <w:t>In May 2008, the Court issued a memorandum and order that, among other things, (i) dismissed the RICO claim in its entirety; and (ii) dismissed all non-Illinois state-law claims but with instructions that such claims could be re-filed in local courts. The plaintiffs subsequently (i) re-filed the Illinois claims with the court; and (ii) filed non-Illinois claims in federal courts throughout the U.S. with essentially the same state law claims.</w:t>
      </w:r>
    </w:p>
    <w:p>
      <w:pPr>
        <w:spacing w:after="0" w:line="166" w:lineRule="exact"/>
        <w:rPr>
          <w:sz w:val="20"/>
          <w:szCs w:val="20"/>
          <w:color w:val="auto"/>
        </w:rPr>
      </w:pPr>
    </w:p>
    <w:p>
      <w:pPr>
        <w:jc w:val="center"/>
        <w:ind w:right="120"/>
        <w:spacing w:after="0" w:line="291"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December 2008, the MDL Panel issued an order that (i) transferred the lawsuits for coordinated or consolidated pretrial proceedings;</w:t>
      </w:r>
    </w:p>
    <w:p>
      <w:pPr>
        <w:ind w:right="20" w:firstLine="8"/>
        <w:spacing w:after="0" w:line="261"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selected the United States District Court for the Eastern District of Wisconsin as the transferee district; and (iii) provided that additional lawsuits would be treated as “tag-along” actions in accordance with its rules.</w:t>
      </w:r>
    </w:p>
    <w:p>
      <w:pPr>
        <w:spacing w:after="0" w:line="184"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In January 2009, at the initial hearing held in the United States District Court for the Eastern District of Wisconsin, the Court (i) appointed lead plaintiffs’ counsel, and (ii) entered a stay of all litigation so that the parties could explore mediation. The company and certain other defendants entered into a settlement agreement with plaintiffs in February 2010 and, ultimately, all defendants entered into various settlement agreements with the plaintiffs. The company’s settlement agreement provides for, among other things, (i) a monetary settlement, (ii) an additional warranty period for some engines that are subject to the litigation, and (iii) injunctive relief relating to power rating labeling practices. The plaintiffs filed a motion for preliminary approval of the company’s settlement agreement and for certification of the settlement class. The court granted the motion.</w:t>
      </w:r>
    </w:p>
    <w:p>
      <w:pPr>
        <w:spacing w:after="0" w:line="178"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Notice was given to the settlement class and, in June 2010, the Court conducted a hearing to consider objections from certain members of the settlement class and to determine whether the settlement is fair, reasonable, and adequate. In August 2010, the Court filed an order and judgment in which it determined that the company’s settlement is fair, reasonable, and adequate, and approved the settlement. The Court filed similar orders and judgments approving the settlements entered into by other defendants. Also in August 2010, certain objectors filed notices with the United States Court of Appeals for the Seventh Circuit (the “Appellate Court”) to appeal the order and judgment approving the company’s settlement and the other orders and judgments approving the settlements with the other defendants.</w:t>
      </w:r>
    </w:p>
    <w:p>
      <w:pPr>
        <w:spacing w:after="0" w:line="193" w:lineRule="exact"/>
        <w:rPr>
          <w:sz w:val="20"/>
          <w:szCs w:val="20"/>
          <w:color w:val="auto"/>
        </w:rPr>
      </w:pPr>
    </w:p>
    <w:p>
      <w:pPr>
        <w:ind w:right="120" w:firstLine="270"/>
        <w:spacing w:after="0" w:line="312" w:lineRule="auto"/>
        <w:rPr>
          <w:sz w:val="20"/>
          <w:szCs w:val="20"/>
          <w:color w:val="auto"/>
        </w:rPr>
      </w:pPr>
      <w:r>
        <w:rPr>
          <w:rFonts w:ascii="Arial" w:cs="Arial" w:eastAsia="Arial" w:hAnsi="Arial"/>
          <w:sz w:val="16"/>
          <w:szCs w:val="16"/>
          <w:color w:val="auto"/>
        </w:rPr>
        <w:t>In February 2011, all objectors to the company’s settlement dismissed their appeals. Accordingly, the company’s settlement agreement is final. The expected costs of the company’s performance of its settlement obligations are consistent with accruals established in prior periods and, as such, management does not currently expect that the settlement will have a material adverse effect on the company’s consolidated operating results or financial condition.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270"/>
        <w:spacing w:after="0" w:line="312" w:lineRule="auto"/>
        <w:rPr>
          <w:sz w:val="20"/>
          <w:szCs w:val="20"/>
          <w:color w:val="auto"/>
        </w:rPr>
      </w:pPr>
      <w:r>
        <w:rPr>
          <w:rFonts w:ascii="Arial" w:cs="Arial" w:eastAsia="Arial" w:hAnsi="Arial"/>
          <w:sz w:val="16"/>
          <w:szCs w:val="16"/>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purchased a lawnmower containing a gas combustible engine up to 30 horsepower that was</w:t>
      </w:r>
    </w:p>
    <w:p>
      <w:pPr>
        <w:sectPr>
          <w:pgSz w:w="11900" w:h="16838" w:orient="portrait"/>
          <w:cols w:equalWidth="0" w:num="1">
            <w:col w:w="11400"/>
          </w:cols>
          <w:pgMar w:left="240" w:top="125" w:right="259" w:bottom="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manufactured or sold by the defendants, and (iii) seeks under applicable Canadian law unspecified compensatory and punitive damages, attorneys’ costs and fees, and equitable relief.</w:t>
      </w:r>
    </w:p>
    <w:p>
      <w:pPr>
        <w:spacing w:after="0" w:line="170" w:lineRule="exact"/>
        <w:rPr>
          <w:sz w:val="20"/>
          <w:szCs w:val="20"/>
          <w:color w:val="auto"/>
        </w:rPr>
      </w:pPr>
    </w:p>
    <w:p>
      <w:pPr>
        <w:ind w:right="80" w:firstLine="270"/>
        <w:spacing w:after="0" w:line="312" w:lineRule="auto"/>
        <w:rPr>
          <w:sz w:val="20"/>
          <w:szCs w:val="20"/>
          <w:color w:val="auto"/>
        </w:rPr>
      </w:pPr>
      <w:r>
        <w:rPr>
          <w:rFonts w:ascii="Arial" w:cs="Arial" w:eastAsia="Arial" w:hAnsi="Arial"/>
          <w:sz w:val="16"/>
          <w:szCs w:val="16"/>
          <w:color w:val="auto"/>
        </w:rPr>
        <w:t>Management continues to evaluate this Canadian litigation. In the event the company is unable to favorably resolve this litigation, management is unable to assess at this time whether this litigation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agricultural micro-irrigation systems, landscaping equipment and lighting, and residential yard and snow removal products worldwide.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Our emphasis is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67"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the first quarter of fiscal 2011, our net sales were up 15.6 percent, as compared to the first quarter of fiscal 2010. Professional segment net sales were up 21.4 percent, as compared to the first quarter of fiscal 2010, as shipments for all professional segment businesses increased due to higher customer demand resulting from consumer optimism from improved economic conditions, the successful introduction of new products, and strong demand for golf equipment and irrigation systems. Early orders for landscape contractor equipment and continued demand for our micro-irrigation products also contributed to the professional segment sales growth. To meet increasing worldwide demand for micro-irrigation products for the agricultural market, particularly in Eastern Europe, we expect construction of a new manufacturing facility in Romania to start in 2011 with production anticipated to begin in late 2011. We expect location of this new facility in Romania to provide many advantages due to its central location, established transportation infrastructure, and access to skilled manufacturing resources. Residential segment sales increased 5.6 percent for the first quarter of fiscal 2011 compared to the first quarter of fiscal 2010, primarily as a result of early orders for a new line of zero-turn radius riding mowers and increased product placement and demand for snow thrower products, somewhat offset by lower sales of Pope irrigation products in Australia. Our net earnings were up 58.3 percent for the first quarter of fiscal 2011 compared to the first quarter of fiscal 2010, primarily from higher sales volumes and gross margin improvement. In addition, we leveraged our selling, general, and administrative (SG&amp;A) expenses over higher sales volumes to 28.6 percent as a percent of net sales for the first quarter of fiscal 2011 compared to 29.2 percent in the first quarter of fiscal 2010.</w:t>
      </w:r>
    </w:p>
    <w:p>
      <w:pPr>
        <w:spacing w:after="0" w:line="188"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We continued to focus on improving asset management and our financial condition remains strong. Our receivables increased slightly, by 2.3 percent, as of the end of the first quarter of fiscal 2011 compared to the end of the first quarter of fiscal 2010. Our inventory levels increased 25.5 percent as of the end of the first quarter of fiscal 2011 compared to the end of the first quarter of fiscal 2010 as we prebuilt inventory in anticipation of expected higher demand for our products in fiscal 2011 compared to last fiscal year. As of the end of our first quarter of fiscal 2011, our average net working capital (accounts receivable plus inventory less trade payables) as a percentage of net sales was 13.5 percent compared to 23.9 percent as of the end of our first quarter of fiscal 2010. We also increased our first quarter cash dividend by 11 percent from $0.18 to $0.20 per share compared to the quarterly cash dividend paid in the first quarter of fiscal 2010.</w:t>
      </w:r>
    </w:p>
    <w:p>
      <w:pPr>
        <w:spacing w:after="0" w:line="18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We recently announced our new multi-year initiative, “Destination 2014” that will take us to our centennial in 2014 and into our second century. This four-year initiative is intended to focus our efforts on driving our legacy of excellence through building caring relationships and engaging in innovation. Through our Destination 2014 initiative financial goals, over the next four years we will strive to achieve $100 million in organic revenue growth each fiscal year and 12 percent operating earnings as a percentage of net sales by the end of fiscal 2014.</w:t>
      </w:r>
    </w:p>
    <w:p>
      <w:pPr>
        <w:spacing w:after="0" w:line="187"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Our net sales and earnings for the first quarter of our fiscal year are typically lower than other quarters, and the results of our first quarter are not necessarily an indicator of spring season sales trends. Our focus as we enter our peak selling season is on generating customer demand for our innovative new products, while keeping production closely aligned with expected shipment volumes. We will continue to keep a cautionary eye on the global economies and the pace and degree of recovery, retail demand, field inventory levels, commodity prices, weather, competitive actions, expenses, and other factors identified below under the heading “Forward-Looking Information,” which could cause our actual results to differ from our anticipated outlook.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ectPr>
          <w:pgSz w:w="11900" w:h="16838" w:orient="portrait"/>
          <w:cols w:equalWidth="0" w:num="1">
            <w:col w:w="11380"/>
          </w:cols>
          <w:pgMar w:left="240" w:top="125" w:right="279" w:bottom="0" w:gutter="0" w:footer="0" w:header="0"/>
        </w:sectPr>
      </w:pPr>
    </w:p>
    <w:bookmarkStart w:id="11" w:name="page12"/>
    <w:bookmarkEnd w:id="11"/>
    <w:p>
      <w:pPr>
        <w:ind w:right="180"/>
        <w:spacing w:after="0" w:line="276" w:lineRule="auto"/>
        <w:rPr>
          <w:sz w:val="20"/>
          <w:szCs w:val="20"/>
          <w:color w:val="auto"/>
        </w:rPr>
      </w:pPr>
      <w:r>
        <w:rPr>
          <w:rFonts w:ascii="Arial" w:cs="Arial" w:eastAsia="Arial" w:hAnsi="Arial"/>
          <w:sz w:val="17"/>
          <w:szCs w:val="17"/>
          <w:color w:val="auto"/>
        </w:rPr>
        <w:t>Net earnings for the first quarter of fiscal 2011 were $17.3 million, or $0.53 per diluted share, compared to $10.9 million, or $0.32 per diluted share, for the first quarter of fiscal 2010, resulting in a net earnings per diluted share increase of 65.6 percent. The primary factors contributing to the net earnings improvement were higher sales volumes, an increase in gross margin, higher other income, and a lower effective tax rate, somewhat offset by an increase in SG&amp;A expense. In addition, fiscal 2011 first quarter diluted net earnings per share were benefited by approximately $0.03 per share compared to the fiscal 2010 first quarter as a result of reduced shares outstanding from repurchases of our common stock.</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our results of operations as a percentage of our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18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44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10"/>
              <w:spacing w:after="0" w:line="119" w:lineRule="exact"/>
              <w:rPr>
                <w:sz w:val="20"/>
                <w:szCs w:val="20"/>
                <w:color w:val="auto"/>
              </w:rPr>
            </w:pPr>
            <w:r>
              <w:rPr>
                <w:rFonts w:ascii="Arial" w:cs="Arial" w:eastAsia="Arial" w:hAnsi="Arial"/>
                <w:sz w:val="13"/>
                <w:szCs w:val="13"/>
                <w:b w:val="1"/>
                <w:bCs w:val="1"/>
                <w:color w:val="auto"/>
              </w:rPr>
              <w:t>January 28,</w:t>
            </w:r>
          </w:p>
        </w:tc>
        <w:tc>
          <w:tcPr>
            <w:tcW w:w="136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January 29,</w:t>
            </w:r>
          </w:p>
        </w:tc>
        <w:tc>
          <w:tcPr>
            <w:tcW w:w="180" w:type="dxa"/>
            <w:vAlign w:val="bottom"/>
          </w:tcPr>
          <w:p>
            <w:pPr>
              <w:spacing w:after="0"/>
              <w:rPr>
                <w:sz w:val="10"/>
                <w:szCs w:val="10"/>
                <w:color w:val="auto"/>
              </w:rPr>
            </w:pPr>
          </w:p>
        </w:tc>
      </w:tr>
      <w:tr>
        <w:trPr>
          <w:trHeight w:val="171"/>
        </w:trPr>
        <w:tc>
          <w:tcPr>
            <w:tcW w:w="44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(64.3)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(64.9)</w:t>
            </w:r>
          </w:p>
        </w:tc>
      </w:tr>
      <w:tr>
        <w:trPr>
          <w:trHeight w:val="210"/>
        </w:trPr>
        <w:tc>
          <w:tcPr>
            <w:tcW w:w="4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SG&amp;A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(28.6)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(29.2)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income, net</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Worldwide consolidated net sales for the first quarter of fiscal 2011 were $383.2 million compared to $331.4 million in the first quarter of fiscal 2010, an increase of 15.6 percent. Worldwide professional segment net sales were up 21.4 percent, as shipments for all professional segment businesses increased due to higher customer demand resulting from consumer optimism from improved economic conditions, the successful introduction of new products, and strong demand for golf equipment and irrigation systems, namely from golf projects in key international markets and domestic renovation projects. Early orders of landscape contractor equipment were strong for the first quarter in anticipation of strong demand from professional contractors for the upcoming spring and summer mowing season. Micro-irrigation product sales also increased for the first quarter due to continued growing market demand, particularly in Eastern Europe, and additional manufacturing capacity that increased production and sales of our water-conserving products. Residential segment sales increased 5.6 percent for the first quarter of fiscal 2011 compared to the first quarter of fiscal 2010, primarily as a result of early orders for our new zero-turn radius riding mowers and higher shipments of snow thrower products as a result of expanded product placement and strong demand driven by heavy snowfalls during the 2010/2011 winter season. However, sales of Pope irrigation products sold in Australia were down primarily due to adverse weather conditions in Australia. In addition, worldwide shipments of walk power mowers also declined primarily as a result of efforts to ship products closer to retail demand. A weaker U.S. dollar compared to other worldwide currencies in which we transact business accounted for approximately $1 million of additional net sales for the first quarter of fiscal 2011 as compared to the first quarter of fiscal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percentage of net sales, gross profit for the first quarter of fiscal 2011 increased 60 basis points to 35.7 percent compared to 35.1 percent in the first quarter of fiscal 2010. This improvement was due mainly to a higher proportionate share of professional segment sales that carry higher average gross margins than residential segment sales and lower manufacturing costs from higher plant utilization, mainly related to increased demand for our products. Somewhat offsetting those positive factors were higher average prices paid for commodities in the first quarter of fiscal 2011 compared to the first quarter of fiscal 2010 and increased freight expense due to higher fuel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SG&amp;A expense for the first quarter of fiscal 2011 increased $12.8 million, or 13.3 percent, compared to the same period last fiscal year. However, SG&amp;A expense as a percentage of net sales decreased 60 basis points to 28.6 percent in the first quarter of fiscal 2011 compared to 29.2 percent in the first quarter of fiscal 2010 due primarily to leveraging SG&amp;A costs over higher sales volumes, somewhat offset by higher warranty expense as a result of special provisions for product modifications.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first quarter of fiscal 2011 decreased 3.0 percent compared to the first quarter of fiscal 2010 due to lower average debt levels.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Other income, net for the first quarter of fiscal 2011 was $1.4 million compared to $0.9 million for the same period last fiscal year, an increase of $0.5 million. The increase was due primarily to an increase in income from equity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effective tax rate for the first quarter of fiscal 2011 was down to 29.3 percent compared to 33.6 percent in the first quarter of fiscal 2010. The reduction in the effective tax rate was primarily the result of the retroactive reenactment of the federal research and development tax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earnings from</w:t>
      </w:r>
    </w:p>
    <w:p>
      <w:pPr>
        <w:sectPr>
          <w:pgSz w:w="11900" w:h="16838" w:orient="portrait"/>
          <w:cols w:equalWidth="0" w:num="1">
            <w:col w:w="11400"/>
          </w:cols>
          <w:pgMar w:left="240" w:top="125" w:right="259" w:bottom="0" w:gutter="0" w:footer="0" w:header="0"/>
        </w:sectPr>
      </w:pPr>
    </w:p>
    <w:bookmarkStart w:id="12" w:name="page13"/>
    <w:bookmarkEnd w:id="12"/>
    <w:p>
      <w:pPr>
        <w:spacing w:after="0" w:line="4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operations plus other income, net. Operating loss for “Other” includes earnings (loss) from operations, corporate activities, other income, net, and interest expense.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Pr>
          <w:p>
            <w:pPr>
              <w:spacing w:after="0"/>
              <w:rPr>
                <w:sz w:val="10"/>
                <w:szCs w:val="10"/>
                <w:color w:val="auto"/>
              </w:rPr>
            </w:pPr>
          </w:p>
        </w:tc>
        <w:tc>
          <w:tcPr>
            <w:tcW w:w="142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January 29,</w:t>
            </w:r>
          </w:p>
        </w:tc>
        <w:tc>
          <w:tcPr>
            <w:tcW w:w="240" w:type="dxa"/>
            <w:vAlign w:val="bottom"/>
          </w:tcPr>
          <w:p>
            <w:pPr>
              <w:spacing w:after="0"/>
              <w:rPr>
                <w:sz w:val="10"/>
                <w:szCs w:val="10"/>
                <w:color w:val="auto"/>
              </w:rPr>
            </w:pPr>
          </w:p>
        </w:tc>
        <w:tc>
          <w:tcPr>
            <w:tcW w:w="11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258,280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45,480</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123,293</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116,756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6,537</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383,213</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331,358</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51,855</w:t>
            </w:r>
          </w:p>
        </w:tc>
        <w:tc>
          <w:tcPr>
            <w:tcW w:w="2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 Includes international sales of:</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138,751</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128,383</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10,368</w:t>
            </w:r>
          </w:p>
        </w:tc>
        <w:tc>
          <w:tcPr>
            <w:tcW w:w="2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Pr>
          <w:p>
            <w:pPr>
              <w:spacing w:after="0"/>
              <w:rPr>
                <w:sz w:val="10"/>
                <w:szCs w:val="10"/>
                <w:color w:val="auto"/>
              </w:rPr>
            </w:pPr>
          </w:p>
        </w:tc>
        <w:tc>
          <w:tcPr>
            <w:tcW w:w="142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January 29,</w:t>
            </w:r>
          </w:p>
        </w:tc>
        <w:tc>
          <w:tcPr>
            <w:tcW w:w="240" w:type="dxa"/>
            <w:vAlign w:val="bottom"/>
          </w:tcPr>
          <w:p>
            <w:pPr>
              <w:spacing w:after="0"/>
              <w:rPr>
                <w:sz w:val="10"/>
                <w:szCs w:val="10"/>
                <w:color w:val="auto"/>
              </w:rPr>
            </w:pPr>
          </w:p>
        </w:tc>
        <w:tc>
          <w:tcPr>
            <w:tcW w:w="11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11,368</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13,427</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(2,059)</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(24,834)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(22,789)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first quarter of fiscal 2011 were up 21.4 percent compared to the first quarter of fiscal 2010</w:t>
      </w:r>
      <w:r>
        <w:rPr>
          <w:rFonts w:ascii="Arial" w:cs="Arial" w:eastAsia="Arial" w:hAnsi="Arial"/>
          <w:sz w:val="17"/>
          <w:szCs w:val="17"/>
          <w:i w:val="1"/>
          <w:iCs w:val="1"/>
          <w:color w:val="auto"/>
        </w:rPr>
        <w:t xml:space="preserve"> </w:t>
      </w:r>
      <w:r>
        <w:rPr>
          <w:rFonts w:ascii="Arial" w:cs="Arial" w:eastAsia="Arial" w:hAnsi="Arial"/>
          <w:sz w:val="17"/>
          <w:szCs w:val="17"/>
          <w:color w:val="auto"/>
        </w:rPr>
        <w:t>as shipments for all professional segment businesses increased due to higher customer demand resulting from consumer optimism from improved economic conditions, the successful introduction of new products, and strong demand for golf equipment and irrigation systems, namely from golf projects in key international markets and domestic renovation projects. Early orders of landscape contractor equipment were strong during the first quarter of fiscal 2011 in anticipation of strong demand from professional contractors for the upcoming spring and summer mowing season. Micro-irrigation product sales increased for the first quarter comparison due to continued market demand, particularly in Eastern Europe, and additional manufacturing capacity that increased production and sales of our water-conserving products.</w:t>
      </w:r>
    </w:p>
    <w:p>
      <w:pPr>
        <w:spacing w:after="0" w:line="178"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were $37.9 million in the first quarter of fiscal 2011 compared to $25.8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fiscal 2010, an increase of 46.9 percent. Expressed as a percentage of net sales, professional segment operating margins increased to 14.7 percent compared to 12.1 percent in the first quarter of fiscal 2010. These profit improvements were primarily attributable to higher sales volumes and an increase in gross margins due to the same factors discussed previously in the Gross Profit section. Lower SG&amp;A expenses as a percentage of net sales also contributed to the operating earnings improvement due to leveraging fixed SG&amp;A costs over higher sales volumes.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Worldwide net sales for the residential segment in the first quarter of fiscal 2011 were up by 5.6 percent compared to the first quarter of fiscal 2010.</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was primarily the result of early orders for our new line of zero-turn radius riding mowers due, in part, to increased customer demand resulting from increased consumer optimism and positive response to new products. Shipments of snow thrower products were also higher in the first quarter of fiscal 2011 compared to the first quarter of fiscal 2010, primarily from expanded product placement and strong demand driven by heavy snowfalls during the 2010/2011 winter season. However, sales of Pope irrigation products sold in Australia were down due to heavy rains and flooding in Australia. In addition, worldwide shipments of walk power mowers also declined as a result of efforts to ship products closer to retail demand.</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were $11.4 million in the first quarter of fiscal 2011 compared to $13.4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2010, a decrease of 15.3 percent. Expressed as a percentage of net sales, residential segment operating margins decreased to 9.2 percent compared to 11.5 percent in the first quarter of fiscal 2010. These decreases were due to lower gross margins as a result of product mix and higher commodity costs in the first quarter of fiscal 2011 compared to the first quarter of fiscal 2010. In addition, higher SG&amp;A expense as a percentage of net sales also contributed to the operating earnings decline mainly as a result of an increase in warranty expense due to special provisions for product modifications.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other segment include sales from our wholly owned domestic distribution companies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those distribution companies. The other segment net sales decreased slightly, by $0.2 million, for the first quarter of fiscal 2011 compared to the first quarter of fiscal 2010.</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u w:val="single" w:color="auto"/>
          <w:color w:val="auto"/>
        </w:rPr>
        <w:t>Operating Losses</w:t>
      </w:r>
      <w:r>
        <w:rPr>
          <w:rFonts w:ascii="Arial" w:cs="Arial" w:eastAsia="Arial" w:hAnsi="Arial"/>
          <w:sz w:val="16"/>
          <w:szCs w:val="16"/>
          <w:color w:val="auto"/>
        </w:rPr>
        <w:t>. Operating losses for the other segment were up $2.0 million, or 9.0 percent, for the first quarter of fiscal 2011 compared to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fiscal 2010. This increase was primarily attributable to an increase in the elimination of gross profit previously recorded with respect to sales of our products to our wholly owned distribution companies as a result of higher inventory levels at those distribution companies and an increase in incentive compensation expense due to anticipated improved financial performance, somewhat offset by an increase in income from equity investments.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ectPr>
          <w:pgSz w:w="11900" w:h="16883" w:orient="portrait"/>
          <w:cols w:equalWidth="0" w:num="1">
            <w:col w:w="11460"/>
          </w:cols>
          <w:pgMar w:left="240" w:top="125" w:right="19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have taken proactive measures to improve working capital utilization, including managing our assets, controlling costs, and adjusting production plans. As such, our financial condition remains strong. We continue to place emphasis on asset management, with a focus on minimizing the amount of working capital in the supply chain and maintaining or improving order replenishment and service levels to end users.</w:t>
      </w:r>
    </w:p>
    <w:p>
      <w:pPr>
        <w:spacing w:after="0" w:line="166"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Receivables as of the end of the first quarter of fiscal 2011 increased slightly, by 2.3 percent, compared to the end of the first quarter of fiscal 2010. Our average days sales outstanding for receivables improved to 38 days based on sales for the last twelve months ended January 28, 2011, compared to 61 days for the twelve months ended January 29, 2010 primarily as the result of floor plan receivables and certain open account receivables financed with Red Iron, our financing joint venture with TCFIF, instead of with us. Inventory increased as of the end of the first quarter of fiscal 2011 by 25.5 percent compared to the end of the first quarter of fiscal 2010 as we prebuilt inventory in anticipation of expected higher demand for our products in fiscal 2011 compared to last fiscal year. However, average inventory turnover improved 15.3 percent for the twelve months ended January 28, 2011 compared to the twelve months ended January 29, 2010 as we continued to focus on improving asset management. In addition, as part of our working capital initiative, accounts payable increased as of the end of our first quarter of fiscal 2010 by $40.1 million, or 36.6 percent, driven by higher levels of inventory and production due to increased demand for our products, as well as our supply chain initiatives. As a result of our efforts to reduce working capital, as of the end of the first quarter of fiscal 2011, we maintained our average net working capital (accounts receivable plus inventory less trade payables) as a percentage of net sales at a level below 20 percent, or “in the teens.” Specifically, our average net working capital as a percentage of net sales for the twelve months ended January 28, 2011 was 13.5 percent.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One of the purposes of establishing Red Iron was to free up our working capital for other strategic purposes, which may include, among other things, research and development of innovative new products, improvements in the quality and performance of existing products, strategic acquisitions and investments, and returning value to shareholders through share repurchases and cash dividends.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67"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first quarter of fiscal 2011 paid on January 11, 2011, which was an increase of 11 percent over our cash dividend of $0.18 per share for the first quarter of fiscal 2010.</w:t>
      </w:r>
    </w:p>
    <w:p>
      <w:pPr>
        <w:spacing w:after="0" w:line="170" w:lineRule="exact"/>
        <w:rPr>
          <w:sz w:val="20"/>
          <w:szCs w:val="20"/>
          <w:color w:val="auto"/>
        </w:rPr>
      </w:pPr>
    </w:p>
    <w:p>
      <w:pPr>
        <w:ind w:right="280" w:firstLine="270"/>
        <w:spacing w:after="0" w:line="342" w:lineRule="auto"/>
        <w:rPr>
          <w:sz w:val="20"/>
          <w:szCs w:val="20"/>
          <w:color w:val="auto"/>
        </w:rPr>
      </w:pPr>
      <w:r>
        <w:rPr>
          <w:rFonts w:ascii="Arial" w:cs="Arial" w:eastAsia="Arial" w:hAnsi="Arial"/>
          <w:sz w:val="16"/>
          <w:szCs w:val="16"/>
          <w:color w:val="auto"/>
        </w:rPr>
        <w:t>On December 1, 2010 our Board of Directors authorized the repurchase of up to an additional 3 million shares of our common stock in open-market or privately negotiated transactions. This repurchase authorization has no expiration date but may be terminated by the Board of Directors at any time.</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Our first fiscal quarter historically uses more operating cash than other fiscal quarters due to the seasonality of our business. Cash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for the first three months of fiscal 2011 was up $20.9 million compared to the first three months of fiscal 2010 as a result of an increase in inventory levels, somewhat offset by higher net earnings. Cash used for investing activities was also up $5.0 million compared to the first quarter of fiscal 2010, due mainly to an increase in cash utilized for an acquisition. Cash used for financing activities for the first quarter of fiscal 2011 was higher by $27.8 million compared to the first quarter of fiscal 2010. This increase was primarily attributable to higher levels of funds used to repurchase our common stock during the first quarter of fiscal 2011 compared to the first quarter of fiscal 2010.</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businesses are seasonal, with accounts receivable balances historically increasing between January and</w:t>
      </w:r>
      <w:r>
        <w:rPr>
          <w:rFonts w:ascii="Arial" w:cs="Arial" w:eastAsia="Arial" w:hAnsi="Arial"/>
          <w:sz w:val="17"/>
          <w:szCs w:val="17"/>
          <w:i w:val="1"/>
          <w:iCs w:val="1"/>
          <w:color w:val="auto"/>
        </w:rPr>
        <w:t xml:space="preserve"> </w:t>
      </w:r>
      <w:r>
        <w:rPr>
          <w:rFonts w:ascii="Arial" w:cs="Arial" w:eastAsia="Arial" w:hAnsi="Arial"/>
          <w:sz w:val="17"/>
          <w:szCs w:val="17"/>
          <w:color w:val="auto"/>
        </w:rPr>
        <w:t>April as a result of higher sales volumes and extended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a $175.0 million unsecured senior revolving credit facility that expires in January 2012. We intend to amend or replace this credit facility prior to its expiration in January 2012. We had no outstanding short-term debt under this revolving credit facility as of January 28, 2011. Interest expense on this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credit line is determined based on a LIBOR rate plus a basis point spread defined in the credit agreement. In addition, our non-U.S. operations maintain unsecured short-term lines of credit in the aggregate amount of approximately $18 million. These facilities bear interest at various rates depending on the rates in their respective countries of operation. As of January 28, 2011, we had no outstanding short-term debt under these lines of credit. We also have a letter of credit subfacility as part of our credit agreement. As of January 28, 2011, we had $10.4 million of outstanding standby letters of credit. As of January 28, 2011, we had $183.3 million of unutilized availability under our credit agreements. In addition, we had $0.2 million in short-term debt for certain receivables for which we provided recourse to Red Iron as of January 28, 2011.</w:t>
      </w:r>
    </w:p>
    <w:p>
      <w:pPr>
        <w:spacing w:after="0" w:line="193"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On November 9, 2010, we amended the terms of our credit agreement for our revolving credit facility to better match our financing needs to our ongoing capital requirements. The amendment included the following changes: (i) replace the debt-to-capitalization covenant with a debt to earnings before interest, taxes, depreciation, and amortization (“EBITDA”) covenant that shall not exceed 3.25 to 1.00 for any four-quarter period; (ii) remove language that prohibits us from repurchasing our own debt; and (iii) reduce the total amount of the credit line from $225.0 million to $175.0 million. This amendment provides us with more flexibility in the deployment of our capital, while reducing ongoing costs to maintain the amount of credit required for ongoing operations. We were in compliance with all covenants related to our credit agreement for our revolving credit facility as of January 28, 2011, and we expect to be in compliance with all covenants during the remainder of fiscal 2011. Our credit agreement for our revolving credit facility requires compliance with all of the covenants defined in the agreement.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1.50 to 1.00, the basis point spread over LIBOR we currently pay on our outstanding short-term debt under the credit agreement would increase. However, the credit commitment could not be cancelled by the banks</w:t>
      </w:r>
    </w:p>
    <w:p>
      <w:pPr>
        <w:sectPr>
          <w:pgSz w:w="11900" w:h="16838" w:orient="portrait"/>
          <w:cols w:equalWidth="0" w:num="1">
            <w:col w:w="11420"/>
          </w:cols>
          <w:pgMar w:left="240" w:top="337" w:right="239" w:bottom="0" w:gutter="0" w:footer="0" w:header="0"/>
        </w:sectPr>
      </w:pPr>
    </w:p>
    <w:bookmarkStart w:id="14" w:name="page15"/>
    <w:bookmarkEnd w:id="14"/>
    <w:p>
      <w:pPr>
        <w:spacing w:after="0" w:line="6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solely on a ratings downgrade. Our debt rating for long-term unsecured senior, non-credit enhanced debt was unchanged during the first quarter of fiscal 2011 by Standard and Poor’s Ratings Group at BBB- and by Moody’s Investors Service at Baa3.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fiscal 2009, we established our Red Iron joint venture with TCFIF. The purpose of Red Iron is to provide inventory financing, including floor plan and open account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$4.7 million of receivables from us during the first quarter of fiscal 2011. As of January 28, 2011, $11.2 million of receivables financed the third party financing company, excluding Red Iron, were outstanding, which includes outstanding receivables that were financed by third party sources before the establishment of Red Iron. See our most recently filed Annual Report on Form 10-K for further details regarding our customer financing arrangements and contractual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the effects of inflation, deflation, and changing prices. In the first quarter of fiscal 2011, average prices paid for commodities and components we purchase were higher compared to the average prices paid for commodities and components in the first quarter of fiscal 2010, which hampered our gross margin growth rate in the first quarter of fiscal 2011 compared to the first quarter of fiscal 2010. We will continue to closely follow the commodities and components that affect our product lines, and we anticipate average prices paid for commodities and components to be higher for the remainder of fiscal 2011 as compared to fiscal 2010.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2010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to be Adopted</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January 2010, the Financial Accounting Standards Board (“FASB”) issued Accounting Standards Update (“ASU”) No. 2010-06, “Fair Value Measurements and Disclosures (Topic 820).” ASU No. 2010-06 requires new disclosures regarding activity in Level 3 fair value measurements, including information on purchases, sales, issuances, and settlements on a gross basis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reconciliation of Level 3 fair-value measurements. We will adopt the provision of ASU No. 2010-06 for Level 3 fair-value measurements for our second fiscal quarter beginning on January 30, 2011, as required. We do not expect the adoption of ASU No. 2010-06 for Level 3 fair value measurements will have a material impact on our disclosures.</w:t>
      </w:r>
    </w:p>
    <w:p>
      <w:pPr>
        <w:spacing w:after="0" w:line="181"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2011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Our forward-looking statements generally relate to our future performance, including our anticipated operating results and liquidity requirements, our business strategies and goals, and the effect of laws, rules, regulations, new accounting pronouncements, and outstanding litigation on our business and future performance.</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66" w:lineRule="exact"/>
        <w:rPr>
          <w:sz w:val="20"/>
          <w:szCs w:val="20"/>
          <w:color w:val="auto"/>
        </w:rPr>
      </w:pPr>
    </w:p>
    <w:p>
      <w:pPr>
        <w:ind w:left="260" w:right="140" w:hanging="252"/>
        <w:spacing w:after="0" w:line="272"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conditions and outlook in the United States and around the world could adversely affect our net sales and earnings, which includes but is not limited to recessionary conditions; slow or negative economic growth rates; continued slow down or reductions in levels of golf course development, renovation, and improvement; golf course closures; continued slow down or reductions in levels of home ownership, construction, and home sales; home foreclosures; reduced consumer spending levels; reduced credit availability or unfavorable credit terms for our distributors, dealers, and end-user customers; higher commodity and component costs and fuel prices; higher short-term, mortgage, and other interest rates; continued high unemployment rates; inflationary or deflationary pressures; negative consumer confidence; the impact of sovereign and state debt; and general economic and political conditions and expectations in the U.S. and the other countries in which we conduct business.</w:t>
      </w:r>
    </w:p>
    <w:p>
      <w:pPr>
        <w:spacing w:after="0" w:line="177" w:lineRule="exact"/>
        <w:rPr>
          <w:rFonts w:ascii="Arial" w:cs="Arial" w:eastAsia="Arial" w:hAnsi="Arial"/>
          <w:sz w:val="17"/>
          <w:szCs w:val="17"/>
          <w:color w:val="auto"/>
        </w:rPr>
      </w:pPr>
    </w:p>
    <w:p>
      <w:pPr>
        <w:ind w:left="260" w:right="140" w:hanging="252"/>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cost or disruption in the availability of raw materials and components that we purchase and increases in our other costs of doing business, such as transportation costs, may adversely affect our profit margins and business.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w:t>
      </w:r>
    </w:p>
    <w:p>
      <w:pPr>
        <w:sectPr>
          <w:pgSz w:w="11900" w:h="16908" w:orient="portrait"/>
          <w:cols w:equalWidth="0" w:num="1">
            <w:col w:w="11420"/>
          </w:cols>
          <w:pgMar w:left="240" w:top="125" w:right="239" w:bottom="0" w:gutter="0" w:footer="0" w:header="0"/>
        </w:sectPr>
      </w:pPr>
    </w:p>
    <w:bookmarkStart w:id="15" w:name="page16"/>
    <w:bookmarkEnd w:id="15"/>
    <w:p>
      <w:pPr>
        <w:spacing w:after="0" w:line="35"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color w:val="auto"/>
        </w:rPr>
        <w:t>commercial construction; availability of credit to professional segment customers on acceptable terms to finance new product purchases; and the amount of government revenues, budget, and spending levels for grounds maintenance equipment; and other factors.</w:t>
      </w:r>
    </w:p>
    <w:p>
      <w:pPr>
        <w:spacing w:after="0" w:line="170" w:lineRule="exact"/>
        <w:rPr>
          <w:sz w:val="20"/>
          <w:szCs w:val="20"/>
          <w:color w:val="auto"/>
        </w:rPr>
      </w:pPr>
    </w:p>
    <w:p>
      <w:pPr>
        <w:ind w:left="260" w:right="180" w:hanging="252"/>
        <w:spacing w:after="0" w:line="277"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The Home Depot, Inc. as a major customer, the amount of product placement at retailers, consumer confidence and spending levels, and changing buying patterns of customers.</w:t>
      </w:r>
    </w:p>
    <w:p>
      <w:pPr>
        <w:spacing w:after="0" w:line="170" w:lineRule="exact"/>
        <w:rPr>
          <w:rFonts w:ascii="Arial" w:cs="Arial" w:eastAsia="Arial" w:hAnsi="Arial"/>
          <w:sz w:val="18"/>
          <w:szCs w:val="18"/>
          <w:color w:val="auto"/>
        </w:rPr>
      </w:pPr>
    </w:p>
    <w:p>
      <w:pPr>
        <w:ind w:left="260" w:right="180" w:hanging="252"/>
        <w:spacing w:after="0" w:line="286"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165" w:lineRule="exact"/>
        <w:rPr>
          <w:rFonts w:ascii="Arial" w:cs="Arial" w:eastAsia="Arial" w:hAnsi="Arial"/>
          <w:sz w:val="17"/>
          <w:szCs w:val="17"/>
          <w:color w:val="auto"/>
        </w:rPr>
      </w:pPr>
    </w:p>
    <w:p>
      <w:pPr>
        <w:ind w:left="260" w:right="100" w:hanging="252"/>
        <w:spacing w:after="0" w:line="342"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w:t>
      </w:r>
    </w:p>
    <w:p>
      <w:pPr>
        <w:spacing w:after="0" w:line="123" w:lineRule="exact"/>
        <w:rPr>
          <w:rFonts w:ascii="Arial" w:cs="Arial" w:eastAsia="Arial" w:hAnsi="Arial"/>
          <w:sz w:val="16"/>
          <w:szCs w:val="16"/>
          <w:color w:val="auto"/>
        </w:rPr>
      </w:pPr>
    </w:p>
    <w:p>
      <w:pPr>
        <w:ind w:left="260" w:right="360" w:hanging="252"/>
        <w:spacing w:after="0" w:line="312"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146" w:lineRule="exact"/>
        <w:rPr>
          <w:rFonts w:ascii="Arial" w:cs="Arial" w:eastAsia="Arial" w:hAnsi="Arial"/>
          <w:sz w:val="16"/>
          <w:szCs w:val="16"/>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160" w:hanging="252"/>
        <w:spacing w:after="0" w:line="255"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open and manage new, and/or move production between manufacturing facilities could adversely affect our business and operating results. We intend to build a manufacturing facility during fiscal 2011 in Romania for micro-irrigation products. Specifically, if this facility does not produce the anticipated manufacturing or operational efficiencies, or if the micro-irrigation products to be produced at this facility are not accepted into the new geographic markets at expected levels, we may not recover the costs of the new facility and our operating results may be adversely affected.</w:t>
      </w:r>
    </w:p>
    <w:p>
      <w:pPr>
        <w:spacing w:after="0" w:line="193" w:lineRule="exact"/>
        <w:rPr>
          <w:rFonts w:ascii="Arial" w:cs="Arial" w:eastAsia="Arial" w:hAnsi="Arial"/>
          <w:sz w:val="18"/>
          <w:szCs w:val="18"/>
          <w:color w:val="auto"/>
        </w:rPr>
      </w:pPr>
    </w:p>
    <w:p>
      <w:pPr>
        <w:ind w:left="260" w:right="120" w:hanging="252"/>
        <w:spacing w:after="0" w:line="264"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which are risky and could harm our business, particularly if we are not able to successfully integrate such acquisitions and alliances, joint ventures, and partnerships.</w:t>
      </w:r>
    </w:p>
    <w:p>
      <w:pPr>
        <w:spacing w:after="0" w:line="181" w:lineRule="exact"/>
        <w:rPr>
          <w:rFonts w:ascii="Arial" w:cs="Arial" w:eastAsia="Arial" w:hAnsi="Arial"/>
          <w:sz w:val="18"/>
          <w:szCs w:val="18"/>
          <w:color w:val="auto"/>
        </w:rPr>
      </w:pPr>
    </w:p>
    <w:p>
      <w:pPr>
        <w:ind w:left="260" w:right="200" w:hanging="252"/>
        <w:spacing w:after="0" w:line="259"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86" w:lineRule="exact"/>
        <w:rPr>
          <w:rFonts w:ascii="Arial" w:cs="Arial" w:eastAsia="Arial" w:hAnsi="Arial"/>
          <w:sz w:val="18"/>
          <w:szCs w:val="18"/>
          <w:color w:val="auto"/>
        </w:rPr>
      </w:pPr>
    </w:p>
    <w:p>
      <w:pPr>
        <w:jc w:val="both"/>
        <w:ind w:left="260" w:right="80" w:hanging="252"/>
        <w:spacing w:after="0" w:line="264"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81" w:lineRule="exact"/>
        <w:rPr>
          <w:rFonts w:ascii="Arial" w:cs="Arial" w:eastAsia="Arial" w:hAnsi="Arial"/>
          <w:sz w:val="18"/>
          <w:szCs w:val="18"/>
          <w:color w:val="auto"/>
        </w:rPr>
      </w:pPr>
    </w:p>
    <w:p>
      <w:pPr>
        <w:ind w:left="260" w:hanging="252"/>
        <w:spacing w:after="0" w:line="342" w:lineRule="auto"/>
        <w:tabs>
          <w:tab w:leader="none" w:pos="224"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23" w:lineRule="exact"/>
        <w:rPr>
          <w:rFonts w:ascii="Arial" w:cs="Arial" w:eastAsia="Arial" w:hAnsi="Arial"/>
          <w:sz w:val="16"/>
          <w:szCs w:val="16"/>
          <w:color w:val="auto"/>
        </w:rPr>
      </w:pPr>
    </w:p>
    <w:p>
      <w:pPr>
        <w:ind w:left="260" w:right="420" w:hanging="252"/>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70" w:lineRule="exact"/>
        <w:rPr>
          <w:rFonts w:ascii="Arial" w:cs="Arial" w:eastAsia="Arial" w:hAnsi="Arial"/>
          <w:sz w:val="18"/>
          <w:szCs w:val="18"/>
          <w:color w:val="auto"/>
        </w:rPr>
      </w:pPr>
    </w:p>
    <w:p>
      <w:pPr>
        <w:ind w:left="260" w:hanging="252"/>
        <w:spacing w:after="0" w:line="255"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has adopted increasingly stringent engine emission regulations, including Tier 4 emission requirements that beginning in 2012 are applicable to diesel engines in a specified horsepower range that are used in some of our products. Although we are developing plans to achieve substantial compliance with Tier 4 requirements, these plans will be subject to many variables and if we are unable to successfully execute such plans, our ability to sell our products into the market may be inhibited, which could adversely affect our competitive position and financial results.</w:t>
      </w:r>
    </w:p>
    <w:p>
      <w:pPr>
        <w:spacing w:after="0" w:line="18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225" w:lineRule="exact"/>
        <w:rPr>
          <w:rFonts w:ascii="Arial" w:cs="Arial" w:eastAsia="Arial" w:hAnsi="Arial"/>
          <w:sz w:val="18"/>
          <w:szCs w:val="18"/>
          <w:color w:val="auto"/>
        </w:rPr>
      </w:pPr>
    </w:p>
    <w:p>
      <w:pPr>
        <w:ind w:left="260" w:right="160" w:hanging="252"/>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spacing w:after="0" w:line="170" w:lineRule="exact"/>
        <w:rPr>
          <w:rFonts w:ascii="Arial" w:cs="Arial" w:eastAsia="Arial" w:hAnsi="Arial"/>
          <w:sz w:val="18"/>
          <w:szCs w:val="18"/>
          <w:color w:val="auto"/>
        </w:rPr>
      </w:pPr>
    </w:p>
    <w:p>
      <w:pPr>
        <w:ind w:left="260" w:right="500" w:hanging="252"/>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spacing w:after="0" w:line="170" w:lineRule="exact"/>
        <w:rPr>
          <w:rFonts w:ascii="Arial" w:cs="Arial" w:eastAsia="Arial" w:hAnsi="Arial"/>
          <w:sz w:val="18"/>
          <w:szCs w:val="18"/>
          <w:color w:val="auto"/>
        </w:rPr>
      </w:pPr>
    </w:p>
    <w:p>
      <w:pPr>
        <w:ind w:left="260" w:right="40" w:hanging="252"/>
        <w:spacing w:after="0" w:line="279"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spacing w:after="0" w:line="171" w:lineRule="exact"/>
        <w:rPr>
          <w:rFonts w:ascii="Arial" w:cs="Arial" w:eastAsia="Arial" w:hAnsi="Arial"/>
          <w:sz w:val="17"/>
          <w:szCs w:val="17"/>
          <w:color w:val="auto"/>
        </w:rPr>
      </w:pPr>
    </w:p>
    <w:p>
      <w:pPr>
        <w:ind w:left="260" w:right="40" w:hanging="252"/>
        <w:spacing w:after="0" w:line="297" w:lineRule="auto"/>
        <w:tabs>
          <w:tab w:leader="none" w:pos="224"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operating earnings, and employee engagement goals of our new, multi-year employee initiative called “Destination 2014”; natural or man-made disasters or global pandemics that may result in shortages of raw materials, higher fuel costs, and an increase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w:t>
      </w:r>
    </w:p>
    <w:p>
      <w:pPr>
        <w:sectPr>
          <w:pgSz w:w="11900" w:h="16874" w:orient="portrait"/>
          <w:cols w:equalWidth="0" w:num="1">
            <w:col w:w="11420"/>
          </w:cols>
          <w:pgMar w:left="240" w:top="125" w:right="239" w:bottom="0" w:gutter="0" w:footer="0" w:header="0"/>
        </w:sectPr>
      </w:pPr>
    </w:p>
    <w:bookmarkStart w:id="16" w:name="page17"/>
    <w:bookmarkEnd w:id="16"/>
    <w:p>
      <w:pPr>
        <w:ind w:left="260" w:right="100"/>
        <w:spacing w:after="0" w:line="264" w:lineRule="auto"/>
        <w:rPr>
          <w:sz w:val="20"/>
          <w:szCs w:val="20"/>
          <w:color w:val="auto"/>
        </w:rPr>
      </w:pPr>
      <w:r>
        <w:rPr>
          <w:rFonts w:ascii="Arial" w:cs="Arial" w:eastAsia="Arial" w:hAnsi="Arial"/>
          <w:sz w:val="18"/>
          <w:szCs w:val="18"/>
          <w:color w:val="auto"/>
        </w:rPr>
        <w:t>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 We are also exposed to equity market risk pertaining to the trading price of our common stock.</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normal course of business, we actively manage the exposure of our foreign currency exchange rate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foreign subsidiaries, foreign plant operations, and purchases from suppliers. Because our products are manufactured or sourced primarily from the United States and Mexico, a stronger U.S. dollar and Mexican peso generally has a negative impact on our results from operations, while a weaker dollar and peso generally has a positive effect. Our primary currency exchange rate exposures are with the Euro, the Australian dollar, the Canadian dollar, the British pound, the Mexican peso, and the Japanese yen against the U.S. dollar.</w:t>
      </w:r>
    </w:p>
    <w:p>
      <w:pPr>
        <w:spacing w:after="0" w:line="167"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market values of the related exposures. Therefore, changes in market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2011 and 2012.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January 28, 2011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Value in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vMerge w:val="continue"/>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Contracted</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3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Gain (Loss)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(2,621.3)</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0.9649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(257.6)</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1.3351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77,104.1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1.5879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Mexican peso/Sell US dollar</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12.8705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Buy Romanian New Lei/Sell Euro</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4.2688</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Our market risk on interest rates relates primarily to LIBOR-based short-term debt from commercial banks, as well as the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fair 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ectPr>
          <w:pgSz w:w="11900" w:h="16838" w:orient="portrait"/>
          <w:cols w:equalWidth="0" w:num="1">
            <w:col w:w="11420"/>
          </w:cols>
          <w:pgMar w:left="240" w:top="125" w:right="239" w:bottom="0" w:gutter="0" w:footer="0" w:header="0"/>
        </w:sectPr>
      </w:pPr>
    </w:p>
    <w:bookmarkStart w:id="17" w:name="page18"/>
    <w:bookmarkEnd w:id="17"/>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quarter ended January 28, 2011 that has materially affected, or is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patent infringement.</w:t>
      </w:r>
    </w:p>
    <w:p>
      <w:pPr>
        <w:spacing w:after="0" w:line="192"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54"/>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first quarter of fiscal 2011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Total Number of</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Purchased</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Paid per</w:t>
            </w: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As Part of Publicly</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Share</w:t>
            </w: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Purchased (1)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(or Unit)</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Programs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November 1, 2010 through November 26,</w:t>
            </w: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jc w:val="right"/>
              <w:ind w:right="2710"/>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November 27, 2010 through December 31,</w:t>
            </w: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jc w:val="right"/>
              <w:ind w:right="2710"/>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19,689</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28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19,689</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2011 through January 28, 2011</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463,651(3)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462,300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3,847,249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8" w:name="page19"/>
    <w:bookmarkEnd w:id="18"/>
    <w:p>
      <w:pPr>
        <w:spacing w:after="0"/>
        <w:tabs>
          <w:tab w:leader="none" w:pos="4620" w:val="left"/>
          <w:tab w:leader="none" w:pos="5520" w:val="left"/>
          <w:tab w:leader="none" w:pos="6460" w:val="left"/>
          <w:tab w:leader="none" w:pos="85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483,340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61.90</w:t>
      </w:r>
      <w:r>
        <w:rPr>
          <w:sz w:val="20"/>
          <w:szCs w:val="20"/>
          <w:color w:val="auto"/>
        </w:rPr>
        <w:tab/>
      </w:r>
      <w:r>
        <w:rPr>
          <w:rFonts w:ascii="Arial" w:cs="Arial" w:eastAsia="Arial" w:hAnsi="Arial"/>
          <w:sz w:val="16"/>
          <w:szCs w:val="16"/>
          <w:color w:val="auto"/>
        </w:rPr>
        <w:t>481,989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jc w:val="both"/>
        <w:ind w:left="660" w:right="140" w:hanging="328"/>
        <w:spacing w:after="0" w:line="264" w:lineRule="auto"/>
        <w:tabs>
          <w:tab w:leader="none" w:pos="681"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July 21, 2009, the company’s Board of Directors authorized the repurchase of 5,000,000 shares of the company’s common stock in open-market or in privately negotiated transactions. This program has no expiration date but may be terminated by the company’s Board of Directors at any time. As of January 28, 2011, there were 847,249 shares remaining for repurchase under this program.</w:t>
      </w:r>
    </w:p>
    <w:p>
      <w:pPr>
        <w:spacing w:after="0" w:line="181" w:lineRule="exact"/>
        <w:rPr>
          <w:rFonts w:ascii="Arial" w:cs="Arial" w:eastAsia="Arial" w:hAnsi="Arial"/>
          <w:sz w:val="18"/>
          <w:szCs w:val="18"/>
          <w:color w:val="auto"/>
        </w:rPr>
      </w:pPr>
    </w:p>
    <w:p>
      <w:pPr>
        <w:ind w:left="660" w:right="180" w:hanging="328"/>
        <w:spacing w:after="0" w:line="286" w:lineRule="auto"/>
        <w:tabs>
          <w:tab w:leader="none" w:pos="681"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December 1, 2010, the company’s Board of Directors authorized the repurchase of up to an additional 3,000,000 shares of the company’s common stock in open-market or in privately negotiated transactions. This program has no expiration date but may be terminated by the company’s Board of Directors at any time. No shares were repurchased under this program during the first quarter of fiscal 2011.</w:t>
      </w:r>
    </w:p>
    <w:p>
      <w:pPr>
        <w:spacing w:after="0" w:line="165" w:lineRule="exact"/>
        <w:rPr>
          <w:rFonts w:ascii="Arial" w:cs="Arial" w:eastAsia="Arial" w:hAnsi="Arial"/>
          <w:sz w:val="17"/>
          <w:szCs w:val="17"/>
          <w:color w:val="auto"/>
        </w:rPr>
      </w:pPr>
    </w:p>
    <w:p>
      <w:pPr>
        <w:ind w:left="660" w:right="140" w:hanging="328"/>
        <w:spacing w:after="0" w:line="264" w:lineRule="auto"/>
        <w:tabs>
          <w:tab w:leader="none" w:pos="68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1,351 units (shares) of the company’s common stock purchased in open-market transactions at an average price of $61.95 per share on behalf of a rabbi trust formed to pay benefit obligations of the company to participants in deferred compensation plans. These 1,351 shares were not repurchased under the company’s repurchase programs described in footnotes 1 and 2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560" w:type="dxa"/>
            <w:vAlign w:val="bottom"/>
          </w:tcPr>
          <w:p>
            <w:pPr>
              <w:ind w:left="306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1400" w:type="dxa"/>
            <w:vAlign w:val="bottom"/>
          </w:tcPr>
          <w:p>
            <w:pPr>
              <w:ind w:left="300"/>
              <w:spacing w:after="0"/>
              <w:rPr>
                <w:sz w:val="20"/>
                <w:szCs w:val="20"/>
                <w:color w:val="auto"/>
              </w:rPr>
            </w:pPr>
            <w:r>
              <w:rPr>
                <w:rFonts w:ascii="Arial" w:cs="Arial" w:eastAsia="Arial" w:hAnsi="Arial"/>
                <w:sz w:val="18"/>
                <w:szCs w:val="18"/>
                <w:color w:val="auto"/>
              </w:rPr>
              <w:t>Exhibits</w:t>
            </w:r>
          </w:p>
        </w:tc>
        <w:tc>
          <w:tcPr>
            <w:tcW w:w="956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3.1 and 4.1</w:t>
            </w:r>
          </w:p>
        </w:tc>
        <w:tc>
          <w:tcPr>
            <w:tcW w:w="9560" w:type="dxa"/>
            <w:vAlign w:val="bottom"/>
          </w:tcPr>
          <w:p>
            <w:pPr>
              <w:ind w:left="320"/>
              <w:spacing w:after="0"/>
              <w:rPr>
                <w:sz w:val="20"/>
                <w:szCs w:val="20"/>
                <w:color w:val="auto"/>
              </w:rPr>
            </w:pPr>
            <w:r>
              <w:rPr>
                <w:rFonts w:ascii="Arial" w:cs="Arial" w:eastAsia="Arial" w:hAnsi="Arial"/>
                <w:sz w:val="18"/>
                <w:szCs w:val="18"/>
                <w:color w:val="auto"/>
                <w:w w:val="94"/>
              </w:rPr>
              <w:t>Restated Certificate of Incorporation of The Toro Company (incorporated by reference to Exhibit 3.1 to Registrant’s Current</w:t>
            </w:r>
          </w:p>
        </w:tc>
      </w:tr>
      <w:tr>
        <w:trPr>
          <w:trHeight w:val="230"/>
        </w:trPr>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Report on Form 8-K dated June 17, 2008, Commission File No. 1-8649).</w:t>
            </w:r>
          </w:p>
        </w:tc>
      </w:tr>
      <w:tr>
        <w:trPr>
          <w:trHeight w:val="418"/>
        </w:trPr>
        <w:tc>
          <w:tcPr>
            <w:tcW w:w="50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3.2 and 4.2</w:t>
            </w:r>
          </w:p>
        </w:tc>
        <w:tc>
          <w:tcPr>
            <w:tcW w:w="9560" w:type="dxa"/>
            <w:vAlign w:val="bottom"/>
          </w:tcPr>
          <w:p>
            <w:pPr>
              <w:ind w:left="320"/>
              <w:spacing w:after="0"/>
              <w:rPr>
                <w:sz w:val="20"/>
                <w:szCs w:val="20"/>
                <w:color w:val="auto"/>
              </w:rPr>
            </w:pPr>
            <w:r>
              <w:rPr>
                <w:rFonts w:ascii="Arial" w:cs="Arial" w:eastAsia="Arial" w:hAnsi="Arial"/>
                <w:sz w:val="18"/>
                <w:szCs w:val="18"/>
                <w:color w:val="auto"/>
                <w:w w:val="92"/>
              </w:rPr>
              <w:t>Amended and Restated Bylaws of The Toro Company (incorporated by reference to Exhibit 3.2 to Registrant’s Current Report</w:t>
            </w:r>
          </w:p>
        </w:tc>
      </w:tr>
      <w:tr>
        <w:trPr>
          <w:trHeight w:val="230"/>
        </w:trPr>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on Form 8-K dated June 17, 2008, Commission File No. 1-8649).</w:t>
            </w:r>
          </w:p>
        </w:tc>
      </w:tr>
      <w:tr>
        <w:trPr>
          <w:trHeight w:val="418"/>
        </w:trPr>
        <w:tc>
          <w:tcPr>
            <w:tcW w:w="50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4.3</w:t>
            </w:r>
          </w:p>
        </w:tc>
        <w:tc>
          <w:tcPr>
            <w:tcW w:w="9560" w:type="dxa"/>
            <w:vAlign w:val="bottom"/>
          </w:tcPr>
          <w:p>
            <w:pPr>
              <w:ind w:left="320"/>
              <w:spacing w:after="0"/>
              <w:rPr>
                <w:sz w:val="20"/>
                <w:szCs w:val="20"/>
                <w:color w:val="auto"/>
              </w:rPr>
            </w:pPr>
            <w:r>
              <w:rPr>
                <w:rFonts w:ascii="Arial" w:cs="Arial" w:eastAsia="Arial" w:hAnsi="Arial"/>
                <w:sz w:val="18"/>
                <w:szCs w:val="18"/>
                <w:color w:val="auto"/>
                <w:w w:val="94"/>
              </w:rPr>
              <w:t>Specimen Form of Common Stock Certificate (incorporated by reference to Exhibit 4(c) to Registrant’s Quarterly Report on</w:t>
            </w:r>
          </w:p>
        </w:tc>
      </w:tr>
      <w:tr>
        <w:trPr>
          <w:trHeight w:val="230"/>
        </w:trPr>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50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4.4</w:t>
            </w:r>
          </w:p>
        </w:tc>
        <w:tc>
          <w:tcPr>
            <w:tcW w:w="9560" w:type="dxa"/>
            <w:vAlign w:val="bottom"/>
          </w:tcPr>
          <w:p>
            <w:pPr>
              <w:ind w:left="32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w:t>
            </w:r>
          </w:p>
        </w:tc>
      </w:tr>
      <w:tr>
        <w:trPr>
          <w:trHeight w:val="216"/>
        </w:trPr>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6"/>
              </w:rPr>
              <w:t>Toro Company’s 7.80% Debentures due June 15, 2027 (incorporated by reference to Exhibit 4(a) to Registrant’s Current</w:t>
            </w:r>
          </w:p>
        </w:tc>
      </w:tr>
      <w:tr>
        <w:trPr>
          <w:trHeight w:val="230"/>
        </w:trPr>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Report on Form 8-K dated June 24, 1997, Commission File No. 1-8649).</w:t>
            </w:r>
          </w:p>
        </w:tc>
      </w:tr>
      <w:tr>
        <w:trPr>
          <w:trHeight w:val="432"/>
        </w:trPr>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560" w:type="dxa"/>
            <w:vAlign w:val="bottom"/>
          </w:tcPr>
          <w:p>
            <w:pPr>
              <w:ind w:left="3720"/>
              <w:spacing w:after="0"/>
              <w:rPr>
                <w:sz w:val="20"/>
                <w:szCs w:val="20"/>
                <w:color w:val="auto"/>
              </w:rPr>
            </w:pPr>
            <w:r>
              <w:rPr>
                <w:rFonts w:ascii="Arial" w:cs="Arial" w:eastAsia="Arial" w:hAnsi="Arial"/>
                <w:sz w:val="18"/>
                <w:szCs w:val="18"/>
                <w:color w:val="auto"/>
              </w:rPr>
              <w:t>27</w:t>
            </w:r>
          </w:p>
        </w:tc>
      </w:tr>
      <w:tr>
        <w:trPr>
          <w:trHeight w:val="132"/>
        </w:trPr>
        <w:tc>
          <w:tcPr>
            <w:tcW w:w="50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9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640" w:type="dxa"/>
            <w:vAlign w:val="bottom"/>
          </w:tcPr>
          <w:p>
            <w:pPr>
              <w:spacing w:after="0"/>
              <w:rPr>
                <w:sz w:val="18"/>
                <w:szCs w:val="18"/>
                <w:color w:val="auto"/>
              </w:rPr>
            </w:pPr>
          </w:p>
        </w:tc>
      </w:tr>
      <w:tr>
        <w:trPr>
          <w:trHeight w:val="438"/>
        </w:trPr>
        <w:tc>
          <w:tcPr>
            <w:tcW w:w="1280" w:type="dxa"/>
            <w:vAlign w:val="bottom"/>
            <w:tcBorders>
              <w:top w:val="single" w:sz="8" w:color="0000EE"/>
            </w:tcBorders>
          </w:tcPr>
          <w:p>
            <w:pPr>
              <w:ind w:left="80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0"/>
              </w:rPr>
              <w:t>Indenture dated as of April 20, 2007, between Registrant and The Bank of New York Trust Company, N.A., as Trustee, relating</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2"/>
              </w:rPr>
              <w:t>to The Toro Company’s 6.625% Notes due May 1, 2037 (incorporated by reference to Exhibit 4.3 to Registrant’s Registration</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2"/>
              </w:rPr>
              <w:t>Statement on Form S-3 filed with the Securities and Exchange Commission on April 23, 2007, Registration No. 333-142282).</w:t>
            </w:r>
          </w:p>
        </w:tc>
      </w:tr>
      <w:tr>
        <w:trPr>
          <w:trHeight w:val="418"/>
        </w:trPr>
        <w:tc>
          <w:tcPr>
            <w:tcW w:w="1280" w:type="dxa"/>
            <w:vAlign w:val="bottom"/>
          </w:tcPr>
          <w:p>
            <w:pPr>
              <w:ind w:left="80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1"/>
              </w:rPr>
              <w:t>First Supplemental Indenture dated as of April 26, 2007, between Registrant and The Bank of New York Trust Company, N.A.,</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6"/>
              </w:rPr>
              <w:t>as Trustee, relating to The Toro Company’s 6.625% Notes due May 1, 2037 (incorporated by reference to Exhibit 4.1 to</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Registrant’s Current Report on Form 8-K dated April 23, 2007, Commission File No. 1-8649).</w:t>
            </w:r>
          </w:p>
        </w:tc>
      </w:tr>
      <w:tr>
        <w:trPr>
          <w:trHeight w:val="418"/>
        </w:trPr>
        <w:tc>
          <w:tcPr>
            <w:tcW w:w="1280" w:type="dxa"/>
            <w:vAlign w:val="bottom"/>
          </w:tcPr>
          <w:p>
            <w:pPr>
              <w:ind w:left="80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3"/>
              </w:rPr>
              <w:t>Form of The Toro Company 6.625% Note due May 1, 2037 (incorporated by reference to Exhibit 4.2 to Registrant’s Current</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1280" w:type="dxa"/>
            <w:vAlign w:val="bottom"/>
          </w:tcPr>
          <w:p>
            <w:pPr>
              <w:ind w:left="80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6"/>
              </w:rPr>
              <w:t>The Toro Company Change in Control Severance Compensation Policy and attached Form of Release (incorporated by</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2"/>
              </w:rPr>
              <w:t>reference to Exhibit 10.1 to Registrant’s Current Report on Form 8-K dated January 18, 2011, Commission File No. 1-8649).</w:t>
            </w:r>
          </w:p>
        </w:tc>
      </w:tr>
      <w:tr>
        <w:trPr>
          <w:trHeight w:val="418"/>
        </w:trPr>
        <w:tc>
          <w:tcPr>
            <w:tcW w:w="1280" w:type="dxa"/>
            <w:vAlign w:val="bottom"/>
          </w:tcPr>
          <w:p>
            <w:pPr>
              <w:ind w:left="80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6"/>
              </w:rPr>
              <w:t>Amendment No. 5 to Credit Agreement, dated as of November 9, 2010, by and among The Toro Company, Toro Credit</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6"/>
              </w:rPr>
              <w:t>Company, Toro Manufacturing LLC, Exmark Manufacturing Company Incorporated, Toro International Company, Tover</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3"/>
              </w:rPr>
              <w:t>Overseas B.V., and Toro Factoring Company Limited, each as a Borrower, each lender from time to time party thereto, and</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2"/>
              </w:rPr>
              <w:t>Bank of America, N.A., as Administrative Agent, Swing Line Lender, and L/C Issuer (incorporated by reference to Exhibit 1.1</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to Registrant’s Current Report on Form 8-K dated November 9, 2010, Commission File No. 1-8649).</w:t>
            </w:r>
          </w:p>
        </w:tc>
      </w:tr>
      <w:tr>
        <w:trPr>
          <w:trHeight w:val="418"/>
        </w:trPr>
        <w:tc>
          <w:tcPr>
            <w:tcW w:w="1280" w:type="dxa"/>
            <w:vAlign w:val="bottom"/>
          </w:tcPr>
          <w:p>
            <w:pPr>
              <w:ind w:left="8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5"/>
              </w:rPr>
              <w:t>Certification of Chief Executive Officer Pursuant to Rule 13a-14(a) (Section 302 of the Sarbanes-Oxley Act of 2002) (filed</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herewith).</w:t>
            </w:r>
          </w:p>
        </w:tc>
      </w:tr>
      <w:tr>
        <w:trPr>
          <w:trHeight w:val="418"/>
        </w:trPr>
        <w:tc>
          <w:tcPr>
            <w:tcW w:w="1280" w:type="dxa"/>
            <w:vAlign w:val="bottom"/>
          </w:tcPr>
          <w:p>
            <w:pPr>
              <w:ind w:left="8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5"/>
              </w:rPr>
              <w:t>Certification of Chief Financial Officer Pursuant to Rule 13a-14(a) (Section 302 of the Sarbanes-Oxley Act of 2002) (filed</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herewith).</w:t>
            </w:r>
          </w:p>
        </w:tc>
      </w:tr>
    </w:tbl>
    <w:p>
      <w:pPr>
        <w:spacing w:after="0" w:line="202" w:lineRule="exact"/>
        <w:rPr>
          <w:sz w:val="20"/>
          <w:szCs w:val="20"/>
          <w:color w:val="auto"/>
        </w:rPr>
      </w:pPr>
    </w:p>
    <w:p>
      <w:pPr>
        <w:ind w:left="2220" w:right="160" w:hanging="1429"/>
        <w:spacing w:after="0" w:line="277" w:lineRule="auto"/>
        <w:tabs>
          <w:tab w:leader="none" w:pos="2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2220" w:right="580" w:hanging="1429"/>
        <w:spacing w:after="0" w:line="291" w:lineRule="auto"/>
        <w:tabs>
          <w:tab w:leader="none" w:pos="2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period ended January 28, 2011, filed with the SEC on March 4, 2011, formatted in eXtensible Business Reporting Language (XBRL):</w:t>
      </w:r>
    </w:p>
    <w:p>
      <w:pPr>
        <w:ind w:left="2440" w:hanging="217"/>
        <w:spacing w:after="0"/>
        <w:tabs>
          <w:tab w:leader="none" w:pos="244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three-month periods ended January 28, 2011 and January 29, 2010,</w:t>
      </w:r>
    </w:p>
    <w:p>
      <w:pPr>
        <w:spacing w:after="0" w:line="32" w:lineRule="exact"/>
        <w:rPr>
          <w:rFonts w:ascii="Arial" w:cs="Arial" w:eastAsia="Arial" w:hAnsi="Arial"/>
          <w:sz w:val="16"/>
          <w:szCs w:val="16"/>
          <w:color w:val="auto"/>
        </w:rPr>
      </w:pPr>
    </w:p>
    <w:p>
      <w:pPr>
        <w:ind w:left="2220" w:right="200" w:firstLine="3"/>
        <w:spacing w:after="0" w:line="281" w:lineRule="auto"/>
        <w:tabs>
          <w:tab w:leader="none" w:pos="2485"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Condensed Consolidated Balance Sheets as of January 28, 2011, January 29, 2010, and October 31, 2010, (iii) Condensed Consolidated Statement of Cash Flows for the three-month periods ended January 28, 2011 and January 29, 2010, and</w:t>
      </w:r>
    </w:p>
    <w:p>
      <w:pPr>
        <w:spacing w:after="0" w:line="1" w:lineRule="exact"/>
        <w:rPr>
          <w:rFonts w:ascii="Arial" w:cs="Arial" w:eastAsia="Arial" w:hAnsi="Arial"/>
          <w:sz w:val="16"/>
          <w:szCs w:val="16"/>
          <w:color w:val="auto"/>
        </w:rPr>
      </w:pPr>
    </w:p>
    <w:p>
      <w:pPr>
        <w:ind w:left="2520" w:hanging="297"/>
        <w:spacing w:after="0"/>
        <w:tabs>
          <w:tab w:leader="none" w:pos="2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tagged as blocks of text.*</w:t>
      </w:r>
    </w:p>
    <w:p>
      <w:pPr>
        <w:spacing w:after="0" w:line="211" w:lineRule="exact"/>
        <w:rPr>
          <w:sz w:val="20"/>
          <w:szCs w:val="20"/>
          <w:color w:val="auto"/>
        </w:rPr>
      </w:pPr>
    </w:p>
    <w:p>
      <w:pPr>
        <w:ind w:left="2220" w:right="100" w:firstLine="3"/>
        <w:spacing w:after="0" w:line="312" w:lineRule="auto"/>
        <w:tabs>
          <w:tab w:leader="none" w:pos="23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w:t>
      </w:r>
    </w:p>
    <w:p>
      <w:pPr>
        <w:sectPr>
          <w:pgSz w:w="11900" w:h="16838" w:orient="portrait"/>
          <w:cols w:equalWidth="0" w:num="1">
            <w:col w:w="11460"/>
          </w:cols>
          <w:pgMar w:left="240" w:top="125" w:right="199" w:bottom="0" w:gutter="0" w:footer="0" w:header="0"/>
        </w:sectPr>
      </w:pPr>
    </w:p>
    <w:bookmarkStart w:id="19" w:name="page20"/>
    <w:bookmarkEnd w:id="19"/>
    <w:p>
      <w:pPr>
        <w:ind w:left="2220" w:right="140"/>
        <w:spacing w:after="0" w:line="277" w:lineRule="auto"/>
        <w:rPr>
          <w:sz w:val="20"/>
          <w:szCs w:val="20"/>
          <w:color w:val="auto"/>
        </w:rPr>
      </w:pPr>
      <w:r>
        <w:rPr>
          <w:rFonts w:ascii="Arial" w:cs="Arial" w:eastAsia="Arial" w:hAnsi="Arial"/>
          <w:sz w:val="18"/>
          <w:szCs w:val="18"/>
          <w:color w:val="auto"/>
        </w:rPr>
        <w:t>document filed under Sections 11 or 12 of the Securities Act of 1933, as amended, or otherwise subject to the liability of those sections, except as shall be expressly set forth by specific reference in such filings.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6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8280" w:type="dxa"/>
            <w:vAlign w:val="bottom"/>
            <w:gridSpan w:val="2"/>
          </w:tcPr>
          <w:p>
            <w:pPr>
              <w:jc w:val="center"/>
              <w:ind w:right="3050"/>
              <w:spacing w:after="0"/>
              <w:rPr>
                <w:sz w:val="20"/>
                <w:szCs w:val="20"/>
                <w:color w:val="auto"/>
              </w:rPr>
            </w:pPr>
            <w:r>
              <w:rPr>
                <w:rFonts w:ascii="Arial" w:cs="Arial" w:eastAsia="Arial" w:hAnsi="Arial"/>
                <w:sz w:val="18"/>
                <w:szCs w:val="18"/>
                <w:color w:val="auto"/>
                <w:w w:val="96"/>
              </w:rPr>
              <w:t>THE TORO COMPANY</w:t>
            </w:r>
          </w:p>
        </w:tc>
        <w:tc>
          <w:tcPr>
            <w:tcW w:w="4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8280" w:type="dxa"/>
            <w:vAlign w:val="bottom"/>
            <w:gridSpan w:val="2"/>
          </w:tcPr>
          <w:p>
            <w:pPr>
              <w:jc w:val="center"/>
              <w:ind w:right="305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March 4, 2011</w:t>
            </w:r>
          </w:p>
        </w:tc>
        <w:tc>
          <w:tcPr>
            <w:tcW w:w="8280" w:type="dxa"/>
            <w:vAlign w:val="bottom"/>
            <w:gridSpan w:val="2"/>
          </w:tcPr>
          <w:p>
            <w:pPr>
              <w:ind w:left="2580"/>
              <w:spacing w:after="0"/>
              <w:rPr>
                <w:sz w:val="20"/>
                <w:szCs w:val="20"/>
                <w:color w:val="auto"/>
              </w:rPr>
            </w:pPr>
            <w:r>
              <w:rPr>
                <w:rFonts w:ascii="Arial" w:cs="Arial" w:eastAsia="Arial" w:hAnsi="Arial"/>
                <w:sz w:val="18"/>
                <w:szCs w:val="18"/>
                <w:color w:val="auto"/>
              </w:rPr>
              <w:t>By   /s/ Stephen P. Wolfe</w:t>
            </w:r>
          </w:p>
        </w:tc>
        <w:tc>
          <w:tcPr>
            <w:tcW w:w="40" w:type="dxa"/>
            <w:vAlign w:val="bottom"/>
          </w:tcPr>
          <w:p>
            <w:pPr>
              <w:spacing w:after="0"/>
              <w:rPr>
                <w:sz w:val="24"/>
                <w:szCs w:val="24"/>
                <w:color w:val="auto"/>
              </w:rPr>
            </w:pPr>
          </w:p>
        </w:tc>
      </w:tr>
      <w:tr>
        <w:trPr>
          <w:trHeight w:val="182"/>
        </w:trPr>
        <w:tc>
          <w:tcPr>
            <w:tcW w:w="3140" w:type="dxa"/>
            <w:vAlign w:val="bottom"/>
          </w:tcPr>
          <w:p>
            <w:pPr>
              <w:spacing w:after="0"/>
              <w:rPr>
                <w:sz w:val="15"/>
                <w:szCs w:val="15"/>
                <w:color w:val="auto"/>
              </w:rPr>
            </w:pPr>
          </w:p>
        </w:tc>
        <w:tc>
          <w:tcPr>
            <w:tcW w:w="3020" w:type="dxa"/>
            <w:vAlign w:val="bottom"/>
          </w:tcPr>
          <w:p>
            <w:pPr>
              <w:ind w:left="2580"/>
              <w:spacing w:after="0" w:line="182" w:lineRule="exact"/>
              <w:rPr>
                <w:sz w:val="20"/>
                <w:szCs w:val="20"/>
                <w:color w:val="auto"/>
              </w:rPr>
            </w:pPr>
            <w:r>
              <w:rPr>
                <w:rFonts w:ascii="Arial" w:cs="Arial" w:eastAsia="Arial" w:hAnsi="Arial"/>
                <w:sz w:val="16"/>
                <w:szCs w:val="16"/>
                <w:color w:val="auto"/>
                <w:w w:val="70"/>
              </w:rPr>
              <w:t>Stephen</w:t>
            </w:r>
          </w:p>
        </w:tc>
        <w:tc>
          <w:tcPr>
            <w:tcW w:w="5260" w:type="dxa"/>
            <w:vAlign w:val="bottom"/>
            <w:tcBorders>
              <w:top w:val="single" w:sz="8" w:color="auto"/>
            </w:tcBorders>
          </w:tcPr>
          <w:p>
            <w:pPr>
              <w:ind w:left="180"/>
              <w:spacing w:after="0" w:line="182" w:lineRule="exact"/>
              <w:rPr>
                <w:sz w:val="20"/>
                <w:szCs w:val="20"/>
                <w:color w:val="auto"/>
              </w:rPr>
            </w:pPr>
            <w:r>
              <w:rPr>
                <w:rFonts w:ascii="Arial" w:cs="Arial" w:eastAsia="Arial" w:hAnsi="Arial"/>
                <w:sz w:val="18"/>
                <w:szCs w:val="18"/>
                <w:color w:val="auto"/>
              </w:rPr>
              <w:t>P. Wolfe</w:t>
            </w:r>
          </w:p>
        </w:tc>
        <w:tc>
          <w:tcPr>
            <w:tcW w:w="40" w:type="dxa"/>
            <w:vAlign w:val="bottom"/>
          </w:tcPr>
          <w:p>
            <w:pPr>
              <w:spacing w:after="0"/>
              <w:rPr>
                <w:sz w:val="15"/>
                <w:szCs w:val="15"/>
                <w:color w:val="auto"/>
              </w:rPr>
            </w:pPr>
          </w:p>
        </w:tc>
      </w:tr>
      <w:tr>
        <w:trPr>
          <w:trHeight w:val="216"/>
        </w:trPr>
        <w:tc>
          <w:tcPr>
            <w:tcW w:w="3140" w:type="dxa"/>
            <w:vAlign w:val="bottom"/>
          </w:tcPr>
          <w:p>
            <w:pPr>
              <w:spacing w:after="0"/>
              <w:rPr>
                <w:sz w:val="18"/>
                <w:szCs w:val="18"/>
                <w:color w:val="auto"/>
              </w:rPr>
            </w:pPr>
          </w:p>
        </w:tc>
        <w:tc>
          <w:tcPr>
            <w:tcW w:w="8280" w:type="dxa"/>
            <w:vAlign w:val="bottom"/>
            <w:gridSpan w:val="2"/>
          </w:tcPr>
          <w:p>
            <w:pPr>
              <w:ind w:left="258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8280" w:type="dxa"/>
            <w:vAlign w:val="bottom"/>
            <w:gridSpan w:val="2"/>
          </w:tcPr>
          <w:p>
            <w:pPr>
              <w:ind w:left="258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8280" w:type="dxa"/>
            <w:vAlign w:val="bottom"/>
            <w:gridSpan w:val="2"/>
          </w:tcPr>
          <w:p>
            <w:pPr>
              <w:ind w:left="258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3020" w:type="dxa"/>
            <w:vAlign w:val="bottom"/>
          </w:tcPr>
          <w:p>
            <w:pPr>
              <w:jc w:val="center"/>
              <w:ind w:left="2031"/>
              <w:spacing w:after="0"/>
              <w:rPr>
                <w:sz w:val="20"/>
                <w:szCs w:val="20"/>
                <w:color w:val="auto"/>
              </w:rPr>
            </w:pPr>
            <w:r>
              <w:rPr>
                <w:rFonts w:ascii="Arial" w:cs="Arial" w:eastAsia="Arial" w:hAnsi="Arial"/>
                <w:sz w:val="18"/>
                <w:szCs w:val="18"/>
                <w:color w:val="auto"/>
                <w:w w:val="89"/>
              </w:rPr>
              <w:t>29</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14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January 28, 2011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1000" w:hanging="3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2011</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lowerRoman"/>
      <w:start w:val="2"/>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32"/>
    </w:lvl>
  </w:abstractNum>
  <w:abstractNum w:abstractNumId="7">
    <w:nsid w:val="216231B"/>
    <w:multiLevelType w:val="hybridMultilevel"/>
    <w:lvl w:ilvl="0">
      <w:lvlJc w:val="left"/>
      <w:lvlText w:val="%1"/>
      <w:numFmt w:val="decimal"/>
      <w:start w:val="101"/>
    </w:lvl>
    <w:lvl w:ilvl="1">
      <w:lvlJc w:val="left"/>
      <w:lvlText w:val="(%2)"/>
      <w:numFmt w:val="lowerRoman"/>
      <w:start w:val="1"/>
    </w:lvl>
  </w:abstractNum>
  <w:abstractNum w:abstractNumId="8">
    <w:nsid w:val="1F16E9E8"/>
    <w:multiLevelType w:val="hybridMultilevel"/>
    <w:lvl w:ilvl="0">
      <w:lvlJc w:val="left"/>
      <w:lvlText w:val="%1"/>
      <w:numFmt w:val="decimal"/>
      <w:start w:val="1"/>
    </w:lvl>
    <w:lvl w:ilvl="1">
      <w:lvlJc w:val="left"/>
      <w:lvlText w:val="(%2)"/>
      <w:numFmt w:val="lowerRoman"/>
      <w:start w:val="4"/>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2019-12-10T06:02:13Z</dcterms:created>
  <dcterms:modified xsi:type="dcterms:W3CDTF">2019-12-10T06:02:13Z</dcterms:modified>
</cp:coreProperties>
</file>