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36"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4"/>
          <w:szCs w:val="24"/>
          <w:color w:val="auto"/>
        </w:rPr>
        <w:t>SECURITIES AND EXCHANGE COMMISSION</w:t>
      </w:r>
    </w:p>
    <w:p>
      <w:pPr>
        <w:spacing w:after="0" w:line="1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7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color w:val="auto"/>
        </w:rPr>
        <w:t>FORM 8-K/A</w:t>
      </w:r>
    </w:p>
    <w:p>
      <w:pPr>
        <w:spacing w:after="0" w:line="22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4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6"/>
          <w:szCs w:val="16"/>
          <w:color w:val="auto"/>
        </w:rPr>
        <w:t>February 27, 2007</w:t>
      </w:r>
    </w:p>
    <w:p>
      <w:pPr>
        <w:spacing w:after="0" w:line="200" w:lineRule="exact"/>
        <w:rPr>
          <w:sz w:val="24"/>
          <w:szCs w:val="24"/>
          <w:color w:val="auto"/>
        </w:rPr>
      </w:pPr>
    </w:p>
    <w:p>
      <w:pPr>
        <w:spacing w:after="0" w:line="23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43"/>
          <w:szCs w:val="43"/>
          <w:color w:val="auto"/>
        </w:rPr>
        <w:t>The Toro Company</w:t>
      </w:r>
    </w:p>
    <w:p>
      <w:pPr>
        <w:spacing w:after="0" w:line="54"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56"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5"/>
              </w:rPr>
              <w:t>Delaware</w:t>
            </w:r>
          </w:p>
        </w:tc>
        <w:tc>
          <w:tcPr>
            <w:tcW w:w="4600" w:type="dxa"/>
            <w:vAlign w:val="bottom"/>
          </w:tcPr>
          <w:p>
            <w:pPr>
              <w:jc w:val="right"/>
              <w:ind w:right="2072"/>
              <w:spacing w:after="0"/>
              <w:rPr>
                <w:sz w:val="20"/>
                <w:szCs w:val="20"/>
                <w:color w:val="auto"/>
              </w:rPr>
            </w:pPr>
            <w:r>
              <w:rPr>
                <w:rFonts w:ascii="Times New Roman" w:cs="Times New Roman" w:eastAsia="Times New Roman" w:hAnsi="Times New Roman"/>
                <w:sz w:val="18"/>
                <w:szCs w:val="18"/>
                <w:color w:val="auto"/>
              </w:rPr>
              <w:t>1-8649</w:t>
            </w:r>
          </w:p>
        </w:tc>
        <w:tc>
          <w:tcPr>
            <w:tcW w:w="208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6"/>
              </w:rPr>
              <w:t>41-0580470</w:t>
            </w:r>
          </w:p>
        </w:tc>
      </w:tr>
      <w:tr>
        <w:trPr>
          <w:trHeight w:val="216"/>
        </w:trPr>
        <w:tc>
          <w:tcPr>
            <w:tcW w:w="314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_____________________</w:t>
            </w:r>
          </w:p>
        </w:tc>
        <w:tc>
          <w:tcPr>
            <w:tcW w:w="4600" w:type="dxa"/>
            <w:vAlign w:val="bottom"/>
          </w:tcPr>
          <w:p>
            <w:pPr>
              <w:jc w:val="right"/>
              <w:ind w:right="1732"/>
              <w:spacing w:after="0"/>
              <w:rPr>
                <w:sz w:val="20"/>
                <w:szCs w:val="20"/>
                <w:color w:val="auto"/>
              </w:rPr>
            </w:pPr>
            <w:r>
              <w:rPr>
                <w:rFonts w:ascii="Times New Roman" w:cs="Times New Roman" w:eastAsia="Times New Roman" w:hAnsi="Times New Roman"/>
                <w:sz w:val="18"/>
                <w:szCs w:val="18"/>
                <w:color w:val="auto"/>
              </w:rPr>
              <w:t>_____________</w:t>
            </w:r>
          </w:p>
        </w:tc>
        <w:tc>
          <w:tcPr>
            <w:tcW w:w="208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8"/>
              </w:rPr>
              <w:t>______________</w:t>
            </w:r>
          </w:p>
        </w:tc>
      </w:tr>
      <w:tr>
        <w:trPr>
          <w:trHeight w:val="216"/>
        </w:trPr>
        <w:tc>
          <w:tcPr>
            <w:tcW w:w="31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8"/>
              </w:rPr>
              <w:t>(State or other jurisdiction</w:t>
            </w:r>
          </w:p>
        </w:tc>
        <w:tc>
          <w:tcPr>
            <w:tcW w:w="46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(Commission</w:t>
            </w:r>
          </w:p>
        </w:tc>
        <w:tc>
          <w:tcPr>
            <w:tcW w:w="208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28"/>
        </w:trPr>
        <w:tc>
          <w:tcPr>
            <w:tcW w:w="31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6"/>
              </w:rPr>
              <w:t>of incorporation)</w:t>
            </w:r>
          </w:p>
        </w:tc>
        <w:tc>
          <w:tcPr>
            <w:tcW w:w="46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File Number)</w:t>
            </w:r>
          </w:p>
        </w:tc>
        <w:tc>
          <w:tcPr>
            <w:tcW w:w="208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20"/>
        </w:trPr>
        <w:tc>
          <w:tcPr>
            <w:tcW w:w="31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6"/>
              </w:rPr>
              <w:t>8111 Lyndale Avenue South, Bloomington,</w:t>
            </w:r>
          </w:p>
        </w:tc>
        <w:tc>
          <w:tcPr>
            <w:tcW w:w="460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7"/>
              </w:rPr>
              <w:t>55420</w:t>
            </w:r>
          </w:p>
        </w:tc>
      </w:tr>
      <w:tr>
        <w:trPr>
          <w:trHeight w:val="216"/>
        </w:trPr>
        <w:tc>
          <w:tcPr>
            <w:tcW w:w="31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Minnesota</w:t>
            </w:r>
          </w:p>
        </w:tc>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8"/>
              </w:rPr>
              <w:t>_________________________________</w:t>
            </w:r>
          </w:p>
        </w:tc>
        <w:tc>
          <w:tcPr>
            <w:tcW w:w="460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6"/>
              </w:rPr>
              <w:t>___________</w:t>
            </w:r>
          </w:p>
        </w:tc>
      </w:tr>
      <w:tr>
        <w:trPr>
          <w:trHeight w:val="228"/>
        </w:trPr>
        <w:tc>
          <w:tcPr>
            <w:tcW w:w="31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460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59"/>
        </w:trPr>
        <w:tc>
          <w:tcPr>
            <w:tcW w:w="77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952-888-8801</w:t>
            </w:r>
          </w:p>
        </w:tc>
      </w:tr>
      <w:tr>
        <w:trPr>
          <w:trHeight w:val="420"/>
        </w:trPr>
        <w:tc>
          <w:tcPr>
            <w:tcW w:w="3140" w:type="dxa"/>
            <w:vAlign w:val="bottom"/>
          </w:tcPr>
          <w:p>
            <w:pPr>
              <w:spacing w:after="0"/>
              <w:rPr>
                <w:sz w:val="24"/>
                <w:szCs w:val="24"/>
                <w:color w:val="auto"/>
              </w:rPr>
            </w:pPr>
          </w:p>
        </w:tc>
        <w:tc>
          <w:tcPr>
            <w:tcW w:w="46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Not Applicable</w:t>
            </w:r>
          </w:p>
        </w:tc>
        <w:tc>
          <w:tcPr>
            <w:tcW w:w="20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tc>
        <w:tc>
          <w:tcPr>
            <w:tcW w:w="2080" w:type="dxa"/>
            <w:vAlign w:val="bottom"/>
          </w:tcPr>
          <w:p>
            <w:pPr>
              <w:spacing w:after="0"/>
              <w:rPr>
                <w:sz w:val="18"/>
                <w:szCs w:val="18"/>
                <w:color w:val="auto"/>
              </w:rPr>
            </w:pPr>
          </w:p>
        </w:tc>
      </w:tr>
      <w:tr>
        <w:trPr>
          <w:trHeight w:val="228"/>
        </w:trPr>
        <w:tc>
          <w:tcPr>
            <w:tcW w:w="3140" w:type="dxa"/>
            <w:vAlign w:val="bottom"/>
          </w:tcPr>
          <w:p>
            <w:pPr>
              <w:spacing w:after="0"/>
              <w:rPr>
                <w:sz w:val="19"/>
                <w:szCs w:val="19"/>
                <w:color w:val="auto"/>
              </w:rPr>
            </w:pPr>
          </w:p>
        </w:tc>
        <w:tc>
          <w:tcPr>
            <w:tcW w:w="46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4"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0" w:right="6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February 20, 2007, the Company issued a press release announcing financial results for its fiscal 2007 first quarter ended February 2, 2007. The press release included unaudited condensed financial statements that did not properly classify the partial funding of the Company's deferred compensation plans which occurred during the first quarter of fiscal 2007. The reclassification only affects the condensed consolidated balance sheet as of February 2, 2007 and the condensed consolidated statement of cash flows for the three months ended February 2, 2007. The condensed consolidated balance sheet as of February 2, 2007 included an other asset of $17.3 million and an accrued liability for $17.3 million that should have been netted against each other. Goodwill and other assets, net should have been $97.9 million, not $115.2 million, and accrued liabilities should have been $230.5 million, not $247.8 million. Net cash used in operating activities should have been $110.9 million, not $93.6 million, and net cash u sed in investing activities should have been $14.3 million, not $31.6 million. Corrected versions of the condensed consolidated balance sheet as of February 2, 2007 and the condensed consolidated statement of cash flows for the three months ended February 2, 2007 are attached to this Report as Exhibit 99.1.</w:t>
      </w:r>
    </w:p>
    <w:p>
      <w:pPr>
        <w:spacing w:after="0" w:line="19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The information contained in this report and the exhibit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No. Description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 Condensed Consolidated Balance Sheets and Condensed Statement of Cash Flows (included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896620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3" w:right="3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23" w:lineRule="exact"/>
        <w:rPr>
          <w:sz w:val="20"/>
          <w:szCs w:val="20"/>
          <w:color w:val="auto"/>
        </w:rPr>
      </w:pPr>
    </w:p>
    <w:p>
      <w:pPr>
        <w:spacing w:after="0"/>
        <w:tabs>
          <w:tab w:leader="none" w:pos="6060" w:val="left"/>
          <w:tab w:leader="none" w:pos="6500" w:val="left"/>
        </w:tabs>
        <w:rPr>
          <w:sz w:val="20"/>
          <w:szCs w:val="20"/>
          <w:color w:val="auto"/>
        </w:rPr>
      </w:pPr>
      <w:r>
        <w:rPr>
          <w:rFonts w:ascii="Times New Roman" w:cs="Times New Roman" w:eastAsia="Times New Roman" w:hAnsi="Times New Roman"/>
          <w:sz w:val="18"/>
          <w:szCs w:val="18"/>
          <w:i w:val="1"/>
          <w:iCs w:val="1"/>
          <w:color w:val="auto"/>
        </w:rPr>
        <w:t>February 27, 2007</w:t>
      </w:r>
      <w:r>
        <w:rPr>
          <w:sz w:val="20"/>
          <w:szCs w:val="20"/>
          <w:color w:val="auto"/>
        </w:rPr>
        <w:tab/>
      </w: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6"/>
          <w:szCs w:val="16"/>
          <w:i w:val="1"/>
          <w:iCs w:val="1"/>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85090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Name: Stephen P. Wolfe</w:t>
      </w:r>
    </w:p>
    <w:p>
      <w:pPr>
        <w:spacing w:after="0" w:line="2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Title: Vice President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3" w:right="71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Top of the Form</w:t>
        </w:r>
      </w:hyperlink>
    </w:p>
    <w:p>
      <w:pPr>
        <w:spacing w:after="0" w:line="227"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9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Exhibit Index</w:t>
            </w:r>
          </w:p>
        </w:tc>
      </w:tr>
      <w:tr>
        <w:trPr>
          <w:trHeight w:val="866"/>
        </w:trPr>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3"/>
              </w:rPr>
              <w:t>Exhibit No.</w:t>
            </w:r>
          </w:p>
        </w:tc>
        <w:tc>
          <w:tcPr>
            <w:tcW w:w="100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r>
      <w:tr>
        <w:trPr>
          <w:trHeight w:val="30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Condensed Consolidated Balance Sheets and Condensed Statement of</w:t>
            </w:r>
          </w:p>
        </w:tc>
      </w:tr>
      <w:tr>
        <w:trPr>
          <w:trHeight w:val="228"/>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(included herewith).</w:t>
            </w:r>
          </w:p>
        </w:tc>
      </w:tr>
    </w:tbl>
    <w:p>
      <w:pPr>
        <w:sectPr>
          <w:pgSz w:w="11900" w:h="16838" w:orient="portrait"/>
          <w:cols w:equalWidth="0" w:num="1">
            <w:col w:w="10219"/>
          </w:cols>
          <w:pgMar w:left="240" w:top="123" w:right="1440" w:bottom="1440" w:gutter="0" w:footer="0" w:header="0"/>
        </w:sectPr>
      </w:pPr>
    </w:p>
    <w:bookmarkStart w:id="4" w:name="page5"/>
    <w:bookmarkEnd w:id="4"/>
    <w:p>
      <w:pPr>
        <w:ind w:left="3200"/>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20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 (Unaudited)</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(Dollars in thousands)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February 2,</w:t>
            </w:r>
          </w:p>
        </w:tc>
        <w:tc>
          <w:tcPr>
            <w:tcW w:w="460" w:type="dxa"/>
            <w:vAlign w:val="bottom"/>
          </w:tcPr>
          <w:p>
            <w:pPr>
              <w:spacing w:after="0"/>
              <w:rPr>
                <w:sz w:val="18"/>
                <w:szCs w:val="18"/>
                <w:color w:val="auto"/>
              </w:rPr>
            </w:pPr>
          </w:p>
        </w:tc>
        <w:tc>
          <w:tcPr>
            <w:tcW w:w="140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February 3,</w:t>
            </w:r>
          </w:p>
        </w:tc>
        <w:tc>
          <w:tcPr>
            <w:tcW w:w="0" w:type="dxa"/>
            <w:vAlign w:val="bottom"/>
          </w:tcPr>
          <w:p>
            <w:pPr>
              <w:spacing w:after="0"/>
              <w:rPr>
                <w:sz w:val="1"/>
                <w:szCs w:val="1"/>
                <w:color w:val="auto"/>
              </w:rPr>
            </w:pPr>
          </w:p>
        </w:tc>
      </w:tr>
      <w:tr>
        <w:trPr>
          <w:trHeight w:val="238"/>
        </w:trPr>
        <w:tc>
          <w:tcPr>
            <w:tcW w:w="7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5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2007</w:t>
            </w:r>
          </w:p>
        </w:tc>
        <w:tc>
          <w:tcPr>
            <w:tcW w:w="54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2006</w:t>
            </w:r>
          </w:p>
        </w:tc>
        <w:tc>
          <w:tcPr>
            <w:tcW w:w="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80" w:type="dxa"/>
            <w:vAlign w:val="bottom"/>
            <w:gridSpan w:val="3"/>
            <w:vMerge w:val="continue"/>
          </w:tcPr>
          <w:p>
            <w:pPr>
              <w:spacing w:after="0"/>
              <w:rPr>
                <w:sz w:val="18"/>
                <w:szCs w:val="18"/>
                <w:color w:val="auto"/>
              </w:rPr>
            </w:pPr>
          </w:p>
        </w:tc>
        <w:tc>
          <w:tcPr>
            <w:tcW w:w="5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30,051</w:t>
            </w:r>
          </w:p>
        </w:tc>
        <w:tc>
          <w:tcPr>
            <w:tcW w:w="540" w:type="dxa"/>
            <w:vAlign w:val="bottom"/>
          </w:tcPr>
          <w:p>
            <w:pPr>
              <w:spacing w:after="0"/>
              <w:rPr>
                <w:sz w:val="18"/>
                <w:szCs w:val="18"/>
                <w:color w:val="auto"/>
              </w:rPr>
            </w:pPr>
          </w:p>
        </w:tc>
        <w:tc>
          <w:tcPr>
            <w:tcW w:w="8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19,744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357,165</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313,157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307,415</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295,687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14,905</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54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55,801</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56,099</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5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765,337</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702,736</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18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Property, plant, and equipment, net</w:t>
            </w:r>
          </w:p>
        </w:tc>
        <w:tc>
          <w:tcPr>
            <w:tcW w:w="54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169,304</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99"/>
              </w:rPr>
              <w:t>165,078</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 and other assets, net</w:t>
            </w:r>
          </w:p>
        </w:tc>
        <w:tc>
          <w:tcPr>
            <w:tcW w:w="54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97,933</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98,493</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1,034,436</w:t>
            </w:r>
          </w:p>
        </w:tc>
        <w:tc>
          <w:tcPr>
            <w:tcW w:w="540" w:type="dxa"/>
            <w:vAlign w:val="bottom"/>
          </w:tcPr>
          <w:p>
            <w:pPr>
              <w:spacing w:after="0"/>
              <w:rPr>
                <w:sz w:val="19"/>
                <w:szCs w:val="19"/>
                <w:color w:val="auto"/>
              </w:rPr>
            </w:pPr>
          </w:p>
        </w:tc>
        <w:tc>
          <w:tcPr>
            <w:tcW w:w="8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966,307</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gridSpan w:val="3"/>
            <w:vMerge w:val="continue"/>
          </w:tcPr>
          <w:p>
            <w:pPr>
              <w:spacing w:after="0"/>
              <w:rPr>
                <w:sz w:val="18"/>
                <w:szCs w:val="18"/>
                <w:color w:val="auto"/>
              </w:rPr>
            </w:pPr>
          </w:p>
        </w:tc>
        <w:tc>
          <w:tcPr>
            <w:tcW w:w="5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540" w:type="dxa"/>
            <w:vAlign w:val="bottom"/>
          </w:tcPr>
          <w:p>
            <w:pPr>
              <w:spacing w:after="0"/>
              <w:rPr>
                <w:sz w:val="18"/>
                <w:szCs w:val="18"/>
                <w:color w:val="auto"/>
              </w:rPr>
            </w:pPr>
          </w:p>
        </w:tc>
        <w:tc>
          <w:tcPr>
            <w:tcW w:w="8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Current portion of long-term debt</w:t>
            </w:r>
          </w:p>
        </w:tc>
        <w:tc>
          <w:tcPr>
            <w:tcW w:w="46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127,100</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106,881</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95,213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54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230,485</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242,453</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539,466</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389,601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18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Long-term debt, less current portion</w:t>
            </w:r>
          </w:p>
        </w:tc>
        <w:tc>
          <w:tcPr>
            <w:tcW w:w="54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100,000</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99"/>
              </w:rPr>
              <w:t>175,000</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deferred income taxes</w:t>
            </w:r>
          </w:p>
        </w:tc>
        <w:tc>
          <w:tcPr>
            <w:tcW w:w="54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revenue and other long-term liabilities</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54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385,828</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391,411</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1,034,436</w:t>
            </w:r>
          </w:p>
        </w:tc>
        <w:tc>
          <w:tcPr>
            <w:tcW w:w="540" w:type="dxa"/>
            <w:vAlign w:val="bottom"/>
          </w:tcPr>
          <w:p>
            <w:pPr>
              <w:spacing w:after="0"/>
              <w:rPr>
                <w:sz w:val="19"/>
                <w:szCs w:val="19"/>
                <w:color w:val="auto"/>
              </w:rPr>
            </w:pPr>
          </w:p>
        </w:tc>
        <w:tc>
          <w:tcPr>
            <w:tcW w:w="8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966,307</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20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 (Unaudited)</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(Dollars in thousands)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84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187"/>
        </w:trPr>
        <w:tc>
          <w:tcPr>
            <w:tcW w:w="7480" w:type="dxa"/>
            <w:vAlign w:val="bottom"/>
          </w:tcPr>
          <w:p>
            <w:pPr>
              <w:spacing w:after="0"/>
              <w:rPr>
                <w:sz w:val="16"/>
                <w:szCs w:val="16"/>
                <w:color w:val="auto"/>
              </w:rPr>
            </w:pPr>
          </w:p>
        </w:tc>
        <w:tc>
          <w:tcPr>
            <w:tcW w:w="1620" w:type="dxa"/>
            <w:vAlign w:val="bottom"/>
            <w:gridSpan w:val="4"/>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auto"/>
              </w:rPr>
              <w:t>February 2,</w:t>
            </w:r>
          </w:p>
        </w:tc>
        <w:tc>
          <w:tcPr>
            <w:tcW w:w="300" w:type="dxa"/>
            <w:vAlign w:val="bottom"/>
          </w:tcPr>
          <w:p>
            <w:pPr>
              <w:spacing w:after="0"/>
              <w:rPr>
                <w:sz w:val="16"/>
                <w:szCs w:val="16"/>
                <w:color w:val="auto"/>
              </w:rPr>
            </w:pPr>
          </w:p>
        </w:tc>
        <w:tc>
          <w:tcPr>
            <w:tcW w:w="1440" w:type="dxa"/>
            <w:vAlign w:val="bottom"/>
            <w:gridSpan w:val="3"/>
          </w:tcPr>
          <w:p>
            <w:pPr>
              <w:jc w:val="right"/>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0" w:type="dxa"/>
            <w:vAlign w:val="bottom"/>
          </w:tcPr>
          <w:p>
            <w:pPr>
              <w:spacing w:after="0"/>
              <w:rPr>
                <w:sz w:val="1"/>
                <w:szCs w:val="1"/>
                <w:color w:val="auto"/>
              </w:rPr>
            </w:pPr>
          </w:p>
        </w:tc>
      </w:tr>
      <w:tr>
        <w:trPr>
          <w:trHeight w:val="238"/>
        </w:trPr>
        <w:tc>
          <w:tcPr>
            <w:tcW w:w="7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2006</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480" w:type="dxa"/>
            <w:vAlign w:val="bottom"/>
            <w:vMerge w:val="continue"/>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4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18,450</w:t>
            </w:r>
          </w:p>
        </w:tc>
        <w:tc>
          <w:tcPr>
            <w:tcW w:w="5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$ 14,279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earnings to net cash used in operating activities:</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losses from investments</w:t>
            </w:r>
          </w:p>
        </w:tc>
        <w:tc>
          <w:tcPr>
            <w:tcW w:w="4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5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depreciation and amortization</w:t>
            </w:r>
          </w:p>
        </w:tc>
        <w:tc>
          <w:tcPr>
            <w:tcW w:w="4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10,334</w:t>
            </w:r>
          </w:p>
        </w:tc>
        <w:tc>
          <w:tcPr>
            <w:tcW w:w="5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10,534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disposal of property, plant, and equipment</w:t>
            </w:r>
          </w:p>
        </w:tc>
        <w:tc>
          <w:tcPr>
            <w:tcW w:w="44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(46)</w:t>
            </w:r>
          </w:p>
        </w:tc>
        <w:tc>
          <w:tcPr>
            <w:tcW w:w="17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5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 in deferred income taxes</w:t>
            </w:r>
          </w:p>
        </w:tc>
        <w:tc>
          <w:tcPr>
            <w:tcW w:w="4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5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Receivables</w:t>
            </w:r>
          </w:p>
        </w:tc>
        <w:tc>
          <w:tcPr>
            <w:tcW w:w="44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(62,588)</w:t>
            </w:r>
          </w:p>
        </w:tc>
        <w:tc>
          <w:tcPr>
            <w:tcW w:w="17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(17,599)</w:t>
            </w:r>
          </w:p>
        </w:tc>
        <w:tc>
          <w:tcPr>
            <w:tcW w:w="0" w:type="dxa"/>
            <w:vAlign w:val="bottom"/>
          </w:tcPr>
          <w:p>
            <w:pPr>
              <w:spacing w:after="0"/>
              <w:rPr>
                <w:sz w:val="1"/>
                <w:szCs w:val="1"/>
                <w:color w:val="auto"/>
              </w:rPr>
            </w:pPr>
          </w:p>
        </w:tc>
      </w:tr>
      <w:tr>
        <w:trPr>
          <w:trHeight w:val="216"/>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44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(67,261)</w:t>
            </w:r>
          </w:p>
        </w:tc>
        <w:tc>
          <w:tcPr>
            <w:tcW w:w="17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(60,085)</w:t>
            </w:r>
          </w:p>
        </w:tc>
        <w:tc>
          <w:tcPr>
            <w:tcW w:w="0" w:type="dxa"/>
            <w:vAlign w:val="bottom"/>
          </w:tcPr>
          <w:p>
            <w:pPr>
              <w:spacing w:after="0"/>
              <w:rPr>
                <w:sz w:val="1"/>
                <w:szCs w:val="1"/>
                <w:color w:val="auto"/>
              </w:rPr>
            </w:pPr>
          </w:p>
        </w:tc>
      </w:tr>
      <w:tr>
        <w:trPr>
          <w:trHeight w:val="216"/>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4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(5,737)</w:t>
            </w:r>
          </w:p>
        </w:tc>
        <w:tc>
          <w:tcPr>
            <w:tcW w:w="17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(2,270)</w:t>
            </w:r>
          </w:p>
        </w:tc>
        <w:tc>
          <w:tcPr>
            <w:tcW w:w="0" w:type="dxa"/>
            <w:vAlign w:val="bottom"/>
          </w:tcPr>
          <w:p>
            <w:pPr>
              <w:spacing w:after="0"/>
              <w:rPr>
                <w:sz w:val="1"/>
                <w:szCs w:val="1"/>
                <w:color w:val="auto"/>
              </w:rPr>
            </w:pPr>
          </w:p>
        </w:tc>
      </w:tr>
      <w:tr>
        <w:trPr>
          <w:trHeight w:val="234"/>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 accrued expenses, and deferred revenue</w:t>
            </w:r>
          </w:p>
        </w:tc>
        <w:tc>
          <w:tcPr>
            <w:tcW w:w="440" w:type="dxa"/>
            <w:vAlign w:val="bottom"/>
          </w:tcPr>
          <w:p>
            <w:pPr>
              <w:spacing w:after="0"/>
              <w:rPr>
                <w:sz w:val="20"/>
                <w:szCs w:val="20"/>
                <w:color w:val="auto"/>
              </w:rPr>
            </w:pP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(6,099)</w:t>
            </w:r>
          </w:p>
        </w:tc>
        <w:tc>
          <w:tcPr>
            <w:tcW w:w="17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r>
        <w:trPr>
          <w:trHeight w:val="223"/>
        </w:trPr>
        <w:tc>
          <w:tcPr>
            <w:tcW w:w="7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(110,854</w:t>
            </w:r>
          </w:p>
        </w:tc>
        <w:tc>
          <w:tcPr>
            <w:tcW w:w="5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(53,328</w:t>
            </w: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5"/>
        </w:trPr>
        <w:tc>
          <w:tcPr>
            <w:tcW w:w="7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4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44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(12,478)</w:t>
            </w:r>
          </w:p>
        </w:tc>
        <w:tc>
          <w:tcPr>
            <w:tcW w:w="17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(8,026)</w:t>
            </w: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4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decrease in other assets</w:t>
            </w:r>
          </w:p>
        </w:tc>
        <w:tc>
          <w:tcPr>
            <w:tcW w:w="44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(754)</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440" w:type="dxa"/>
            <w:vAlign w:val="bottom"/>
          </w:tcPr>
          <w:p>
            <w:pPr>
              <w:spacing w:after="0"/>
              <w:rPr>
                <w:sz w:val="20"/>
                <w:szCs w:val="20"/>
                <w:color w:val="auto"/>
              </w:rPr>
            </w:pP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(1,088)</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(14,273</w:t>
            </w:r>
          </w:p>
        </w:tc>
        <w:tc>
          <w:tcPr>
            <w:tcW w:w="5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4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short-term debt</w:t>
            </w:r>
          </w:p>
        </w:tc>
        <w:tc>
          <w:tcPr>
            <w:tcW w:w="4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126,780</w:t>
            </w:r>
          </w:p>
        </w:tc>
        <w:tc>
          <w:tcPr>
            <w:tcW w:w="5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51,575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440" w:type="dxa"/>
            <w:vAlign w:val="bottom"/>
          </w:tcPr>
          <w:p>
            <w:pPr>
              <w:spacing w:after="0"/>
              <w:rPr>
                <w:sz w:val="18"/>
                <w:szCs w:val="18"/>
                <w:color w:val="auto"/>
              </w:rPr>
            </w:pPr>
          </w:p>
        </w:tc>
        <w:tc>
          <w:tcPr>
            <w:tcW w:w="11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Excess tax benefits from stock-based awards</w:t>
            </w:r>
          </w:p>
        </w:tc>
        <w:tc>
          <w:tcPr>
            <w:tcW w:w="4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5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12,275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stock-based awards</w:t>
            </w:r>
          </w:p>
        </w:tc>
        <w:tc>
          <w:tcPr>
            <w:tcW w:w="4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5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Toro common stock</w:t>
            </w:r>
          </w:p>
        </w:tc>
        <w:tc>
          <w:tcPr>
            <w:tcW w:w="44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(29,029)</w:t>
            </w:r>
          </w:p>
        </w:tc>
        <w:tc>
          <w:tcPr>
            <w:tcW w:w="17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(27,587)</w:t>
            </w:r>
          </w:p>
        </w:tc>
        <w:tc>
          <w:tcPr>
            <w:tcW w:w="0" w:type="dxa"/>
            <w:vAlign w:val="bottom"/>
          </w:tcPr>
          <w:p>
            <w:pPr>
              <w:spacing w:after="0"/>
              <w:rPr>
                <w:sz w:val="1"/>
                <w:szCs w:val="1"/>
                <w:color w:val="auto"/>
              </w:rPr>
            </w:pPr>
          </w:p>
        </w:tc>
      </w:tr>
      <w:tr>
        <w:trPr>
          <w:trHeight w:val="234"/>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 on Toro common stock</w:t>
            </w:r>
          </w:p>
        </w:tc>
        <w:tc>
          <w:tcPr>
            <w:tcW w:w="440" w:type="dxa"/>
            <w:vAlign w:val="bottom"/>
          </w:tcPr>
          <w:p>
            <w:pPr>
              <w:spacing w:after="0"/>
              <w:rPr>
                <w:sz w:val="20"/>
                <w:szCs w:val="20"/>
                <w:color w:val="auto"/>
              </w:rPr>
            </w:pP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(4,929)</w:t>
            </w:r>
          </w:p>
        </w:tc>
        <w:tc>
          <w:tcPr>
            <w:tcW w:w="17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(3,923)</w:t>
            </w:r>
          </w:p>
        </w:tc>
        <w:tc>
          <w:tcPr>
            <w:tcW w:w="0" w:type="dxa"/>
            <w:vAlign w:val="bottom"/>
          </w:tcPr>
          <w:p>
            <w:pPr>
              <w:spacing w:after="0"/>
              <w:rPr>
                <w:sz w:val="1"/>
                <w:szCs w:val="1"/>
                <w:color w:val="auto"/>
              </w:rPr>
            </w:pPr>
          </w:p>
        </w:tc>
      </w:tr>
      <w:tr>
        <w:trPr>
          <w:trHeight w:val="223"/>
        </w:trPr>
        <w:tc>
          <w:tcPr>
            <w:tcW w:w="7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99,725</w:t>
            </w:r>
          </w:p>
        </w:tc>
        <w:tc>
          <w:tcPr>
            <w:tcW w:w="52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44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52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decrease in cash and cash equivalents</w:t>
            </w:r>
          </w:p>
        </w:tc>
        <w:tc>
          <w:tcPr>
            <w:tcW w:w="440" w:type="dxa"/>
            <w:vAlign w:val="bottom"/>
          </w:tcPr>
          <w:p>
            <w:pPr>
              <w:spacing w:after="0"/>
              <w:rPr>
                <w:sz w:val="17"/>
                <w:szCs w:val="17"/>
                <w:color w:val="auto"/>
              </w:rPr>
            </w:pPr>
          </w:p>
        </w:tc>
        <w:tc>
          <w:tcPr>
            <w:tcW w:w="66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(25,472)</w:t>
            </w:r>
          </w:p>
        </w:tc>
        <w:tc>
          <w:tcPr>
            <w:tcW w:w="520" w:type="dxa"/>
            <w:vAlign w:val="bottom"/>
          </w:tcPr>
          <w:p>
            <w:pPr>
              <w:spacing w:after="0"/>
              <w:rPr>
                <w:sz w:val="17"/>
                <w:szCs w:val="17"/>
                <w:color w:val="auto"/>
              </w:rPr>
            </w:pPr>
          </w:p>
        </w:tc>
        <w:tc>
          <w:tcPr>
            <w:tcW w:w="740" w:type="dxa"/>
            <w:vAlign w:val="bottom"/>
            <w:gridSpan w:val="2"/>
          </w:tcPr>
          <w:p>
            <w:pPr>
              <w:spacing w:after="0"/>
              <w:rPr>
                <w:sz w:val="17"/>
                <w:szCs w:val="17"/>
                <w:color w:val="auto"/>
              </w:rPr>
            </w:pPr>
          </w:p>
        </w:tc>
        <w:tc>
          <w:tcPr>
            <w:tcW w:w="5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87"/>
              </w:rPr>
              <w:t>(21,658)</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as of the beginning of the fiscal period</w:t>
            </w:r>
          </w:p>
        </w:tc>
        <w:tc>
          <w:tcPr>
            <w:tcW w:w="4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55,523</w:t>
            </w:r>
          </w:p>
        </w:tc>
        <w:tc>
          <w:tcPr>
            <w:tcW w:w="5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41,402</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as of the end of the fiscal period</w:t>
            </w:r>
          </w:p>
        </w:tc>
        <w:tc>
          <w:tcPr>
            <w:tcW w:w="4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30,051</w:t>
            </w:r>
          </w:p>
        </w:tc>
        <w:tc>
          <w:tcPr>
            <w:tcW w:w="5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840"/>
      </w:cols>
      <w:pgMar w:left="540" w:top="108" w:right="51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2019-12-13T13:53:29Z</dcterms:created>
  <dcterms:modified xsi:type="dcterms:W3CDTF">2019-12-13T13:53:29Z</dcterms:modified>
</cp:coreProperties>
</file>