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October 4, 2004</w:t>
      </w:r>
    </w:p>
    <w:p>
      <w:pPr>
        <w:spacing w:after="0" w:line="198" w:lineRule="exact"/>
        <w:rPr>
          <w:sz w:val="20"/>
          <w:szCs w:val="20"/>
          <w:color w:val="auto"/>
        </w:rPr>
      </w:pPr>
    </w:p>
    <w:p>
      <w:pPr>
        <w:ind w:left="9040"/>
        <w:spacing w:after="0"/>
        <w:rPr>
          <w:sz w:val="20"/>
          <w:szCs w:val="20"/>
          <w:color w:val="auto"/>
        </w:rPr>
      </w:pPr>
      <w:r>
        <w:rPr>
          <w:rFonts w:ascii="Arial" w:cs="Arial" w:eastAsia="Arial" w:hAnsi="Arial"/>
          <w:sz w:val="16"/>
          <w:szCs w:val="16"/>
          <w:color w:val="auto"/>
        </w:rPr>
        <w:t>Registration No. 333-_________</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300" w:type="dxa"/>
            <w:vAlign w:val="bottom"/>
          </w:tcPr>
          <w:p>
            <w:pPr>
              <w:jc w:val="center"/>
              <w:ind w:right="850"/>
              <w:spacing w:after="0"/>
              <w:rPr>
                <w:sz w:val="20"/>
                <w:szCs w:val="20"/>
                <w:color w:val="auto"/>
              </w:rPr>
            </w:pPr>
            <w:r>
              <w:rPr>
                <w:rFonts w:ascii="Arial" w:cs="Arial" w:eastAsia="Arial" w:hAnsi="Arial"/>
                <w:sz w:val="18"/>
                <w:szCs w:val="18"/>
                <w:color w:val="auto"/>
                <w:w w:val="89"/>
              </w:rPr>
              <w:t>Delaware</w:t>
            </w:r>
          </w:p>
        </w:tc>
        <w:tc>
          <w:tcPr>
            <w:tcW w:w="2600" w:type="dxa"/>
            <w:vAlign w:val="bottom"/>
          </w:tcPr>
          <w:p>
            <w:pPr>
              <w:jc w:val="center"/>
              <w:ind w:left="850"/>
              <w:spacing w:after="0"/>
              <w:rPr>
                <w:sz w:val="20"/>
                <w:szCs w:val="20"/>
                <w:color w:val="auto"/>
              </w:rPr>
            </w:pPr>
            <w:r>
              <w:rPr>
                <w:rFonts w:ascii="Arial" w:cs="Arial" w:eastAsia="Arial" w:hAnsi="Arial"/>
                <w:sz w:val="18"/>
                <w:szCs w:val="18"/>
                <w:color w:val="auto"/>
                <w:w w:val="89"/>
              </w:rPr>
              <w:t>41-0580470</w:t>
            </w:r>
          </w:p>
        </w:tc>
      </w:tr>
      <w:tr>
        <w:trPr>
          <w:trHeight w:val="216"/>
        </w:trPr>
        <w:tc>
          <w:tcPr>
            <w:tcW w:w="3300" w:type="dxa"/>
            <w:vAlign w:val="bottom"/>
          </w:tcPr>
          <w:p>
            <w:pPr>
              <w:jc w:val="center"/>
              <w:ind w:right="850"/>
              <w:spacing w:after="0"/>
              <w:rPr>
                <w:sz w:val="20"/>
                <w:szCs w:val="20"/>
                <w:color w:val="auto"/>
              </w:rPr>
            </w:pPr>
            <w:r>
              <w:rPr>
                <w:rFonts w:ascii="Arial" w:cs="Arial" w:eastAsia="Arial" w:hAnsi="Arial"/>
                <w:sz w:val="18"/>
                <w:szCs w:val="18"/>
                <w:color w:val="auto"/>
                <w:w w:val="91"/>
              </w:rPr>
              <w:t>(State or other jurisdiction</w:t>
            </w:r>
          </w:p>
        </w:tc>
        <w:tc>
          <w:tcPr>
            <w:tcW w:w="2600" w:type="dxa"/>
            <w:vAlign w:val="bottom"/>
          </w:tcPr>
          <w:p>
            <w:pPr>
              <w:jc w:val="center"/>
              <w:ind w:left="850"/>
              <w:spacing w:after="0"/>
              <w:rPr>
                <w:sz w:val="20"/>
                <w:szCs w:val="20"/>
                <w:color w:val="auto"/>
              </w:rPr>
            </w:pPr>
            <w:r>
              <w:rPr>
                <w:rFonts w:ascii="Arial" w:cs="Arial" w:eastAsia="Arial" w:hAnsi="Arial"/>
                <w:sz w:val="18"/>
                <w:szCs w:val="18"/>
                <w:color w:val="auto"/>
                <w:w w:val="92"/>
              </w:rPr>
              <w:t>(I.R.S. Employer</w:t>
            </w:r>
          </w:p>
        </w:tc>
      </w:tr>
      <w:tr>
        <w:trPr>
          <w:trHeight w:val="230"/>
        </w:trPr>
        <w:tc>
          <w:tcPr>
            <w:tcW w:w="3300" w:type="dxa"/>
            <w:vAlign w:val="bottom"/>
          </w:tcPr>
          <w:p>
            <w:pPr>
              <w:jc w:val="center"/>
              <w:ind w:right="850"/>
              <w:spacing w:after="0"/>
              <w:rPr>
                <w:sz w:val="20"/>
                <w:szCs w:val="20"/>
                <w:color w:val="auto"/>
              </w:rPr>
            </w:pPr>
            <w:r>
              <w:rPr>
                <w:rFonts w:ascii="Arial" w:cs="Arial" w:eastAsia="Arial" w:hAnsi="Arial"/>
                <w:sz w:val="18"/>
                <w:szCs w:val="18"/>
                <w:color w:val="auto"/>
                <w:w w:val="92"/>
              </w:rPr>
              <w:t>of incorporation or organization)</w:t>
            </w:r>
          </w:p>
        </w:tc>
        <w:tc>
          <w:tcPr>
            <w:tcW w:w="2600" w:type="dxa"/>
            <w:vAlign w:val="bottom"/>
          </w:tcPr>
          <w:p>
            <w:pPr>
              <w:jc w:val="center"/>
              <w:ind w:left="850"/>
              <w:spacing w:after="0"/>
              <w:rPr>
                <w:sz w:val="20"/>
                <w:szCs w:val="20"/>
                <w:color w:val="auto"/>
              </w:rPr>
            </w:pPr>
            <w:r>
              <w:rPr>
                <w:rFonts w:ascii="Arial" w:cs="Arial" w:eastAsia="Arial" w:hAnsi="Arial"/>
                <w:sz w:val="18"/>
                <w:szCs w:val="18"/>
                <w:color w:val="auto"/>
                <w:w w:val="94"/>
              </w:rPr>
              <w:t>Identification Number)</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SAVINGS AND EMPLOYEE STOCK OWNERSHIP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 Lawrence McIntyre, Esquire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number: (952) 888-8801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Helen P. Starr, Esquire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3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Title of securities</w:t>
            </w:r>
          </w:p>
        </w:tc>
        <w:tc>
          <w:tcPr>
            <w:tcW w:w="26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Proposed maximum</w:t>
            </w:r>
          </w:p>
        </w:tc>
        <w:tc>
          <w:tcPr>
            <w:tcW w:w="2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Proposed maximum</w:t>
            </w:r>
          </w:p>
        </w:tc>
        <w:tc>
          <w:tcPr>
            <w:tcW w:w="24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offering price per</w:t>
            </w:r>
          </w:p>
        </w:tc>
        <w:tc>
          <w:tcPr>
            <w:tcW w:w="24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2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20"/>
                <w:szCs w:val="20"/>
                <w:color w:val="auto"/>
              </w:rPr>
            </w:pPr>
            <w:r>
              <w:rPr>
                <w:rFonts w:ascii="Arial" w:cs="Arial" w:eastAsia="Arial" w:hAnsi="Arial"/>
                <w:sz w:val="14"/>
                <w:szCs w:val="14"/>
                <w:b w:val="1"/>
                <w:bCs w:val="1"/>
                <w:color w:val="auto"/>
              </w:rPr>
              <w:t>to be registered</w:t>
            </w:r>
          </w:p>
        </w:tc>
        <w:tc>
          <w:tcPr>
            <w:tcW w:w="26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2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share</w:t>
            </w:r>
          </w:p>
        </w:tc>
        <w:tc>
          <w:tcPr>
            <w:tcW w:w="24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5"/>
              </w:rPr>
              <w:t>price</w:t>
            </w:r>
          </w:p>
        </w:tc>
        <w:tc>
          <w:tcPr>
            <w:tcW w:w="2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53"/>
        </w:trPr>
        <w:tc>
          <w:tcPr>
            <w:tcW w:w="24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90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3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7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460" w:type="dxa"/>
            <w:vAlign w:val="bottom"/>
          </w:tcPr>
          <w:p>
            <w:pPr>
              <w:spacing w:after="0"/>
              <w:rPr>
                <w:sz w:val="20"/>
                <w:szCs w:val="20"/>
                <w:color w:val="auto"/>
              </w:rPr>
            </w:pPr>
            <w:r>
              <w:rPr>
                <w:rFonts w:ascii="Arial" w:cs="Arial" w:eastAsia="Arial" w:hAnsi="Arial"/>
                <w:sz w:val="18"/>
                <w:szCs w:val="18"/>
                <w:color w:val="auto"/>
                <w:w w:val="96"/>
              </w:rPr>
              <w:t>Common Stock par value $1.00</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per share (a)</w:t>
            </w:r>
          </w:p>
        </w:tc>
        <w:tc>
          <w:tcPr>
            <w:tcW w:w="2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1,000,000 shares (b)</w:t>
            </w:r>
          </w:p>
        </w:tc>
        <w:tc>
          <w:tcPr>
            <w:tcW w:w="2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$67.295(c)</w:t>
            </w:r>
          </w:p>
        </w:tc>
        <w:tc>
          <w:tcPr>
            <w:tcW w:w="24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$67,295,000(c)</w:t>
            </w:r>
          </w:p>
        </w:tc>
        <w:tc>
          <w:tcPr>
            <w:tcW w:w="240" w:type="dxa"/>
            <w:vAlign w:val="bottom"/>
          </w:tcPr>
          <w:p>
            <w:pPr>
              <w:spacing w:after="0"/>
              <w:rPr>
                <w:sz w:val="20"/>
                <w:szCs w:val="20"/>
                <w:color w:val="auto"/>
              </w:rPr>
            </w:pPr>
          </w:p>
        </w:tc>
        <w:tc>
          <w:tcPr>
            <w:tcW w:w="1700" w:type="dxa"/>
            <w:vAlign w:val="bottom"/>
          </w:tcPr>
          <w:p>
            <w:pPr>
              <w:ind w:left="420"/>
              <w:spacing w:after="0"/>
              <w:rPr>
                <w:sz w:val="20"/>
                <w:szCs w:val="20"/>
                <w:color w:val="auto"/>
              </w:rPr>
            </w:pPr>
            <w:r>
              <w:rPr>
                <w:rFonts w:ascii="Arial" w:cs="Arial" w:eastAsia="Arial" w:hAnsi="Arial"/>
                <w:sz w:val="18"/>
                <w:szCs w:val="18"/>
                <w:color w:val="auto"/>
              </w:rPr>
              <w:t>$8,526.27(d)</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0"/>
                <w:szCs w:val="20"/>
                <w:color w:val="auto"/>
              </w:rPr>
            </w:pPr>
            <w:r>
              <w:rPr>
                <w:rFonts w:ascii="Arial" w:cs="Arial" w:eastAsia="Arial" w:hAnsi="Arial"/>
                <w:sz w:val="18"/>
                <w:szCs w:val="18"/>
                <w:color w:val="auto"/>
              </w:rPr>
              <w:t>Interests in the Plan (e)</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right="20" w:hanging="306"/>
        <w:spacing w:after="0" w:line="277"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share of Common Stock has one Preferred Share Purchase Right attached to it. Value attributable to such Rights, if any, is reflected in the market price of the Common Stock.</w:t>
      </w:r>
    </w:p>
    <w:p>
      <w:pPr>
        <w:spacing w:after="0" w:line="170" w:lineRule="exact"/>
        <w:rPr>
          <w:rFonts w:ascii="Arial" w:cs="Arial" w:eastAsia="Arial" w:hAnsi="Arial"/>
          <w:sz w:val="18"/>
          <w:szCs w:val="18"/>
          <w:color w:val="auto"/>
        </w:rPr>
      </w:pPr>
    </w:p>
    <w:p>
      <w:pPr>
        <w:ind w:left="560" w:right="460" w:hanging="316"/>
        <w:spacing w:after="0" w:line="277"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this Registration Statement also covers an indeterminate number of shares that may be issued in respect of stock splits, stock dividends and similar transactions in the future.</w:t>
      </w:r>
    </w:p>
    <w:p>
      <w:pPr>
        <w:spacing w:after="0" w:line="170" w:lineRule="exact"/>
        <w:rPr>
          <w:rFonts w:ascii="Arial" w:cs="Arial" w:eastAsia="Arial" w:hAnsi="Arial"/>
          <w:sz w:val="18"/>
          <w:szCs w:val="18"/>
          <w:color w:val="auto"/>
        </w:rPr>
      </w:pPr>
    </w:p>
    <w:p>
      <w:pPr>
        <w:ind w:left="560" w:right="460" w:hanging="306"/>
        <w:spacing w:after="0" w:line="277"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to calculate the registration fee, pursuant to Rule 457(c) and Rule 457(h), on the basis of the average of the high and low prices reported by the New York Stock Exchange on September 27, 2004.</w:t>
      </w:r>
    </w:p>
    <w:p>
      <w:pPr>
        <w:spacing w:after="0" w:line="170" w:lineRule="exact"/>
        <w:rPr>
          <w:rFonts w:ascii="Arial" w:cs="Arial" w:eastAsia="Arial" w:hAnsi="Arial"/>
          <w:sz w:val="18"/>
          <w:szCs w:val="18"/>
          <w:color w:val="auto"/>
        </w:rPr>
      </w:pPr>
    </w:p>
    <w:p>
      <w:pPr>
        <w:ind w:left="560" w:hanging="316"/>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Restricted fee to be applied to account number 737758.</w:t>
      </w:r>
    </w:p>
    <w:p>
      <w:pPr>
        <w:spacing w:after="0" w:line="225" w:lineRule="exact"/>
        <w:rPr>
          <w:rFonts w:ascii="Arial" w:cs="Arial" w:eastAsia="Arial" w:hAnsi="Arial"/>
          <w:sz w:val="18"/>
          <w:szCs w:val="18"/>
          <w:color w:val="auto"/>
        </w:rPr>
      </w:pPr>
    </w:p>
    <w:p>
      <w:pPr>
        <w:ind w:left="560" w:right="160" w:hanging="306"/>
        <w:spacing w:after="0" w:line="277"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pursuant to Rule 416(c) under the Securities Act of 1933, this Registration Statement also covers an indeterminate amount of interests to be offered or sold pursuant to the employee benefit plan described.</w:t>
      </w:r>
    </w:p>
    <w:p>
      <w:pPr>
        <w:sectPr>
          <w:pgSz w:w="11900" w:h="16838" w:orient="portrait"/>
          <w:cols w:equalWidth="0" w:num="1">
            <w:col w:w="11420"/>
          </w:cols>
          <w:pgMar w:left="240" w:top="122" w:right="239" w:bottom="0" w:gutter="0" w:footer="0" w:header="0"/>
        </w:sectPr>
      </w:pPr>
    </w:p>
    <w:bookmarkStart w:id="2" w:name="page3"/>
    <w:bookmarkEnd w:id="2"/>
    <w:p>
      <w:pPr>
        <w:spacing w:after="0" w:line="277" w:lineRule="auto"/>
        <w:tabs>
          <w:tab w:leader="none" w:pos="5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Interests of Named Experts and Counsel</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EXHIBIT LIST</w:t>
        </w:r>
      </w:hyperlink>
    </w:p>
    <w:p>
      <w:pPr>
        <w:spacing w:after="0" w:line="231" w:lineRule="auto"/>
        <w:rPr>
          <w:sz w:val="20"/>
          <w:szCs w:val="20"/>
          <w:color w:val="auto"/>
        </w:rPr>
      </w:pPr>
      <w:r>
        <w:rPr>
          <w:rFonts w:ascii="Arial" w:cs="Arial" w:eastAsia="Arial" w:hAnsi="Arial"/>
          <w:sz w:val="22"/>
          <w:szCs w:val="22"/>
          <w:u w:val="single" w:color="auto"/>
          <w:color w:val="0000EE"/>
        </w:rPr>
        <w:t>Opinion/Consent of Counsel Regarding Legality</w:t>
      </w:r>
    </w:p>
    <w:p>
      <w:pPr>
        <w:spacing w:after="0"/>
        <w:rPr>
          <w:sz w:val="20"/>
          <w:szCs w:val="20"/>
          <w:color w:val="auto"/>
        </w:rPr>
      </w:pPr>
      <w:r>
        <w:rPr>
          <w:rFonts w:ascii="Arial" w:cs="Arial" w:eastAsia="Arial" w:hAnsi="Arial"/>
          <w:sz w:val="22"/>
          <w:szCs w:val="22"/>
          <w:u w:val="single" w:color="auto"/>
          <w:color w:val="0000EE"/>
        </w:rPr>
        <w:t>Consent of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02" w:lineRule="exact"/>
        <w:rPr>
          <w:sz w:val="20"/>
          <w:szCs w:val="20"/>
          <w:color w:val="auto"/>
        </w:rPr>
      </w:pPr>
    </w:p>
    <w:p>
      <w:pPr>
        <w:ind w:right="140" w:firstLine="222"/>
        <w:spacing w:after="0" w:line="291" w:lineRule="auto"/>
        <w:rPr>
          <w:sz w:val="20"/>
          <w:szCs w:val="20"/>
          <w:color w:val="auto"/>
        </w:rPr>
      </w:pPr>
      <w:r>
        <w:rPr>
          <w:rFonts w:ascii="Arial" w:cs="Arial" w:eastAsia="Arial" w:hAnsi="Arial"/>
          <w:sz w:val="16"/>
          <w:szCs w:val="16"/>
          <w:color w:val="auto"/>
        </w:rPr>
        <w:t>This Registration Statement is filed pursuant to Instruction E of Form S-8 and relates to Registrant’s Registration Statement on Form S-8, No.033-59563, filed with the Securities and Exchange Commission on May 24, 1995, as modified by Registration Statements on Form S-8, No. 333-11860, filed with the Commission on June 30, 1999, and No. 333-100004, filed with the Commission on September 23, 2002, and further by Post-Effective Amendment No. 1 to the Registration Statement No. 333-10004, filed with the Commission on June 2, 2003. Under these Registration Statements, Registrant has previously registered a total of 1,500,000 shares of Common Stock par value $1.00 per share, and related Preferred Share Purchase Rights, to be offered and sold in connection with The Toro Company Investment, Savings and Employee Stock Ownership Plan (the “Plan”). The contents of Registrant’s Registration Statements on Form S-8 (Nos. 333-100004, 333-11860 and 033-59563) are incorporated by reference in this Registration Statement.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INCREASE SHARES</w:t>
      </w:r>
    </w:p>
    <w:p>
      <w:pPr>
        <w:spacing w:after="0" w:line="18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On July 22, 2004, the Board of Directors of Registrant approved an amendment to the Plan to increase the number of shares of Common Stock that may be issued under the Plan from 3,000,000 to 4,000,000.</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9" w:lineRule="exact"/>
        <w:rPr>
          <w:sz w:val="20"/>
          <w:szCs w:val="20"/>
          <w:color w:val="auto"/>
        </w:rPr>
      </w:pPr>
    </w:p>
    <w:p>
      <w:pPr>
        <w:ind w:right="200" w:firstLine="215"/>
        <w:spacing w:after="0" w:line="277" w:lineRule="auto"/>
        <w:rPr>
          <w:sz w:val="20"/>
          <w:szCs w:val="20"/>
          <w:color w:val="auto"/>
        </w:rPr>
      </w:pPr>
      <w:r>
        <w:rPr>
          <w:rFonts w:ascii="Arial" w:cs="Arial" w:eastAsia="Arial" w:hAnsi="Arial"/>
          <w:sz w:val="18"/>
          <w:szCs w:val="18"/>
          <w:color w:val="auto"/>
        </w:rPr>
        <w:t>As permitted by the instructions to Form S-8, this Registration Statement omits the information specified in Part I of Registrant’s Registration Statement on Form S-8.</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89"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rules of the Securities and Exchange Commission allow Registrant to incorporate by reference information into this Registration Statement. This means that Registrant may disclose important information to you by referring you to another document.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02"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documents have been filed by Registrant with the Securities and Exchange Commission pursuant to the Securities Exchange Act of 1934 and are incorporated by reference in this Registration Statement:</w:t>
      </w:r>
    </w:p>
    <w:p>
      <w:pPr>
        <w:spacing w:after="0" w:line="170" w:lineRule="exact"/>
        <w:rPr>
          <w:sz w:val="20"/>
          <w:szCs w:val="20"/>
          <w:color w:val="auto"/>
        </w:rPr>
      </w:pPr>
    </w:p>
    <w:p>
      <w:pPr>
        <w:ind w:left="480" w:hanging="24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Annual Report on Form 10-K for the fiscal year ended October 31, 2003 (File No. 1-8649).</w:t>
      </w:r>
    </w:p>
    <w:p>
      <w:pPr>
        <w:spacing w:after="0" w:line="225" w:lineRule="exact"/>
        <w:rPr>
          <w:rFonts w:ascii="Arial" w:cs="Arial" w:eastAsia="Arial" w:hAnsi="Arial"/>
          <w:sz w:val="18"/>
          <w:szCs w:val="18"/>
          <w:color w:val="auto"/>
        </w:rPr>
      </w:pPr>
    </w:p>
    <w:p>
      <w:pPr>
        <w:ind w:left="480" w:hanging="24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Its Quarterly Report on Form 10-Q for the quarter ended January 30, 2004 (File No. 1-8649).</w:t>
      </w:r>
    </w:p>
    <w:p>
      <w:pPr>
        <w:spacing w:after="0" w:line="225" w:lineRule="exact"/>
        <w:rPr>
          <w:rFonts w:ascii="Arial" w:cs="Arial" w:eastAsia="Arial" w:hAnsi="Arial"/>
          <w:sz w:val="18"/>
          <w:szCs w:val="18"/>
          <w:color w:val="auto"/>
        </w:rPr>
      </w:pPr>
    </w:p>
    <w:p>
      <w:pPr>
        <w:ind w:left="480" w:hanging="24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Its Quarterly Report on Form 10-Q for the quarter ended April 30, 2004 (File No. 1-8649).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80" w:hanging="24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Its Quarterly Report on Form 10-Q for the quarter ended July 30, 2004 (File No. 1-8649).</w:t>
      </w:r>
    </w:p>
    <w:p>
      <w:pPr>
        <w:spacing w:after="0" w:line="225" w:lineRule="exact"/>
        <w:rPr>
          <w:rFonts w:ascii="Arial" w:cs="Arial" w:eastAsia="Arial" w:hAnsi="Arial"/>
          <w:sz w:val="18"/>
          <w:szCs w:val="18"/>
          <w:color w:val="auto"/>
        </w:rPr>
      </w:pPr>
    </w:p>
    <w:p>
      <w:pPr>
        <w:ind w:left="480" w:right="120" w:hanging="242"/>
        <w:spacing w:after="0" w:line="264"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descriptions of its Common Stock and Preferred Share Purchase Rights contained in its Registration Statements filed with the Commission pursuant to Section 12 of the Securities Exchange Act of 1934, including any amendment or report filed for the purpose of updating such descriptions (File No. 1-8649).</w:t>
      </w:r>
    </w:p>
    <w:p>
      <w:pPr>
        <w:spacing w:after="0" w:line="181" w:lineRule="exact"/>
        <w:rPr>
          <w:rFonts w:ascii="Arial" w:cs="Arial" w:eastAsia="Arial" w:hAnsi="Arial"/>
          <w:sz w:val="18"/>
          <w:szCs w:val="18"/>
          <w:color w:val="auto"/>
        </w:rPr>
      </w:pPr>
    </w:p>
    <w:p>
      <w:pPr>
        <w:ind w:left="480" w:hanging="24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Plan’s Annual Report on Form 11-K for the year ended December 31, 2003.</w:t>
      </w:r>
    </w:p>
    <w:p>
      <w:pPr>
        <w:spacing w:after="0" w:line="225"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All documents subsequently filed by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those documents. The information contained in a document will automatically update and supersede any information previously incorporated by reference into this Registration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Common Stock is registered under Section 12(b) of the Securities Exchange Act of 1934.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02"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opinion of counsel as to the legality of the securities being registered, which is Exhibit 5 to this Registration Statement, is rendered by J. Lawrence McIntyre, Vice President, Secretary and General Counsel of Registrant. Mr. McIntyre participates in this Plan. As of August 31, 2004, Mr. McIntyre owned 11,560 shares of Toro Common Stock, including shares allocated under this Plan, and held options to purchase 15,000 shares. He also holds Performance Share Awards, which are based on the value of the Common Stock and has 43,434.587 Common Stock units credited to his account under a deferred compensation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89"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reasonably believed to be in or not opposed to the best interests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corporation and, in the case of a criminal action, where such person had no reasonable cause to believe his conduct was unlawful. Unless a court determines to the contrary, a corporation has no power of indemnification in an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151" w:lineRule="exact"/>
        <w:rPr>
          <w:sz w:val="20"/>
          <w:szCs w:val="20"/>
          <w:color w:val="auto"/>
        </w:rPr>
      </w:pPr>
    </w:p>
    <w:p>
      <w:pPr>
        <w:jc w:val="both"/>
        <w:ind w:right="20" w:firstLine="225"/>
        <w:spacing w:after="0" w:line="286" w:lineRule="auto"/>
        <w:rPr>
          <w:sz w:val="20"/>
          <w:szCs w:val="20"/>
          <w:color w:val="auto"/>
        </w:rPr>
      </w:pPr>
      <w:r>
        <w:rPr>
          <w:rFonts w:ascii="Arial" w:cs="Arial" w:eastAsia="Arial" w:hAnsi="Arial"/>
          <w:sz w:val="17"/>
          <w:szCs w:val="17"/>
          <w:color w:val="auto"/>
        </w:rPr>
        <w:t>Section 2 of Article X of Registrant’s Amended and Restated Certificate of Incorporation mandates indemnification of a director or officer of Registrant or a person serving at the request of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125"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Section 1 of Article X of Registrant’s Amended and Restated Certificate of Incorporation provides, in accordance with Section 102(b)(7) of the Delaware General Corporation Law, for the elimination or limitation of the personal liability of a director to Registrant or its stockholders for monetary damages for breach of fiduciary duty as a director under certain circumstances.</w:t>
      </w:r>
    </w:p>
    <w:p>
      <w:pPr>
        <w:spacing w:after="0" w:line="141" w:lineRule="exact"/>
        <w:rPr>
          <w:sz w:val="20"/>
          <w:szCs w:val="20"/>
          <w:color w:val="auto"/>
        </w:rPr>
      </w:pPr>
    </w:p>
    <w:p>
      <w:pPr>
        <w:ind w:right="400" w:firstLine="225"/>
        <w:spacing w:after="0" w:line="308" w:lineRule="auto"/>
        <w:rPr>
          <w:sz w:val="20"/>
          <w:szCs w:val="20"/>
          <w:color w:val="auto"/>
        </w:rPr>
      </w:pPr>
      <w:r>
        <w:rPr>
          <w:rFonts w:ascii="Arial" w:cs="Arial" w:eastAsia="Arial" w:hAnsi="Arial"/>
          <w:sz w:val="17"/>
          <w:szCs w:val="17"/>
          <w:color w:val="auto"/>
        </w:rPr>
        <w:t>Registrant also maintains liability insurance policies which provide for indemnification of a director or officer of Registrant or a person serving at the request of Registrant as a director, officer, employee or agent of another entity against certain liabilities under certain circumstances.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185"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Registrant undertakes that it has submitted the Plan and any amendments thereto to the Internal Revenue Service in a timely manner and has made all changes required by the IRS in order to qualify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Rule 415 offering.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520" w:hanging="264"/>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760" w:hanging="212"/>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540" w:right="20" w:firstLine="8"/>
        <w:spacing w:after="0" w:line="342" w:lineRule="auto"/>
        <w:tabs>
          <w:tab w:leader="none" w:pos="805" w:val="left"/>
        </w:tabs>
        <w:numPr>
          <w:ilvl w:val="1"/>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23" w:lineRule="exact"/>
        <w:rPr>
          <w:rFonts w:ascii="Arial" w:cs="Arial" w:eastAsia="Arial" w:hAnsi="Arial"/>
          <w:sz w:val="16"/>
          <w:szCs w:val="16"/>
          <w:color w:val="auto"/>
        </w:rPr>
      </w:pPr>
    </w:p>
    <w:p>
      <w:pPr>
        <w:ind w:left="540" w:firstLine="8"/>
        <w:spacing w:after="0" w:line="277" w:lineRule="auto"/>
        <w:tabs>
          <w:tab w:leader="none" w:pos="85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provided, however, that paragraphs (1)(i) and (1)(ii)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that are incorporated by reference in this Registration Statement.</w:t>
      </w:r>
    </w:p>
    <w:p>
      <w:pPr>
        <w:spacing w:after="0" w:line="181" w:lineRule="exact"/>
        <w:rPr>
          <w:sz w:val="20"/>
          <w:szCs w:val="20"/>
          <w:color w:val="auto"/>
        </w:rPr>
      </w:pPr>
    </w:p>
    <w:p>
      <w:pPr>
        <w:ind w:right="80" w:firstLine="256"/>
        <w:spacing w:after="0" w:line="264" w:lineRule="auto"/>
        <w:tabs>
          <w:tab w:leader="none" w:pos="54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20" w:firstLine="256"/>
        <w:spacing w:after="0" w:line="277" w:lineRule="auto"/>
        <w:tabs>
          <w:tab w:leader="none" w:pos="547"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80" w:hanging="259"/>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Filings incorporating subsequent Securities Exchange Act of 1934 documents by reference.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33"/>
        <w:spacing w:after="0" w:line="254"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The Registrant</w:t>
      </w:r>
      <w:r>
        <w:rPr>
          <w:rFonts w:ascii="Arial" w:cs="Arial" w:eastAsia="Arial" w:hAnsi="Arial"/>
          <w:sz w:val="18"/>
          <w:szCs w:val="18"/>
          <w:color w:val="auto"/>
        </w:rPr>
        <w:t>. Pursuant to the requirements of the Securities Act of 1933, Registrant certifies that it has reasonable grounds to believe that it meets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filing on Form S-8 and has duly caused this Registration Statement to be signed on its behalf by the undersigned, thereunto duly authorized, in the City of Bloomington, State of Minnesota on September 30, 2004.</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 Lawrence McIntyre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 Lawrence McIntyre,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Secretary and General Counsel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5" w:lineRule="exact"/>
        <w:rPr>
          <w:sz w:val="20"/>
          <w:szCs w:val="20"/>
          <w:color w:val="auto"/>
        </w:rPr>
      </w:pPr>
    </w:p>
    <w:p>
      <w:pPr>
        <w:ind w:right="180" w:firstLine="225"/>
        <w:spacing w:after="0" w:line="292"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hereby constitutes and appoints Kendrick B.</w:t>
      </w:r>
      <w:r>
        <w:rPr>
          <w:rFonts w:ascii="Arial" w:cs="Arial" w:eastAsia="Arial" w:hAnsi="Arial"/>
          <w:sz w:val="16"/>
          <w:szCs w:val="16"/>
          <w:b w:val="1"/>
          <w:bCs w:val="1"/>
          <w:color w:val="auto"/>
        </w:rPr>
        <w:t xml:space="preserve"> </w:t>
      </w:r>
      <w:r>
        <w:rPr>
          <w:rFonts w:ascii="Arial" w:cs="Arial" w:eastAsia="Arial" w:hAnsi="Arial"/>
          <w:sz w:val="16"/>
          <w:szCs w:val="16"/>
          <w:color w:val="auto"/>
        </w:rPr>
        <w:t>Melrose, Stephen P. Wolfe and J. Lawrence McIntyre, or any one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13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5300" w:type="dxa"/>
            <w:vAlign w:val="bottom"/>
          </w:tcPr>
          <w:p>
            <w:pPr>
              <w:ind w:left="2500"/>
              <w:spacing w:after="0"/>
              <w:rPr>
                <w:sz w:val="20"/>
                <w:szCs w:val="20"/>
                <w:color w:val="auto"/>
              </w:rPr>
            </w:pPr>
            <w:r>
              <w:rPr>
                <w:rFonts w:ascii="Arial" w:cs="Arial" w:eastAsia="Arial" w:hAnsi="Arial"/>
                <w:sz w:val="14"/>
                <w:szCs w:val="14"/>
                <w:b w:val="1"/>
                <w:bCs w:val="1"/>
                <w:color w:val="auto"/>
              </w:rPr>
              <w:t>TITLE</w:t>
            </w:r>
          </w:p>
        </w:tc>
        <w:tc>
          <w:tcPr>
            <w:tcW w:w="2320" w:type="dxa"/>
            <w:vAlign w:val="bottom"/>
          </w:tcPr>
          <w:p>
            <w:pPr>
              <w:jc w:val="center"/>
              <w:ind w:left="79"/>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/s/Kendrick B. Melrose</w:t>
            </w:r>
          </w:p>
        </w:tc>
        <w:tc>
          <w:tcPr>
            <w:tcW w:w="5300" w:type="dxa"/>
            <w:vAlign w:val="bottom"/>
          </w:tcPr>
          <w:p>
            <w:pPr>
              <w:ind w:left="560"/>
              <w:spacing w:after="0"/>
              <w:rPr>
                <w:sz w:val="20"/>
                <w:szCs w:val="20"/>
                <w:color w:val="auto"/>
              </w:rPr>
            </w:pPr>
            <w:r>
              <w:rPr>
                <w:rFonts w:ascii="Arial" w:cs="Arial" w:eastAsia="Arial" w:hAnsi="Arial"/>
                <w:sz w:val="18"/>
                <w:szCs w:val="18"/>
                <w:color w:val="auto"/>
              </w:rPr>
              <w:t>Chairman, Chief Executive Officer, President and Director</w:t>
            </w:r>
          </w:p>
        </w:tc>
        <w:tc>
          <w:tcPr>
            <w:tcW w:w="2320" w:type="dxa"/>
            <w:vAlign w:val="bottom"/>
          </w:tcPr>
          <w:p>
            <w:pPr>
              <w:jc w:val="center"/>
              <w:ind w:left="79"/>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109"/>
        </w:trPr>
        <w:tc>
          <w:tcPr>
            <w:tcW w:w="3800" w:type="dxa"/>
            <w:vAlign w:val="bottom"/>
            <w:tcBorders>
              <w:bottom w:val="single" w:sz="8" w:color="808080"/>
            </w:tcBorders>
          </w:tcPr>
          <w:p>
            <w:pPr>
              <w:spacing w:after="0"/>
              <w:rPr>
                <w:sz w:val="9"/>
                <w:szCs w:val="9"/>
                <w:color w:val="auto"/>
              </w:rPr>
            </w:pPr>
          </w:p>
        </w:tc>
        <w:tc>
          <w:tcPr>
            <w:tcW w:w="5300" w:type="dxa"/>
            <w:vAlign w:val="bottom"/>
            <w:vMerge w:val="restart"/>
          </w:tcPr>
          <w:p>
            <w:pPr>
              <w:ind w:left="560"/>
              <w:spacing w:after="0"/>
              <w:rPr>
                <w:sz w:val="20"/>
                <w:szCs w:val="20"/>
                <w:color w:val="auto"/>
              </w:rPr>
            </w:pPr>
            <w:r>
              <w:rPr>
                <w:rFonts w:ascii="Arial" w:cs="Arial" w:eastAsia="Arial" w:hAnsi="Arial"/>
                <w:sz w:val="18"/>
                <w:szCs w:val="18"/>
                <w:color w:val="auto"/>
              </w:rPr>
              <w:t>(Principal Executive Officer)</w:t>
            </w: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0" w:type="dxa"/>
            <w:vAlign w:val="bottom"/>
            <w:vMerge w:val="restart"/>
          </w:tcPr>
          <w:p>
            <w:pPr>
              <w:spacing w:after="0"/>
              <w:rPr>
                <w:sz w:val="20"/>
                <w:szCs w:val="20"/>
                <w:color w:val="auto"/>
              </w:rPr>
            </w:pPr>
            <w:r>
              <w:rPr>
                <w:rFonts w:ascii="Arial" w:cs="Arial" w:eastAsia="Arial" w:hAnsi="Arial"/>
                <w:sz w:val="18"/>
                <w:szCs w:val="18"/>
                <w:color w:val="auto"/>
              </w:rPr>
              <w:t>Kendrick B. Melrose</w:t>
            </w:r>
          </w:p>
        </w:tc>
        <w:tc>
          <w:tcPr>
            <w:tcW w:w="5300" w:type="dxa"/>
            <w:vAlign w:val="bottom"/>
            <w:vMerge w:val="continue"/>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800" w:type="dxa"/>
            <w:vAlign w:val="bottom"/>
            <w:vMerge w:val="continue"/>
          </w:tcPr>
          <w:p>
            <w:pPr>
              <w:spacing w:after="0"/>
              <w:rPr>
                <w:sz w:val="16"/>
                <w:szCs w:val="16"/>
                <w:color w:val="auto"/>
              </w:rPr>
            </w:pPr>
          </w:p>
        </w:tc>
        <w:tc>
          <w:tcPr>
            <w:tcW w:w="5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8"/>
        </w:trPr>
        <w:tc>
          <w:tcPr>
            <w:tcW w:w="3800" w:type="dxa"/>
            <w:vAlign w:val="bottom"/>
            <w:tcBorders>
              <w:bottom w:val="single" w:sz="8" w:color="808080"/>
            </w:tcBorders>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5080" w:type="dxa"/>
            <w:vAlign w:val="bottom"/>
          </w:tcPr>
          <w:p>
            <w:pPr>
              <w:ind w:left="2500"/>
              <w:spacing w:after="0"/>
              <w:rPr>
                <w:sz w:val="20"/>
                <w:szCs w:val="20"/>
                <w:color w:val="auto"/>
              </w:rPr>
            </w:pPr>
            <w:r>
              <w:rPr>
                <w:rFonts w:ascii="Arial" w:cs="Arial" w:eastAsia="Arial" w:hAnsi="Arial"/>
                <w:sz w:val="14"/>
                <w:szCs w:val="14"/>
                <w:b w:val="1"/>
                <w:bCs w:val="1"/>
                <w:color w:val="auto"/>
              </w:rPr>
              <w:t>TITLE</w:t>
            </w:r>
          </w:p>
        </w:tc>
        <w:tc>
          <w:tcPr>
            <w:tcW w:w="2540" w:type="dxa"/>
            <w:vAlign w:val="bottom"/>
          </w:tcPr>
          <w:p>
            <w:pPr>
              <w:jc w:val="center"/>
              <w:ind w:left="291"/>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/s/Stephen P. Wolfe</w:t>
            </w:r>
          </w:p>
        </w:tc>
        <w:tc>
          <w:tcPr>
            <w:tcW w:w="5080" w:type="dxa"/>
            <w:vAlign w:val="bottom"/>
          </w:tcPr>
          <w:p>
            <w:pPr>
              <w:ind w:left="560"/>
              <w:spacing w:after="0"/>
              <w:rPr>
                <w:sz w:val="20"/>
                <w:szCs w:val="20"/>
                <w:color w:val="auto"/>
              </w:rPr>
            </w:pPr>
            <w:r>
              <w:rPr>
                <w:rFonts w:ascii="Arial" w:cs="Arial" w:eastAsia="Arial" w:hAnsi="Arial"/>
                <w:sz w:val="18"/>
                <w:szCs w:val="18"/>
                <w:color w:val="auto"/>
              </w:rPr>
              <w:t>Vice President Finance and Chief Financial Officer</w:t>
            </w:r>
          </w:p>
        </w:tc>
        <w:tc>
          <w:tcPr>
            <w:tcW w:w="2540" w:type="dxa"/>
            <w:vAlign w:val="bottom"/>
          </w:tcPr>
          <w:p>
            <w:pPr>
              <w:jc w:val="center"/>
              <w:ind w:left="291"/>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109"/>
        </w:trPr>
        <w:tc>
          <w:tcPr>
            <w:tcW w:w="3800" w:type="dxa"/>
            <w:vAlign w:val="bottom"/>
            <w:tcBorders>
              <w:bottom w:val="single" w:sz="8" w:color="808080"/>
            </w:tcBorders>
          </w:tcPr>
          <w:p>
            <w:pPr>
              <w:spacing w:after="0"/>
              <w:rPr>
                <w:sz w:val="9"/>
                <w:szCs w:val="9"/>
                <w:color w:val="auto"/>
              </w:rPr>
            </w:pPr>
          </w:p>
        </w:tc>
        <w:tc>
          <w:tcPr>
            <w:tcW w:w="5080" w:type="dxa"/>
            <w:vAlign w:val="bottom"/>
            <w:vMerge w:val="restart"/>
          </w:tcPr>
          <w:p>
            <w:pPr>
              <w:ind w:left="560"/>
              <w:spacing w:after="0"/>
              <w:rPr>
                <w:sz w:val="20"/>
                <w:szCs w:val="20"/>
                <w:color w:val="auto"/>
              </w:rPr>
            </w:pPr>
            <w:r>
              <w:rPr>
                <w:rFonts w:ascii="Arial" w:cs="Arial" w:eastAsia="Arial" w:hAnsi="Arial"/>
                <w:sz w:val="18"/>
                <w:szCs w:val="18"/>
                <w:color w:val="auto"/>
              </w:rPr>
              <w:t>(Principal Financial Officer)</w:t>
            </w: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0" w:type="dxa"/>
            <w:vAlign w:val="bottom"/>
            <w:vMerge w:val="restart"/>
          </w:tcPr>
          <w:p>
            <w:pPr>
              <w:spacing w:after="0"/>
              <w:rPr>
                <w:sz w:val="20"/>
                <w:szCs w:val="20"/>
                <w:color w:val="auto"/>
              </w:rPr>
            </w:pPr>
            <w:r>
              <w:rPr>
                <w:rFonts w:ascii="Arial" w:cs="Arial" w:eastAsia="Arial" w:hAnsi="Arial"/>
                <w:sz w:val="18"/>
                <w:szCs w:val="18"/>
                <w:color w:val="auto"/>
              </w:rPr>
              <w:t>Stephen P. Wolfe</w:t>
            </w:r>
          </w:p>
        </w:tc>
        <w:tc>
          <w:tcPr>
            <w:tcW w:w="5080" w:type="dxa"/>
            <w:vAlign w:val="bottom"/>
            <w:vMerge w:val="continue"/>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800" w:type="dxa"/>
            <w:vAlign w:val="bottom"/>
            <w:vMerge w:val="continue"/>
          </w:tcPr>
          <w:p>
            <w:pPr>
              <w:spacing w:after="0"/>
              <w:rPr>
                <w:sz w:val="17"/>
                <w:szCs w:val="17"/>
                <w:color w:val="auto"/>
              </w:rPr>
            </w:pPr>
          </w:p>
        </w:tc>
        <w:tc>
          <w:tcPr>
            <w:tcW w:w="50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3800" w:type="dxa"/>
            <w:vAlign w:val="bottom"/>
          </w:tcPr>
          <w:p>
            <w:pPr>
              <w:spacing w:after="0"/>
              <w:rPr>
                <w:sz w:val="20"/>
                <w:szCs w:val="20"/>
                <w:color w:val="auto"/>
              </w:rPr>
            </w:pPr>
            <w:r>
              <w:rPr>
                <w:rFonts w:ascii="Arial" w:cs="Arial" w:eastAsia="Arial" w:hAnsi="Arial"/>
                <w:sz w:val="18"/>
                <w:szCs w:val="18"/>
                <w:color w:val="auto"/>
              </w:rPr>
              <w:t>/s/Randy B. James</w:t>
            </w:r>
          </w:p>
        </w:tc>
        <w:tc>
          <w:tcPr>
            <w:tcW w:w="5080" w:type="dxa"/>
            <w:vAlign w:val="bottom"/>
          </w:tcPr>
          <w:p>
            <w:pPr>
              <w:ind w:left="560"/>
              <w:spacing w:after="0"/>
              <w:rPr>
                <w:sz w:val="20"/>
                <w:szCs w:val="20"/>
                <w:color w:val="auto"/>
              </w:rPr>
            </w:pPr>
            <w:r>
              <w:rPr>
                <w:rFonts w:ascii="Arial" w:cs="Arial" w:eastAsia="Arial" w:hAnsi="Arial"/>
                <w:sz w:val="18"/>
                <w:szCs w:val="18"/>
                <w:color w:val="auto"/>
              </w:rPr>
              <w:t>Vice President and Controller (Principal Accounting</w:t>
            </w:r>
          </w:p>
        </w:tc>
        <w:tc>
          <w:tcPr>
            <w:tcW w:w="2540" w:type="dxa"/>
            <w:vAlign w:val="bottom"/>
          </w:tcPr>
          <w:p>
            <w:pPr>
              <w:jc w:val="center"/>
              <w:ind w:left="291"/>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109"/>
        </w:trPr>
        <w:tc>
          <w:tcPr>
            <w:tcW w:w="3800" w:type="dxa"/>
            <w:vAlign w:val="bottom"/>
            <w:tcBorders>
              <w:bottom w:val="single" w:sz="8" w:color="808080"/>
            </w:tcBorders>
          </w:tcPr>
          <w:p>
            <w:pPr>
              <w:spacing w:after="0"/>
              <w:rPr>
                <w:sz w:val="9"/>
                <w:szCs w:val="9"/>
                <w:color w:val="auto"/>
              </w:rPr>
            </w:pPr>
          </w:p>
        </w:tc>
        <w:tc>
          <w:tcPr>
            <w:tcW w:w="5080" w:type="dxa"/>
            <w:vAlign w:val="bottom"/>
            <w:vMerge w:val="restart"/>
          </w:tcPr>
          <w:p>
            <w:pPr>
              <w:ind w:left="560"/>
              <w:spacing w:after="0"/>
              <w:rPr>
                <w:sz w:val="20"/>
                <w:szCs w:val="20"/>
                <w:color w:val="auto"/>
              </w:rPr>
            </w:pPr>
            <w:r>
              <w:rPr>
                <w:rFonts w:ascii="Arial" w:cs="Arial" w:eastAsia="Arial" w:hAnsi="Arial"/>
                <w:sz w:val="18"/>
                <w:szCs w:val="18"/>
                <w:color w:val="auto"/>
              </w:rPr>
              <w:t>Officer)</w:t>
            </w: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0" w:type="dxa"/>
            <w:vAlign w:val="bottom"/>
            <w:vMerge w:val="restart"/>
          </w:tcPr>
          <w:p>
            <w:pPr>
              <w:spacing w:after="0"/>
              <w:rPr>
                <w:sz w:val="20"/>
                <w:szCs w:val="20"/>
                <w:color w:val="auto"/>
              </w:rPr>
            </w:pPr>
            <w:r>
              <w:rPr>
                <w:rFonts w:ascii="Arial" w:cs="Arial" w:eastAsia="Arial" w:hAnsi="Arial"/>
                <w:sz w:val="18"/>
                <w:szCs w:val="18"/>
                <w:color w:val="auto"/>
              </w:rPr>
              <w:t>Randy B. James</w:t>
            </w:r>
          </w:p>
        </w:tc>
        <w:tc>
          <w:tcPr>
            <w:tcW w:w="5080" w:type="dxa"/>
            <w:vAlign w:val="bottom"/>
            <w:vMerge w:val="continue"/>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800" w:type="dxa"/>
            <w:vAlign w:val="bottom"/>
            <w:vMerge w:val="continue"/>
          </w:tcPr>
          <w:p>
            <w:pPr>
              <w:spacing w:after="0"/>
              <w:rPr>
                <w:sz w:val="17"/>
                <w:szCs w:val="17"/>
                <w:color w:val="auto"/>
              </w:rPr>
            </w:pPr>
          </w:p>
        </w:tc>
        <w:tc>
          <w:tcPr>
            <w:tcW w:w="50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Arial" w:cs="Arial" w:eastAsia="Arial" w:hAnsi="Arial"/>
                <w:sz w:val="18"/>
                <w:szCs w:val="18"/>
                <w:color w:val="auto"/>
              </w:rPr>
              <w:t>/s/Ronald O. Baukol</w:t>
            </w:r>
          </w:p>
        </w:tc>
        <w:tc>
          <w:tcPr>
            <w:tcW w:w="50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291"/>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50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Arial" w:cs="Arial" w:eastAsia="Arial" w:hAnsi="Arial"/>
                <w:sz w:val="18"/>
                <w:szCs w:val="18"/>
                <w:color w:val="auto"/>
              </w:rPr>
              <w:t>Ronald O. Baukol</w:t>
            </w:r>
          </w:p>
        </w:tc>
        <w:tc>
          <w:tcPr>
            <w:tcW w:w="5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Arial" w:cs="Arial" w:eastAsia="Arial" w:hAnsi="Arial"/>
                <w:sz w:val="18"/>
                <w:szCs w:val="18"/>
                <w:color w:val="auto"/>
              </w:rPr>
              <w:t>/s/Robert C. Buhrmaster</w:t>
            </w:r>
          </w:p>
        </w:tc>
        <w:tc>
          <w:tcPr>
            <w:tcW w:w="50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291"/>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50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Arial" w:cs="Arial" w:eastAsia="Arial" w:hAnsi="Arial"/>
                <w:sz w:val="18"/>
                <w:szCs w:val="18"/>
                <w:color w:val="auto"/>
              </w:rPr>
              <w:t>Robert C. Buhrmaster</w:t>
            </w:r>
          </w:p>
        </w:tc>
        <w:tc>
          <w:tcPr>
            <w:tcW w:w="5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Arial" w:cs="Arial" w:eastAsia="Arial" w:hAnsi="Arial"/>
                <w:sz w:val="18"/>
                <w:szCs w:val="18"/>
                <w:color w:val="auto"/>
              </w:rPr>
              <w:t>/s/Winslow H. Buxton</w:t>
            </w:r>
          </w:p>
        </w:tc>
        <w:tc>
          <w:tcPr>
            <w:tcW w:w="50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291"/>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50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Arial" w:cs="Arial" w:eastAsia="Arial" w:hAnsi="Arial"/>
                <w:sz w:val="18"/>
                <w:szCs w:val="18"/>
                <w:color w:val="auto"/>
              </w:rPr>
              <w:t>Winslow H. Buxton</w:t>
            </w:r>
          </w:p>
        </w:tc>
        <w:tc>
          <w:tcPr>
            <w:tcW w:w="5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Arial" w:cs="Arial" w:eastAsia="Arial" w:hAnsi="Arial"/>
                <w:sz w:val="18"/>
                <w:szCs w:val="18"/>
                <w:color w:val="auto"/>
              </w:rPr>
              <w:t>/s/Janet K. Cooper</w:t>
            </w:r>
          </w:p>
        </w:tc>
        <w:tc>
          <w:tcPr>
            <w:tcW w:w="50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291"/>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50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Arial" w:cs="Arial" w:eastAsia="Arial" w:hAnsi="Arial"/>
                <w:sz w:val="18"/>
                <w:szCs w:val="18"/>
                <w:color w:val="auto"/>
              </w:rPr>
              <w:t>Janet K. Cooper</w:t>
            </w:r>
          </w:p>
        </w:tc>
        <w:tc>
          <w:tcPr>
            <w:tcW w:w="5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Arial" w:cs="Arial" w:eastAsia="Arial" w:hAnsi="Arial"/>
                <w:sz w:val="18"/>
                <w:szCs w:val="18"/>
                <w:color w:val="auto"/>
              </w:rPr>
              <w:t>/s/Katherine J. Harless</w:t>
            </w:r>
          </w:p>
        </w:tc>
        <w:tc>
          <w:tcPr>
            <w:tcW w:w="50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291"/>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50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Arial" w:cs="Arial" w:eastAsia="Arial" w:hAnsi="Arial"/>
                <w:sz w:val="18"/>
                <w:szCs w:val="18"/>
                <w:color w:val="auto"/>
              </w:rPr>
              <w:t>Katherine J. Harless</w:t>
            </w:r>
          </w:p>
        </w:tc>
        <w:tc>
          <w:tcPr>
            <w:tcW w:w="5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Arial" w:cs="Arial" w:eastAsia="Arial" w:hAnsi="Arial"/>
                <w:sz w:val="18"/>
                <w:szCs w:val="18"/>
                <w:color w:val="auto"/>
              </w:rPr>
              <w:t>/s/Robert H. Nassau</w:t>
            </w:r>
          </w:p>
        </w:tc>
        <w:tc>
          <w:tcPr>
            <w:tcW w:w="50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291"/>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50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Arial" w:cs="Arial" w:eastAsia="Arial" w:hAnsi="Arial"/>
                <w:sz w:val="18"/>
                <w:szCs w:val="18"/>
                <w:color w:val="auto"/>
              </w:rPr>
              <w:t>Robert H. Nassau</w:t>
            </w:r>
          </w:p>
        </w:tc>
        <w:tc>
          <w:tcPr>
            <w:tcW w:w="5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Arial" w:cs="Arial" w:eastAsia="Arial" w:hAnsi="Arial"/>
                <w:sz w:val="18"/>
                <w:szCs w:val="18"/>
                <w:color w:val="auto"/>
              </w:rPr>
              <w:t>/s/Dale R. Olseth</w:t>
            </w:r>
          </w:p>
        </w:tc>
        <w:tc>
          <w:tcPr>
            <w:tcW w:w="50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291"/>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50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Arial" w:cs="Arial" w:eastAsia="Arial" w:hAnsi="Arial"/>
                <w:sz w:val="18"/>
                <w:szCs w:val="18"/>
                <w:color w:val="auto"/>
              </w:rPr>
              <w:t>Dale R. Olseth</w:t>
            </w:r>
          </w:p>
        </w:tc>
        <w:tc>
          <w:tcPr>
            <w:tcW w:w="5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Arial" w:cs="Arial" w:eastAsia="Arial" w:hAnsi="Arial"/>
                <w:sz w:val="18"/>
                <w:szCs w:val="18"/>
                <w:color w:val="auto"/>
              </w:rPr>
              <w:t>/s/Christopher A. Twomey</w:t>
            </w:r>
          </w:p>
        </w:tc>
        <w:tc>
          <w:tcPr>
            <w:tcW w:w="50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291"/>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50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Arial" w:cs="Arial" w:eastAsia="Arial" w:hAnsi="Arial"/>
                <w:sz w:val="18"/>
                <w:szCs w:val="18"/>
                <w:color w:val="auto"/>
              </w:rPr>
              <w:t>Christopher A. Twomey</w:t>
            </w:r>
          </w:p>
        </w:tc>
        <w:tc>
          <w:tcPr>
            <w:tcW w:w="5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Arial" w:cs="Arial" w:eastAsia="Arial" w:hAnsi="Arial"/>
                <w:sz w:val="18"/>
                <w:szCs w:val="18"/>
                <w:color w:val="auto"/>
              </w:rPr>
              <w:t>/s/Gregg W. Steinhafel</w:t>
            </w:r>
          </w:p>
        </w:tc>
        <w:tc>
          <w:tcPr>
            <w:tcW w:w="50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291"/>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50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Arial" w:cs="Arial" w:eastAsia="Arial" w:hAnsi="Arial"/>
                <w:sz w:val="18"/>
                <w:szCs w:val="18"/>
                <w:color w:val="auto"/>
              </w:rPr>
              <w:t>Gregg W. Steinhafel</w:t>
            </w:r>
          </w:p>
        </w:tc>
        <w:tc>
          <w:tcPr>
            <w:tcW w:w="5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Arial" w:cs="Arial" w:eastAsia="Arial" w:hAnsi="Arial"/>
                <w:sz w:val="18"/>
                <w:szCs w:val="18"/>
                <w:color w:val="auto"/>
              </w:rPr>
              <w:t>/s/Edwin H. Wingate</w:t>
            </w:r>
          </w:p>
        </w:tc>
        <w:tc>
          <w:tcPr>
            <w:tcW w:w="50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291"/>
              <w:spacing w:after="0"/>
              <w:rPr>
                <w:sz w:val="20"/>
                <w:szCs w:val="20"/>
                <w:color w:val="auto"/>
              </w:rPr>
            </w:pPr>
            <w:r>
              <w:rPr>
                <w:rFonts w:ascii="Arial" w:cs="Arial" w:eastAsia="Arial" w:hAnsi="Arial"/>
                <w:sz w:val="18"/>
                <w:szCs w:val="18"/>
                <w:color w:val="auto"/>
                <w:w w:val="88"/>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50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Arial" w:cs="Arial" w:eastAsia="Arial" w:hAnsi="Arial"/>
                <w:sz w:val="18"/>
                <w:szCs w:val="18"/>
                <w:color w:val="auto"/>
              </w:rPr>
              <w:t>Edwin H. Wingate</w:t>
            </w:r>
          </w:p>
        </w:tc>
        <w:tc>
          <w:tcPr>
            <w:tcW w:w="5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380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8"/>
          <w:szCs w:val="18"/>
          <w:b w:val="1"/>
          <w:bCs w:val="1"/>
          <w:color w:val="auto"/>
        </w:rPr>
        <w:t>The Plan</w:t>
      </w:r>
      <w:r>
        <w:rPr>
          <w:rFonts w:ascii="Arial" w:cs="Arial" w:eastAsia="Arial" w:hAnsi="Arial"/>
          <w:sz w:val="18"/>
          <w:szCs w:val="18"/>
          <w:color w:val="auto"/>
        </w:rPr>
        <w:t>. Pursuant to the requirements of the Securities Act of 1933, the trustees (or other persons who administer the employee benefit plan) have duly</w:t>
      </w:r>
      <w:r>
        <w:rPr>
          <w:rFonts w:ascii="Arial" w:cs="Arial" w:eastAsia="Arial" w:hAnsi="Arial"/>
          <w:sz w:val="18"/>
          <w:szCs w:val="18"/>
          <w:b w:val="1"/>
          <w:bCs w:val="1"/>
          <w:color w:val="auto"/>
        </w:rPr>
        <w:t xml:space="preserve"> </w:t>
      </w:r>
      <w:r>
        <w:rPr>
          <w:rFonts w:ascii="Arial" w:cs="Arial" w:eastAsia="Arial" w:hAnsi="Arial"/>
          <w:sz w:val="18"/>
          <w:szCs w:val="18"/>
          <w:color w:val="auto"/>
        </w:rPr>
        <w:t>caused this Registration Statement to be signed on its behalf by the undersigned, thereunto duly authorized, in the City of Bloomington, State of Minnesota, on September 30, 2004.</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AND EMPLOYEE STOCK OWNERSHIP PLAN</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 Lawrence McIntyre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 Lawrence McIntyre,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EXHIBIT LIST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4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780" w:hanging="772"/>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09" w:lineRule="exact"/>
        <w:rPr>
          <w:sz w:val="20"/>
          <w:szCs w:val="20"/>
          <w:color w:val="auto"/>
        </w:rPr>
      </w:pPr>
    </w:p>
    <w:p>
      <w:pPr>
        <w:ind w:left="1340" w:right="2419" w:hanging="459"/>
        <w:spacing w:after="0" w:line="308" w:lineRule="auto"/>
        <w:tabs>
          <w:tab w:leader="none" w:pos="1320" w:val="left"/>
        </w:tabs>
        <w:rPr>
          <w:sz w:val="20"/>
          <w:szCs w:val="20"/>
          <w:color w:val="auto"/>
        </w:rPr>
      </w:pPr>
      <w:r>
        <w:rPr>
          <w:rFonts w:ascii="Arial" w:cs="Arial" w:eastAsia="Arial" w:hAnsi="Arial"/>
          <w:sz w:val="17"/>
          <w:szCs w:val="17"/>
          <w:color w:val="auto"/>
        </w:rPr>
        <w:t>4(a)</w:t>
        <w:tab/>
        <w:t>Specimen form of Common Stock certificate (incorporated by reference to Exhibit 4(c) to Registrant’s Registration Statement on Form S-8, Registration No. 2-94417).</w:t>
      </w:r>
    </w:p>
    <w:p>
      <w:pPr>
        <w:spacing w:after="0" w:line="147" w:lineRule="exact"/>
        <w:rPr>
          <w:sz w:val="20"/>
          <w:szCs w:val="20"/>
          <w:color w:val="auto"/>
        </w:rPr>
      </w:pPr>
    </w:p>
    <w:p>
      <w:pPr>
        <w:ind w:left="1340" w:right="1999" w:hanging="459"/>
        <w:spacing w:after="0" w:line="264" w:lineRule="auto"/>
        <w:tabs>
          <w:tab w:leader="none" w:pos="1320" w:val="left"/>
        </w:tabs>
        <w:rPr>
          <w:sz w:val="20"/>
          <w:szCs w:val="20"/>
          <w:color w:val="auto"/>
        </w:rPr>
      </w:pPr>
      <w:r>
        <w:rPr>
          <w:rFonts w:ascii="Arial" w:cs="Arial" w:eastAsia="Arial" w:hAnsi="Arial"/>
          <w:sz w:val="18"/>
          <w:szCs w:val="18"/>
          <w:color w:val="auto"/>
        </w:rPr>
        <w:t>4(b)</w:t>
        <w:tab/>
        <w:t>Amended and Restated Certificate of Incorporation of the Registrant (incorporated by reference to Exhibit 4(b) to Registrant’s Current Report on Form 8-K dated May 28, 2003, Commission File No. 1-8649).</w:t>
      </w:r>
    </w:p>
    <w:p>
      <w:pPr>
        <w:spacing w:after="0" w:line="181" w:lineRule="exact"/>
        <w:rPr>
          <w:sz w:val="20"/>
          <w:szCs w:val="20"/>
          <w:color w:val="auto"/>
        </w:rPr>
      </w:pPr>
    </w:p>
    <w:p>
      <w:pPr>
        <w:ind w:left="1340" w:right="2299" w:hanging="459"/>
        <w:spacing w:after="0" w:line="342" w:lineRule="auto"/>
        <w:tabs>
          <w:tab w:leader="none" w:pos="1320" w:val="left"/>
        </w:tabs>
        <w:rPr>
          <w:sz w:val="20"/>
          <w:szCs w:val="20"/>
          <w:color w:val="auto"/>
        </w:rPr>
      </w:pPr>
      <w:r>
        <w:rPr>
          <w:rFonts w:ascii="Arial" w:cs="Arial" w:eastAsia="Arial" w:hAnsi="Arial"/>
          <w:sz w:val="16"/>
          <w:szCs w:val="16"/>
          <w:color w:val="auto"/>
        </w:rPr>
        <w:t>4(c)</w:t>
        <w:tab/>
        <w:t>Bylaws of Registrant, as amended (incorporated by reference to Exhibit 4(c) to Registrant’s Current Report Form 8-K dated May 28, 2003, Commission File No. 1-8649).</w:t>
      </w:r>
    </w:p>
    <w:p>
      <w:pPr>
        <w:spacing w:after="0" w:line="124" w:lineRule="exact"/>
        <w:rPr>
          <w:sz w:val="20"/>
          <w:szCs w:val="20"/>
          <w:color w:val="auto"/>
        </w:rPr>
      </w:pPr>
    </w:p>
    <w:p>
      <w:pPr>
        <w:ind w:left="1340" w:right="2199" w:hanging="459"/>
        <w:spacing w:after="0" w:line="279" w:lineRule="auto"/>
        <w:tabs>
          <w:tab w:leader="none" w:pos="1320" w:val="left"/>
        </w:tabs>
        <w:rPr>
          <w:sz w:val="20"/>
          <w:szCs w:val="20"/>
          <w:color w:val="auto"/>
        </w:rPr>
      </w:pPr>
      <w:r>
        <w:rPr>
          <w:rFonts w:ascii="Arial" w:cs="Arial" w:eastAsia="Arial" w:hAnsi="Arial"/>
          <w:sz w:val="17"/>
          <w:szCs w:val="17"/>
          <w:color w:val="auto"/>
        </w:rPr>
        <w:t>4(d)</w:t>
        <w:tab/>
        <w:t>Rights Agreement dated as of May 20, 1998, between the Registrant and Wells Fargo Bank Minnesota, N.A., relating to rights to purchase Series B Junior Participating Voting Preferred Stock (incorporated by reference to Exhibit (1) to Registrant’s Current Report on Form 8-K dated May 27, 1998, Commission File No. 1-8649).</w:t>
      </w:r>
    </w:p>
    <w:p>
      <w:pPr>
        <w:spacing w:after="0" w:line="171" w:lineRule="exact"/>
        <w:rPr>
          <w:sz w:val="20"/>
          <w:szCs w:val="20"/>
          <w:color w:val="auto"/>
        </w:rPr>
      </w:pPr>
    </w:p>
    <w:p>
      <w:pPr>
        <w:ind w:left="1340" w:right="1979" w:hanging="459"/>
        <w:spacing w:after="0" w:line="257" w:lineRule="auto"/>
        <w:tabs>
          <w:tab w:leader="none" w:pos="1320" w:val="left"/>
        </w:tabs>
        <w:rPr>
          <w:sz w:val="20"/>
          <w:szCs w:val="20"/>
          <w:color w:val="auto"/>
        </w:rPr>
      </w:pPr>
      <w:r>
        <w:rPr>
          <w:rFonts w:ascii="Arial" w:cs="Arial" w:eastAsia="Arial" w:hAnsi="Arial"/>
          <w:sz w:val="18"/>
          <w:szCs w:val="18"/>
          <w:color w:val="auto"/>
        </w:rPr>
        <w:t>4(e)</w:t>
        <w:tab/>
        <w:t>Certificate of Adjusted Purchase Price or Number of Shares dated April 14, 2003 filed by Registrant with Wells Fargo Bank Minnesota, N.A., as Rights Agent, in connection with Rights Agreement dated as of May 20, 1998 (incorporated by reference to Exhibit 2 to Registrant’s Amendment No. 1 to Registration Statement on Form 8-A/A dated April 14, 2003, Commission File No. 1-8649).</w:t>
      </w:r>
    </w:p>
    <w:p>
      <w:pPr>
        <w:spacing w:after="0" w:line="188" w:lineRule="exact"/>
        <w:rPr>
          <w:sz w:val="20"/>
          <w:szCs w:val="20"/>
          <w:color w:val="auto"/>
        </w:rPr>
      </w:pPr>
    </w:p>
    <w:p>
      <w:pPr>
        <w:ind w:left="1340" w:right="1959" w:hanging="459"/>
        <w:spacing w:after="0" w:line="279" w:lineRule="auto"/>
        <w:tabs>
          <w:tab w:leader="none" w:pos="1320" w:val="left"/>
        </w:tabs>
        <w:rPr>
          <w:sz w:val="20"/>
          <w:szCs w:val="20"/>
          <w:color w:val="auto"/>
        </w:rPr>
      </w:pPr>
      <w:r>
        <w:rPr>
          <w:rFonts w:ascii="Arial" w:cs="Arial" w:eastAsia="Arial" w:hAnsi="Arial"/>
          <w:sz w:val="17"/>
          <w:szCs w:val="17"/>
          <w:color w:val="auto"/>
        </w:rPr>
        <w:t>4(f)</w:t>
        <w:tab/>
        <w:t>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171" w:lineRule="exact"/>
        <w:rPr>
          <w:sz w:val="20"/>
          <w:szCs w:val="20"/>
          <w:color w:val="auto"/>
        </w:rPr>
      </w:pPr>
    </w:p>
    <w:p>
      <w:pPr>
        <w:ind w:left="780" w:hanging="772"/>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Opinion of counsel regarding legality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color w:val="auto"/>
        </w:rPr>
        <w:t>Consent of counsel (</w:t>
      </w:r>
      <w:r>
        <w:rPr>
          <w:rFonts w:ascii="Arial" w:cs="Arial" w:eastAsia="Arial" w:hAnsi="Arial"/>
          <w:sz w:val="16"/>
          <w:szCs w:val="16"/>
          <w:i w:val="1"/>
          <w:iCs w:val="1"/>
          <w:color w:val="auto"/>
        </w:rPr>
        <w:t>contained in Exhibit 5(a)</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23(b)</w:t>
      </w:r>
      <w:r>
        <w:rPr>
          <w:rFonts w:ascii="Arial" w:cs="Arial" w:eastAsia="Arial" w:hAnsi="Arial"/>
          <w:sz w:val="16"/>
          <w:szCs w:val="16"/>
          <w:color w:val="auto"/>
        </w:rPr>
        <w:t>Consent of KPMG LLP (</w:t>
      </w:r>
      <w:r>
        <w:rPr>
          <w:rFonts w:ascii="Arial" w:cs="Arial" w:eastAsia="Arial" w:hAnsi="Arial"/>
          <w:sz w:val="16"/>
          <w:szCs w:val="16"/>
          <w:i w:val="1"/>
          <w:iCs w:val="1"/>
          <w:color w:val="auto"/>
        </w:rPr>
        <w:t>filed electronically herewith</w:t>
      </w:r>
      <w:r>
        <w:rPr>
          <w:rFonts w:ascii="Arial" w:cs="Arial" w:eastAsia="Arial" w:hAnsi="Arial"/>
          <w:sz w:val="16"/>
          <w:szCs w:val="16"/>
          <w:color w:val="auto"/>
        </w:rPr>
        <w:t>).</w:t>
      </w:r>
    </w:p>
    <w:p>
      <w:pPr>
        <w:spacing w:after="0" w:line="225" w:lineRule="exact"/>
        <w:rPr>
          <w:sz w:val="20"/>
          <w:szCs w:val="20"/>
          <w:color w:val="auto"/>
        </w:rPr>
      </w:pPr>
    </w:p>
    <w:p>
      <w:pPr>
        <w:ind w:left="780" w:hanging="77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Powers of Attorney (</w:t>
      </w:r>
      <w:r>
        <w:rPr>
          <w:rFonts w:ascii="Arial" w:cs="Arial" w:eastAsia="Arial" w:hAnsi="Arial"/>
          <w:sz w:val="18"/>
          <w:szCs w:val="18"/>
          <w:i w:val="1"/>
          <w:iCs w:val="1"/>
          <w:color w:val="auto"/>
        </w:rPr>
        <w:t>filed electronically herewith and contained in the signature pages</w:t>
      </w:r>
      <w:r>
        <w:rPr>
          <w:rFonts w:ascii="Arial" w:cs="Arial" w:eastAsia="Arial" w:hAnsi="Arial"/>
          <w:sz w:val="18"/>
          <w:szCs w:val="18"/>
          <w:color w:val="auto"/>
        </w:rPr>
        <w:t>).</w:t>
      </w:r>
    </w:p>
    <w:p>
      <w:pPr>
        <w:sectPr>
          <w:pgSz w:w="11900" w:h="16838" w:orient="portrait"/>
          <w:cols w:equalWidth="0" w:num="1">
            <w:col w:w="10219"/>
          </w:cols>
          <w:pgMar w:left="240" w:top="419"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EXHIBIT 5 AND 23(a)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191895" cy="788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18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pacing w:after="0" w:line="400" w:lineRule="exact"/>
        <w:rPr>
          <w:sz w:val="20"/>
          <w:szCs w:val="20"/>
          <w:color w:val="auto"/>
        </w:rPr>
      </w:pPr>
    </w:p>
    <w:p>
      <w:pPr>
        <w:ind w:right="2520"/>
        <w:spacing w:after="0" w:line="454" w:lineRule="auto"/>
        <w:rPr>
          <w:sz w:val="20"/>
          <w:szCs w:val="20"/>
          <w:color w:val="auto"/>
        </w:rPr>
      </w:pPr>
      <w:r>
        <w:rPr>
          <w:rFonts w:ascii="Arial" w:cs="Arial" w:eastAsia="Arial" w:hAnsi="Arial"/>
          <w:sz w:val="18"/>
          <w:szCs w:val="18"/>
          <w:color w:val="auto"/>
        </w:rPr>
        <w:t>Re: Registration Statement on Form S-8 for The Toro Company Investment, Savings and Employee Stock Ownership Plan Gentlemen:</w:t>
      </w:r>
    </w:p>
    <w:p>
      <w:pPr>
        <w:ind w:right="80" w:firstLine="225"/>
        <w:spacing w:after="0" w:line="276" w:lineRule="auto"/>
        <w:rPr>
          <w:sz w:val="20"/>
          <w:szCs w:val="20"/>
          <w:color w:val="auto"/>
        </w:rPr>
      </w:pPr>
      <w:r>
        <w:rPr>
          <w:rFonts w:ascii="Arial" w:cs="Arial" w:eastAsia="Arial" w:hAnsi="Arial"/>
          <w:sz w:val="17"/>
          <w:szCs w:val="17"/>
          <w:color w:val="auto"/>
        </w:rPr>
        <w:t>I am Vice President, Secretary and General Counsel of The Toro Company (the “Company”). In connection with the Registration Statement on Form S-8 filed by the Company with the Securities and Exchange Commission relating to up to an additional 1,000,000 shares of Common Stock, par value $1.00 per share, and up to an additional 1,000,000 related Preferred Share Purchase Rights of the Company, to be issued in connection with The Toro Company Investment, Savings and Employee Stock Ownership Plan, please be advised that as counsel to the Company, upon examination of such corporate documents and records as I have deemed necessary or appropriate for the purpose of rendering this opinion, it is my opinion that:</w:t>
      </w:r>
    </w:p>
    <w:p>
      <w:pPr>
        <w:spacing w:after="0" w:line="146" w:lineRule="exact"/>
        <w:rPr>
          <w:sz w:val="20"/>
          <w:szCs w:val="20"/>
          <w:color w:val="auto"/>
        </w:rPr>
      </w:pPr>
    </w:p>
    <w:p>
      <w:pPr>
        <w:ind w:left="400" w:hanging="167"/>
        <w:spacing w:after="0"/>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shares of Common Stock when issued in accordance with proper corporate authorizations, will be legally issued, fully paid and non-assessable; and</w:t>
      </w:r>
    </w:p>
    <w:p>
      <w:pPr>
        <w:spacing w:after="0" w:line="207" w:lineRule="exact"/>
        <w:rPr>
          <w:rFonts w:ascii="Arial" w:cs="Arial" w:eastAsia="Arial" w:hAnsi="Arial"/>
          <w:sz w:val="16"/>
          <w:szCs w:val="16"/>
          <w:color w:val="auto"/>
        </w:rPr>
      </w:pPr>
    </w:p>
    <w:p>
      <w:pPr>
        <w:ind w:right="260" w:firstLine="233"/>
        <w:spacing w:after="0" w:line="259" w:lineRule="auto"/>
        <w:tabs>
          <w:tab w:leader="none" w:pos="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Assuming that the Rights Agreement dated as of May 20, 1998, as modified by the Certificate of Adjusted Purchase Price or Number of Shares dated April 14, 2003 (the “Rights Agreement”),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46"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43"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35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5715</wp:posOffset>
            </wp:positionV>
            <wp:extent cx="267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 Lawrence McIntyre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935"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23(b)</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INDEPENDENT AUDITORS’ CONSENT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70"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We consent to the use of our report dated December 8, 2003 incorporated by reference in this Form S-8. Our report refers to the adoption of Statement of Financial Accounting Standards No. 142, Goodwill and Other Intangible Assets on November 1, 2001.</w:t>
      </w:r>
    </w:p>
    <w:p>
      <w:pPr>
        <w:spacing w:after="0" w:line="1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4, 2004</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4"/>
    </w:lvl>
  </w:abstractNum>
  <w:abstractNum w:abstractNumId="3">
    <w:nsid w:val="79E2A9E3"/>
    <w:multiLevelType w:val="hybridMultilevel"/>
    <w:lvl w:ilvl="0">
      <w:lvlJc w:val="left"/>
      <w:lvlText w:val="(%1)"/>
      <w:numFmt w:val="decimal"/>
      <w:start w:val="1"/>
    </w:lvl>
    <w:lvl w:ilvl="1">
      <w:lvlJc w:val="left"/>
      <w:lvlText w:val="(%2)"/>
      <w:numFmt w:val="lowerRoman"/>
      <w:start w:val="1"/>
    </w:lvl>
  </w:abstractNum>
  <w:abstractNum w:abstractNumId="4">
    <w:nsid w:val="7545E146"/>
    <w:multiLevelType w:val="hybridMultilevel"/>
    <w:lvl w:ilvl="0">
      <w:lvlJc w:val="left"/>
      <w:lvlText w:val="%1"/>
      <w:numFmt w:val="lowerLetter"/>
      <w:start w:val="1"/>
    </w:lvl>
    <w:lvl w:ilvl="1">
      <w:lvlJc w:val="left"/>
      <w:lvlText w:val="(%2)"/>
      <w:numFmt w:val="decimal"/>
      <w:start w:val="2"/>
    </w:lvl>
  </w:abstractNum>
  <w:abstractNum w:abstractNumId="5">
    <w:nsid w:val="515F007C"/>
    <w:multiLevelType w:val="hybridMultilevel"/>
    <w:lvl w:ilvl="0">
      <w:lvlJc w:val="left"/>
      <w:lvlText w:val="(%1)"/>
      <w:numFmt w:val="lowerLetter"/>
      <w:start w:val="2"/>
    </w:lvl>
    <w:lvl w:ilvl="1">
      <w:lvlJc w:val="left"/>
      <w:lvlText w:val="%2"/>
      <w:numFmt w:val="decimal"/>
      <w:start w:val="1"/>
    </w:lvl>
  </w:abstractNum>
  <w:abstractNum w:abstractNumId="6">
    <w:nsid w:val="5BD062C2"/>
    <w:multiLevelType w:val="hybridMultilevel"/>
    <w:lvl w:ilvl="0">
      <w:lvlJc w:val="left"/>
      <w:lvlText w:val="(%1)"/>
      <w:numFmt w:val="lowerLetter"/>
      <w:start w:val="8"/>
    </w:lvl>
  </w:abstractNum>
  <w:abstractNum w:abstractNumId="7">
    <w:nsid w:val="12200854"/>
    <w:multiLevelType w:val="hybridMultilevel"/>
    <w:lvl w:ilvl="0">
      <w:lvlJc w:val="left"/>
      <w:lvlText w:val="4"/>
      <w:numFmt w:val="bullet"/>
      <w:start w:val="1"/>
    </w:lvl>
  </w:abstractNum>
  <w:abstractNum w:abstractNumId="8">
    <w:nsid w:val="4DB127F8"/>
    <w:multiLevelType w:val="hybridMultilevel"/>
    <w:lvl w:ilvl="0">
      <w:lvlJc w:val="left"/>
      <w:lvlText w:val="5"/>
      <w:numFmt w:val="bullet"/>
      <w:start w:val="1"/>
    </w:lvl>
  </w:abstractNum>
  <w:abstractNum w:abstractNumId="9">
    <w:nsid w:val="216231B"/>
    <w:multiLevelType w:val="hybridMultilevel"/>
    <w:lvl w:ilvl="0">
      <w:lvlJc w:val="left"/>
      <w:lvlText w:val="%1"/>
      <w:numFmt w:val="decimal"/>
      <w:start w:val="24"/>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2019-12-13T14:05:09Z</dcterms:created>
  <dcterms:modified xsi:type="dcterms:W3CDTF">2019-12-13T14:05:09Z</dcterms:modified>
</cp:coreProperties>
</file>