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450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5084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JANEY GREGORY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456"/>
        <w:spacing w:after="0"/>
        <w:rPr>
          <w:sz w:val="20"/>
          <w:szCs w:val="20"/>
          <w:color w:val="auto"/>
        </w:rPr>
      </w:pPr>
      <w:r>
        <w:rPr>
          <w:rFonts w:ascii="Times New Roman" w:cs="Times New Roman" w:eastAsia="Times New Roman" w:hAnsi="Times New Roman"/>
          <w:sz w:val="17"/>
          <w:szCs w:val="17"/>
          <w:color w:val="0000FF"/>
        </w:rPr>
        <w:t>Group VP, Landscapes &amp; Contrac</w:t>
      </w:r>
    </w:p>
    <w:p>
      <w:pPr>
        <w:spacing w:after="0" w:line="304"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ind w:right="37"/>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8"/>
          </w:tcPr>
          <w:p>
            <w:pPr>
              <w:ind w:left="2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11/01/2024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755.241</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81.5</w:t>
            </w:r>
          </w:p>
        </w:tc>
        <w:tc>
          <w:tcPr>
            <w:tcW w:w="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3,988.509</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11/01/2024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0000FF"/>
              </w:rPr>
              <w:t>396</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81.5</w:t>
            </w:r>
          </w:p>
        </w:tc>
        <w:tc>
          <w:tcPr>
            <w:tcW w:w="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3,592.509</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5,250.267</w:t>
            </w:r>
            <w:r>
              <w:rPr>
                <w:rFonts w:ascii="Times New Roman" w:cs="Times New Roman" w:eastAsia="Times New Roman" w:hAnsi="Times New Roman"/>
                <w:sz w:val="21"/>
                <w:szCs w:val="21"/>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2,161.92</w:t>
            </w:r>
            <w:r>
              <w:rPr>
                <w:rFonts w:ascii="Times New Roman" w:cs="Times New Roman" w:eastAsia="Times New Roman" w:hAnsi="Times New Roman"/>
                <w:sz w:val="21"/>
                <w:szCs w:val="21"/>
                <w:color w:val="008000"/>
                <w:w w:val="92"/>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3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jc w:val="center"/>
              <w:ind w:left="45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755.241</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11/01/2024</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755.241</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1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81.5</w:t>
            </w:r>
          </w:p>
        </w:tc>
        <w:tc>
          <w:tcPr>
            <w:tcW w:w="80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756.271</w:t>
            </w:r>
          </w:p>
        </w:tc>
        <w:tc>
          <w:tcPr>
            <w:tcW w:w="54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85.298 performance share units acquired by the reporting person since the date of his last report under the dividend reinvestment feature of The Toro Company Deferred Compensation Plan for Officers.</w:t>
      </w:r>
    </w:p>
    <w:p>
      <w:pPr>
        <w:spacing w:after="0" w:line="53" w:lineRule="exact"/>
        <w:rPr>
          <w:rFonts w:ascii="Times New Roman" w:cs="Times New Roman" w:eastAsia="Times New Roman" w:hAnsi="Times New Roman"/>
          <w:sz w:val="12"/>
          <w:szCs w:val="12"/>
          <w:color w:val="008000"/>
        </w:rPr>
      </w:pPr>
    </w:p>
    <w:p>
      <w:pPr>
        <w:ind w:left="40" w:right="5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35.151 net shares acquired by the reporting person since the date of his last report under the dividend reinvestment feature of The Toro Company Retirement Plan less non-discretionary quarterly administrative fees.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and become non-forfeitable in three equal annual installments commencing on the first anniversary of the November 1, 2022 grant date.</w:t>
      </w:r>
    </w:p>
    <w:p>
      <w:pPr>
        <w:sectPr>
          <w:pgSz w:w="11900" w:h="16838" w:orient="portrait"/>
          <w:cols w:equalWidth="0" w:num="1">
            <w:col w:w="11080"/>
          </w:cols>
          <w:pgMar w:left="460" w:top="216" w:right="35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Joanna M. Totsky,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4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4"/>
          <w:szCs w:val="24"/>
          <w:color w:val="auto"/>
        </w:rPr>
      </w:pPr>
    </w:p>
    <w:p>
      <w:pPr>
        <w:sectPr>
          <w:pgSz w:w="11900" w:h="16838" w:orient="portrait"/>
          <w:cols w:equalWidth="0" w:num="2">
            <w:col w:w="8700" w:space="10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38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2024-11-04T15:14:47Z</dcterms:created>
  <dcterms:modified xsi:type="dcterms:W3CDTF">2024-11-04T15:14:47Z</dcterms:modified>
</cp:coreProperties>
</file>