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February 1, 2013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60" w:space="720"/>
            <w:col w:w="3440"/>
          </w:cols>
          <w:pgMar w:left="240" w:top="233" w:right="239" w:bottom="0" w:gutter="0" w:footer="0" w:header="0"/>
          <w:type w:val="continuous"/>
        </w:sectPr>
      </w:pPr>
    </w:p>
    <w:p>
      <w:pPr>
        <w:spacing w:after="0" w:line="48" w:lineRule="exact"/>
        <w:rPr>
          <w:sz w:val="24"/>
          <w:szCs w:val="24"/>
          <w:color w:val="auto"/>
        </w:rPr>
      </w:pPr>
    </w:p>
    <w:p>
      <w:pPr>
        <w:jc w:val="center"/>
        <w:ind w:right="13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80" w:space="720"/>
            <w:col w:w="382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February 26, 2013 was 57,860,836.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Page</w:t>
            </w: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Number</w:t>
            </w: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60" w:type="dxa"/>
            <w:vAlign w:val="bottom"/>
            <w:gridSpan w:val="1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800" w:type="dxa"/>
            <w:vAlign w:val="bottom"/>
          </w:tcPr>
          <w:p>
            <w:pPr>
              <w:spacing w:after="0"/>
              <w:rPr>
                <w:sz w:val="24"/>
                <w:szCs w:val="24"/>
                <w:color w:val="auto"/>
              </w:rPr>
            </w:pPr>
          </w:p>
        </w:tc>
      </w:tr>
      <w:tr>
        <w:trPr>
          <w:trHeight w:val="412"/>
        </w:trPr>
        <w:tc>
          <w:tcPr>
            <w:tcW w:w="64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Borders>
              <w:top w:val="single" w:sz="8" w:color="0000EE"/>
            </w:tcBorders>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700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00" w:type="dxa"/>
            <w:vAlign w:val="bottom"/>
            <w:gridSpan w:val="11"/>
          </w:tcPr>
          <w:p>
            <w:pPr>
              <w:spacing w:after="0" w:line="196" w:lineRule="exact"/>
              <w:rPr>
                <w:rFonts w:ascii="Arial" w:cs="Arial" w:eastAsia="Arial" w:hAnsi="Arial"/>
                <w:sz w:val="18"/>
                <w:szCs w:val="18"/>
                <w:color w:val="0000EE"/>
                <w:w w:val="91"/>
              </w:rPr>
            </w:pPr>
            <w:hyperlink w:anchor="page2">
              <w:r>
                <w:rPr>
                  <w:rFonts w:ascii="Arial" w:cs="Arial" w:eastAsia="Arial" w:hAnsi="Arial"/>
                  <w:sz w:val="18"/>
                  <w:szCs w:val="18"/>
                  <w:color w:val="0000EE"/>
                  <w:w w:val="91"/>
                </w:rPr>
                <w:t>Condensed Consolidated Statements of Earnings (Unaudited) - Three Months Ended February 1, 2013 and February 3, 2012</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tcBorders>
              <w:top w:val="single" w:sz="8" w:color="0000EE"/>
            </w:tcBorders>
            <w:gridSpan w:val="10"/>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Condensed Consolidated Statements of Comprehensive Income (Unaudited) - Three Months Ended February 1, 2013 and</w:t>
              </w:r>
            </w:hyperlink>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5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February 3, 2012</w:t>
              </w:r>
            </w:hyperlink>
          </w:p>
        </w:tc>
        <w:tc>
          <w:tcPr>
            <w:tcW w:w="34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 February 1, 2013, February 3, 2012, and October 31, 2012</w:t>
              </w:r>
            </w:hyperlink>
          </w:p>
        </w:tc>
        <w:tc>
          <w:tcPr>
            <w:tcW w:w="76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1"/>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Statements of Cash Flows (Unaudited) - Three Months Ended February 1, 2013 and February 3,</w:t>
              </w:r>
            </w:hyperlink>
          </w:p>
        </w:tc>
        <w:tc>
          <w:tcPr>
            <w:tcW w:w="80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2012</w:t>
              </w:r>
            </w:hyperlink>
          </w:p>
        </w:tc>
        <w:tc>
          <w:tcPr>
            <w:tcW w:w="6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Condensed Consolidated Financial Statements (Unaudited)</w:t>
              </w:r>
            </w:hyperlink>
          </w:p>
        </w:tc>
        <w:tc>
          <w:tcPr>
            <w:tcW w:w="418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412"/>
        </w:trPr>
        <w:tc>
          <w:tcPr>
            <w:tcW w:w="900" w:type="dxa"/>
            <w:vAlign w:val="bottom"/>
            <w:gridSpan w:val="3"/>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Item 2.</w:t>
              </w:r>
            </w:hyperlink>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16-24</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4"/>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3.</w:t>
              </w:r>
            </w:hyperlink>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20" w:type="dxa"/>
            <w:vAlign w:val="bottom"/>
            <w:gridSpan w:val="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Quantitative and Qualitative Disclosures about Market Risk</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24-25</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4.</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7500" w:type="dxa"/>
            <w:vAlign w:val="bottom"/>
            <w:gridSpan w:val="10"/>
          </w:tcPr>
          <w:p>
            <w:pPr>
              <w:ind w:left="220"/>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3020" w:type="dxa"/>
            <w:vAlign w:val="bottom"/>
          </w:tcPr>
          <w:p>
            <w:pPr>
              <w:spacing w:after="0"/>
              <w:rPr>
                <w:sz w:val="24"/>
                <w:szCs w:val="24"/>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1.</w:t>
              </w:r>
            </w:hyperlink>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5140" w:type="dxa"/>
            <w:vAlign w:val="bottom"/>
            <w:gridSpan w:val="3"/>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18">
              <w:r>
                <w:rPr>
                  <w:rFonts w:ascii="Arial" w:cs="Arial" w:eastAsia="Arial" w:hAnsi="Arial"/>
                  <w:sz w:val="18"/>
                  <w:szCs w:val="18"/>
                  <w:b w:val="1"/>
                  <w:bCs w:val="1"/>
                  <w:color w:val="0000EE"/>
                  <w:w w:val="94"/>
                </w:rPr>
                <w:t>Item 1A.</w:t>
              </w:r>
            </w:hyperlink>
          </w:p>
        </w:tc>
        <w:tc>
          <w:tcPr>
            <w:tcW w:w="2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6000" w:type="dxa"/>
            <w:vAlign w:val="bottom"/>
            <w:gridSpan w:val="5"/>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940" w:type="dxa"/>
            <w:vAlign w:val="bottom"/>
            <w:gridSpan w:val="4"/>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2.</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3600" w:type="dxa"/>
            <w:vAlign w:val="bottom"/>
            <w:tcBorders>
              <w:bottom w:val="single" w:sz="8" w:color="0000EE"/>
            </w:tcBorders>
            <w:gridSpan w:val="5"/>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92"/>
        </w:trPr>
        <w:tc>
          <w:tcPr>
            <w:tcW w:w="94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6.</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60" w:type="dxa"/>
            <w:vAlign w:val="bottom"/>
            <w:gridSpan w:val="6"/>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4"/>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February 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February 3,</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444,661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423,835</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sales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278,844</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277,184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165,817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146,651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119,613</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112,630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2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(4,249)</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2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43,398</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30,086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26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31,396</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19,923</w:t>
            </w:r>
          </w:p>
        </w:tc>
        <w:tc>
          <w:tcPr>
            <w:tcW w:w="16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2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2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Weighted-average number of shares of common stock outstanding — Basic</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58,480</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0"/>
              </w:rPr>
              <w:t>Weighted-average number of shares of common stock outstanding — Diluted</w:t>
            </w: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59,628</w:t>
            </w:r>
          </w:p>
        </w:tc>
        <w:tc>
          <w:tcPr>
            <w:tcW w:w="2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60,947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color w:val="auto"/>
                <w:w w:val="94"/>
              </w:rPr>
              <w:t>See accompanying notes to condensed consolidated financial statements.</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20" w:type="dxa"/>
            <w:vAlign w:val="bottom"/>
          </w:tcPr>
          <w:p>
            <w:pPr>
              <w:jc w:val="right"/>
              <w:ind w:right="23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THE TORO COMPANY AND SUBSIDIARIES Condensed Consolidated Statements of Comprehensive Income (Unaudited)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February 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6"/>
              <w:spacing w:after="0" w:line="119" w:lineRule="exact"/>
              <w:rPr>
                <w:sz w:val="20"/>
                <w:szCs w:val="20"/>
                <w:color w:val="auto"/>
              </w:rPr>
            </w:pPr>
            <w:r>
              <w:rPr>
                <w:rFonts w:ascii="Arial" w:cs="Arial" w:eastAsia="Arial" w:hAnsi="Arial"/>
                <w:sz w:val="13"/>
                <w:szCs w:val="13"/>
                <w:b w:val="1"/>
                <w:bCs w:val="1"/>
                <w:color w:val="auto"/>
              </w:rPr>
              <w:t>February 3,</w:t>
            </w:r>
          </w:p>
        </w:tc>
        <w:tc>
          <w:tcPr>
            <w:tcW w:w="160" w:type="dxa"/>
            <w:vAlign w:val="bottom"/>
            <w:gridSpan w:val="2"/>
          </w:tcPr>
          <w:p>
            <w:pPr>
              <w:spacing w:after="0"/>
              <w:rPr>
                <w:sz w:val="10"/>
                <w:szCs w:val="10"/>
                <w:color w:val="auto"/>
              </w:rPr>
            </w:pPr>
          </w:p>
        </w:tc>
      </w:tr>
      <w:tr>
        <w:trPr>
          <w:trHeight w:val="171"/>
        </w:trPr>
        <w:tc>
          <w:tcPr>
            <w:tcW w:w="662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1,714</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6620" w:type="dxa"/>
            <w:vAlign w:val="bottom"/>
          </w:tcPr>
          <w:p>
            <w:pPr>
              <w:ind w:left="180"/>
              <w:spacing w:after="0"/>
              <w:rPr>
                <w:sz w:val="20"/>
                <w:szCs w:val="20"/>
                <w:color w:val="auto"/>
              </w:rPr>
            </w:pPr>
            <w:r>
              <w:rPr>
                <w:rFonts w:ascii="Arial" w:cs="Arial" w:eastAsia="Arial" w:hAnsi="Arial"/>
                <w:sz w:val="18"/>
                <w:szCs w:val="18"/>
                <w:color w:val="auto"/>
              </w:rPr>
              <w:t>Derivative instruments, net of tax of $(397) and $988, respectively</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(808)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1,685</w:t>
            </w:r>
          </w:p>
        </w:tc>
        <w:tc>
          <w:tcPr>
            <w:tcW w:w="140" w:type="dxa"/>
            <w:vAlign w:val="bottom"/>
          </w:tcPr>
          <w:p>
            <w:pPr>
              <w:spacing w:after="0"/>
              <w:rPr>
                <w:sz w:val="18"/>
                <w:szCs w:val="18"/>
                <w:color w:val="auto"/>
              </w:rPr>
            </w:pPr>
          </w:p>
        </w:tc>
      </w:tr>
      <w:tr>
        <w:trPr>
          <w:trHeight w:val="210"/>
        </w:trPr>
        <w:tc>
          <w:tcPr>
            <w:tcW w:w="6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w:t>
            </w:r>
          </w:p>
        </w:tc>
        <w:tc>
          <w:tcPr>
            <w:tcW w:w="1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Comprehensive income</w:t>
            </w:r>
          </w:p>
        </w:tc>
        <w:tc>
          <w:tcPr>
            <w:tcW w:w="16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32,302</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08" w:right="199" w:bottom="0" w:gutter="0" w:footer="0" w:header="0"/>
          <w:type w:val="continuous"/>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February 1,</w:t>
            </w:r>
          </w:p>
        </w:tc>
        <w:tc>
          <w:tcPr>
            <w:tcW w:w="200" w:type="dxa"/>
            <w:vAlign w:val="bottom"/>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February 3,</w:t>
            </w:r>
          </w:p>
        </w:tc>
        <w:tc>
          <w:tcPr>
            <w:tcW w:w="22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70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60,700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71,804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125,856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180,317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175,498</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335,700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272,474</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25,291</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18,796</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63,878</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61,900</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665,886</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600,472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688,649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662,029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ind w:left="3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515,382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473,758</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502,584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173,267</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188,271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180,523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22,346</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21,305</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92,038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92,064</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30,606</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34,820</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32,065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984,143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937,007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2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2,078</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25,024</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168,334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151,836</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124,806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226,370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427,493</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405,308</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378,122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223,498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223,685</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223,482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10,974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1,368</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7,920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gridSpan w:val="3"/>
          </w:tcPr>
          <w:p>
            <w:pPr>
              <w:spacing w:after="0" w:line="201" w:lineRule="exact"/>
              <w:rPr>
                <w:sz w:val="20"/>
                <w:szCs w:val="20"/>
                <w:color w:val="auto"/>
              </w:rPr>
            </w:pPr>
            <w:r>
              <w:rPr>
                <w:rFonts w:ascii="Arial" w:cs="Arial" w:eastAsia="Arial" w:hAnsi="Arial"/>
                <w:sz w:val="18"/>
                <w:szCs w:val="18"/>
                <w:color w:val="auto"/>
                <w:w w:val="93"/>
              </w:rPr>
              <w:t>Preferred stock, par value $1.00 per share, authorized 1,000,000 voting and 850,000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non-voting shares, none issued and outstanding</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par value $1.00 per share, authorized 100,000,000 shares, issued and</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outstanding 57,854,539 shares as of February 1, 2013, 59,796,724 shares as of</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February 3, 2012, and 58,266,482 shares as of October 31, 2012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57,855</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59,797</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264,056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235,123</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264,110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(9,068)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312,843</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288,729</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312,402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984,143</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937,007</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935,199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7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February 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February 3,</w:t>
            </w:r>
          </w:p>
        </w:tc>
        <w:tc>
          <w:tcPr>
            <w:tcW w:w="160" w:type="dxa"/>
            <w:vAlign w:val="bottom"/>
          </w:tcPr>
          <w:p>
            <w:pPr>
              <w:spacing w:after="0"/>
              <w:rPr>
                <w:sz w:val="10"/>
                <w:szCs w:val="10"/>
                <w:color w:val="auto"/>
              </w:rPr>
            </w:pPr>
          </w:p>
        </w:tc>
      </w:tr>
      <w:tr>
        <w:trPr>
          <w:trHeight w:val="171"/>
        </w:trPr>
        <w:tc>
          <w:tcPr>
            <w:tcW w:w="74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31,396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19,923</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(1,353)</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13,517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12,960</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2,479</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2,597</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deferred income taxes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(32,217)</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(27,888)</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(83,794)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(2,118)</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46,429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29,723</w:t>
            </w:r>
          </w:p>
        </w:tc>
      </w:tr>
      <w:tr>
        <w:trPr>
          <w:trHeight w:val="210"/>
        </w:trPr>
        <w:tc>
          <w:tcPr>
            <w:tcW w:w="74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(23,462)</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(16,312)</w:t>
            </w:r>
          </w:p>
        </w:tc>
        <w:tc>
          <w:tcPr>
            <w:tcW w:w="160" w:type="dxa"/>
            <w:vAlign w:val="bottom"/>
            <w:tcBorders>
              <w:bottom w:val="single" w:sz="8" w:color="CCEEFF"/>
            </w:tcBorders>
          </w:tcPr>
          <w:p>
            <w:pPr>
              <w:spacing w:after="0"/>
              <w:rPr>
                <w:sz w:val="18"/>
                <w:szCs w:val="18"/>
                <w:color w:val="auto"/>
              </w:rPr>
            </w:pPr>
          </w:p>
        </w:tc>
      </w:tr>
      <w:tr>
        <w:trPr>
          <w:trHeight w:val="172"/>
        </w:trPr>
        <w:tc>
          <w:tcPr>
            <w:tcW w:w="7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337"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(3,233)</w:t>
            </w:r>
          </w:p>
        </w:tc>
        <w:tc>
          <w:tcPr>
            <w:tcW w:w="4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to) distributions from finance affiliate, net</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(2,484)</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(14,308)</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(Repayments of) proceeds from short-term debt, net</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w:t>
            </w:r>
          </w:p>
        </w:tc>
        <w:tc>
          <w:tcPr>
            <w:tcW w:w="4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3,442</w:t>
            </w: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3,602</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(33,185)</w:t>
            </w:r>
          </w:p>
        </w:tc>
        <w:tc>
          <w:tcPr>
            <w:tcW w:w="4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(8,198)</w:t>
            </w:r>
          </w:p>
        </w:tc>
        <w:tc>
          <w:tcPr>
            <w:tcW w:w="4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provided by financing activities</w:t>
            </w:r>
          </w:p>
        </w:tc>
        <w:tc>
          <w:tcPr>
            <w:tcW w:w="17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(36,332)</w:t>
            </w:r>
          </w:p>
        </w:tc>
        <w:tc>
          <w:tcPr>
            <w:tcW w:w="2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4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(65,156)</w:t>
            </w:r>
          </w:p>
        </w:tc>
        <w:tc>
          <w:tcPr>
            <w:tcW w:w="4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125,856</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8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76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60,700</w:t>
            </w:r>
          </w:p>
        </w:tc>
        <w:tc>
          <w:tcPr>
            <w:tcW w:w="28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71,804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4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disclosures of cash flow information:</w:t>
            </w:r>
          </w:p>
        </w:tc>
        <w:tc>
          <w:tcPr>
            <w:tcW w:w="17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Long-term debt issued in connection with an acquisition</w:t>
            </w:r>
          </w:p>
        </w:tc>
        <w:tc>
          <w:tcPr>
            <w:tcW w:w="22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three months ended February 1, 2013 cannot be annualized to determine the expected results for the fiscal year ending October 31, 2013.</w:t>
      </w:r>
    </w:p>
    <w:p>
      <w:pPr>
        <w:spacing w:after="0" w:line="178"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2012.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24, 2012, the company announced that its Board of Directors declared a two-for-one stock split of the company’s common stock, effected in the form of a 100 percent stock dividend. The stock split was distributed or paid on June 29, 2012, to shareholders of record as of June 15, 2012. Earnings and dividends declared per share and weighted-average shares outstanding are presented in this report after the effect of the two-for-one stock split. The two-for-one stock split is also reflected in the share amounts in all periods presented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and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ectPr>
          <w:pgSz w:w="11900" w:h="16838" w:orient="portrait"/>
          <w:cols w:equalWidth="0" w:num="1">
            <w:col w:w="11420"/>
          </w:cols>
          <w:pgMar w:left="240" w:top="140" w:right="239" w:bottom="0" w:gutter="0" w:footer="0" w:header="0"/>
        </w:sectPr>
      </w:pPr>
    </w:p>
    <w:bookmarkStart w:id="4" w:name="page5"/>
    <w:bookmarkEnd w:id="4"/>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company’s incentive plan, stock options are granted with an exercise price equal to the closing price of the company’s common stock on the date of grant, as reported by the New York Stock Exchange. Options are generally granted to officers, other employees, and non-employee members of the company’s Board of Directors on an annual basis in the first quarter of the company’s fiscal year. Options generally vest one-third each year over a three-year period and have a ten-year term. Other options granted to certain non-officer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66" w:lineRule="exact"/>
        <w:rPr>
          <w:sz w:val="20"/>
          <w:szCs w:val="20"/>
          <w:color w:val="auto"/>
        </w:rPr>
      </w:pPr>
    </w:p>
    <w:p>
      <w:pPr>
        <w:ind w:right="180" w:firstLine="270"/>
        <w:spacing w:after="0" w:line="271"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cash dividends paid, expected future cash dividends, and expected changes in the company’s stock price.</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illustrates the assumptions for options granted in the following fiscal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080" w:type="dxa"/>
            <w:vAlign w:val="bottom"/>
            <w:gridSpan w:val="2"/>
          </w:tcPr>
          <w:p>
            <w:pPr>
              <w:ind w:left="560"/>
              <w:spacing w:after="0"/>
              <w:rPr>
                <w:sz w:val="20"/>
                <w:szCs w:val="20"/>
                <w:color w:val="auto"/>
              </w:rPr>
            </w:pPr>
            <w:r>
              <w:rPr>
                <w:rFonts w:ascii="Arial" w:cs="Arial" w:eastAsia="Arial" w:hAnsi="Arial"/>
                <w:sz w:val="14"/>
                <w:szCs w:val="14"/>
                <w:b w:val="1"/>
                <w:bCs w:val="1"/>
                <w:color w:val="auto"/>
              </w:rPr>
              <w:t>Fiscal 2013</w:t>
            </w:r>
          </w:p>
        </w:tc>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Fiscal 2012</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volatility</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35.18% - 35.19%</w:t>
            </w:r>
          </w:p>
        </w:tc>
        <w:tc>
          <w:tcPr>
            <w:tcW w:w="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34.87% - 35.02%</w:t>
            </w:r>
          </w:p>
        </w:tc>
        <w:tc>
          <w:tcPr>
            <w:tcW w:w="2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35.19%</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35.01%</w:t>
            </w:r>
          </w:p>
        </w:tc>
        <w:tc>
          <w:tcPr>
            <w:tcW w:w="2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0.88%</w:t>
            </w:r>
          </w:p>
        </w:tc>
        <w:tc>
          <w:tcPr>
            <w:tcW w:w="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1.20%</w:t>
            </w:r>
          </w:p>
        </w:tc>
        <w:tc>
          <w:tcPr>
            <w:tcW w:w="2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1.04% - 1.07%</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1.31% - 1.40%</w:t>
            </w:r>
          </w:p>
        </w:tc>
        <w:tc>
          <w:tcPr>
            <w:tcW w:w="2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1.07%</w:t>
            </w:r>
          </w:p>
        </w:tc>
        <w:tc>
          <w:tcPr>
            <w:tcW w:w="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1.32%</w:t>
            </w:r>
          </w:p>
        </w:tc>
        <w:tc>
          <w:tcPr>
            <w:tcW w:w="2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Grant date weighted-average fair value</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$13.03</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$8.56</w:t>
            </w:r>
          </w:p>
        </w:tc>
        <w:tc>
          <w:tcPr>
            <w:tcW w:w="2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will vest at the end of a three-year period. Performance share awards are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fair value of performance share awards granted during the first quarter of each of fiscal 2013 and 2012 was $42.06 and $28.24,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Under the company’s incentive plan, restricted stock and restricted stock unit awards are generally granted to certain non-officer employees. Occasionally, restricted stock or restricted stock unit awards may be granted in connection with hiring, mid-year promotions, leadership transition, or retention. Beginning in fiscal 2013, the company granted restricted stock unit awards. Restricted stock and restricted stock unit awards generally vest one-third each year over a three-year period or vest in full on the three-year anniversary of the date of grant.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and restricted stock unit awards granted during the first quarter of fiscal 2013 and 2012 was $42.06 and $28.29,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80" w:type="dxa"/>
            <w:vAlign w:val="bottom"/>
            <w:gridSpan w:val="4"/>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5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6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February 1,</w:t>
            </w:r>
          </w:p>
        </w:tc>
        <w:tc>
          <w:tcPr>
            <w:tcW w:w="136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February 3,</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gridSpan w:val="4"/>
            <w:vMerge w:val="continue"/>
          </w:tcPr>
          <w:p>
            <w:pPr>
              <w:spacing w:after="0"/>
              <w:rPr>
                <w:sz w:val="14"/>
                <w:szCs w:val="14"/>
                <w:color w:val="auto"/>
              </w:rPr>
            </w:pPr>
          </w:p>
        </w:tc>
        <w:tc>
          <w:tcPr>
            <w:tcW w:w="1360" w:type="dxa"/>
            <w:vAlign w:val="bottom"/>
          </w:tcPr>
          <w:p>
            <w:pPr>
              <w:jc w:val="right"/>
              <w:ind w:right="460"/>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360" w:type="dxa"/>
            <w:vAlign w:val="bottom"/>
          </w:tcPr>
          <w:p>
            <w:pPr>
              <w:jc w:val="right"/>
              <w:ind w:right="45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4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3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Weighted-average number of shares of common stock</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58,385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3"/>
          </w:tcPr>
          <w:p>
            <w:pPr>
              <w:spacing w:after="0" w:line="182" w:lineRule="exact"/>
              <w:rPr>
                <w:sz w:val="20"/>
                <w:szCs w:val="20"/>
                <w:color w:val="auto"/>
              </w:rPr>
            </w:pPr>
            <w:r>
              <w:rPr>
                <w:rFonts w:ascii="Arial" w:cs="Arial" w:eastAsia="Arial" w:hAnsi="Arial"/>
                <w:sz w:val="18"/>
                <w:szCs w:val="18"/>
                <w:color w:val="auto"/>
                <w:w w:val="95"/>
              </w:rPr>
              <w:t>Weighted-average number of shares of common stock and assumed issuance</w:t>
            </w:r>
          </w:p>
        </w:tc>
        <w:tc>
          <w:tcPr>
            <w:tcW w:w="16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58,480</w:t>
            </w: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59,986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tcPr>
          <w:p>
            <w:pPr>
              <w:ind w:left="160"/>
              <w:spacing w:after="0"/>
              <w:rPr>
                <w:sz w:val="20"/>
                <w:szCs w:val="20"/>
                <w:color w:val="auto"/>
              </w:rPr>
            </w:pPr>
            <w:r>
              <w:rPr>
                <w:rFonts w:ascii="Arial" w:cs="Arial" w:eastAsia="Arial" w:hAnsi="Arial"/>
                <w:sz w:val="18"/>
                <w:szCs w:val="18"/>
                <w:color w:val="auto"/>
              </w:rPr>
              <w:t>of contingent shares</w:t>
            </w:r>
          </w:p>
        </w:tc>
        <w:tc>
          <w:tcPr>
            <w:tcW w:w="166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-7620</wp:posOffset>
            </wp:positionV>
            <wp:extent cx="1912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u w:val="single" w:color="auto"/>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75" w:orient="portrait"/>
          <w:cols w:equalWidth="0" w:num="1">
            <w:col w:w="11400"/>
          </w:cols>
          <w:pgMar w:left="240" w:top="125" w:right="25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20"/>
                <w:szCs w:val="20"/>
                <w:color w:val="auto"/>
              </w:rPr>
            </w:pPr>
            <w:r>
              <w:rPr>
                <w:rFonts w:ascii="Arial" w:cs="Arial" w:eastAsia="Arial" w:hAnsi="Arial"/>
                <w:sz w:val="18"/>
                <w:szCs w:val="18"/>
                <w:color w:val="auto"/>
                <w:w w:val="95"/>
              </w:rPr>
              <w:t>Weighted-average number of shares of common stock and assumed issuance</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58,480</w:t>
            </w:r>
          </w:p>
        </w:tc>
        <w:tc>
          <w:tcPr>
            <w:tcW w:w="1360" w:type="dxa"/>
            <w:vAlign w:val="bottom"/>
          </w:tcPr>
          <w:p>
            <w:pPr>
              <w:jc w:val="right"/>
              <w:spacing w:after="0"/>
              <w:rPr>
                <w:sz w:val="20"/>
                <w:szCs w:val="20"/>
                <w:color w:val="auto"/>
              </w:rPr>
            </w:pPr>
            <w:r>
              <w:rPr>
                <w:rFonts w:ascii="Arial" w:cs="Arial" w:eastAsia="Arial" w:hAnsi="Arial"/>
                <w:sz w:val="18"/>
                <w:szCs w:val="18"/>
                <w:color w:val="auto"/>
              </w:rPr>
              <w:t>59,986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of contingent shares</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line="201" w:lineRule="exact"/>
              <w:rPr>
                <w:sz w:val="20"/>
                <w:szCs w:val="20"/>
                <w:color w:val="auto"/>
              </w:rPr>
            </w:pPr>
            <w:r>
              <w:rPr>
                <w:rFonts w:ascii="Arial" w:cs="Arial" w:eastAsia="Arial" w:hAnsi="Arial"/>
                <w:sz w:val="18"/>
                <w:szCs w:val="18"/>
                <w:color w:val="auto"/>
                <w:w w:val="97"/>
              </w:rPr>
              <w:t>Weighted-average number of shares of common stock, assumed issuance of</w:t>
            </w: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60" w:type="dxa"/>
            <w:vAlign w:val="bottom"/>
            <w:vMerge w:val="continue"/>
          </w:tcPr>
          <w:p>
            <w:pPr>
              <w:spacing w:after="0"/>
              <w:rPr>
                <w:sz w:val="15"/>
                <w:szCs w:val="15"/>
                <w:color w:val="auto"/>
              </w:rPr>
            </w:pPr>
          </w:p>
        </w:tc>
        <w:tc>
          <w:tcPr>
            <w:tcW w:w="16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59,628</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60,947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960" w:type="dxa"/>
            <w:vAlign w:val="bottom"/>
          </w:tcPr>
          <w:p>
            <w:pPr>
              <w:ind w:left="180"/>
              <w:spacing w:after="0"/>
              <w:rPr>
                <w:sz w:val="20"/>
                <w:szCs w:val="20"/>
                <w:color w:val="auto"/>
              </w:rPr>
            </w:pPr>
            <w:r>
              <w:rPr>
                <w:rFonts w:ascii="Arial" w:cs="Arial" w:eastAsia="Arial" w:hAnsi="Arial"/>
                <w:sz w:val="18"/>
                <w:szCs w:val="18"/>
                <w:color w:val="auto"/>
              </w:rPr>
              <w:t>contingent shares, and effect of dilutive securities</w:t>
            </w:r>
          </w:p>
        </w:tc>
        <w:tc>
          <w:tcPr>
            <w:tcW w:w="166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285"/>
        <w:spacing w:after="0" w:line="264" w:lineRule="auto"/>
        <w:rPr>
          <w:sz w:val="20"/>
          <w:szCs w:val="20"/>
          <w:color w:val="auto"/>
        </w:rPr>
      </w:pPr>
      <w:r>
        <w:rPr>
          <w:rFonts w:ascii="Arial" w:cs="Arial" w:eastAsia="Arial" w:hAnsi="Arial"/>
          <w:sz w:val="18"/>
          <w:szCs w:val="18"/>
          <w:color w:val="auto"/>
        </w:rPr>
        <w:t>Options to purchase an aggregate of 232,231 and 682,732 shares of common stock outstanding as of February 1, 2013 and February 3, 2012, respectively, were excluded from the diluted net earnings per share calculations because their exercise prices were greater than the average market price of the company’s common stock during the same respective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February 1,</w:t>
            </w:r>
          </w:p>
        </w:tc>
        <w:tc>
          <w:tcPr>
            <w:tcW w:w="20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February 3,</w:t>
            </w:r>
          </w:p>
        </w:tc>
        <w:tc>
          <w:tcPr>
            <w:tcW w:w="22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35"/>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35"/>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35"/>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98,379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91,465</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Finished goods and service parts</w:t>
            </w: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301,128</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231,879</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223,459</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399,507</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333,475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314,924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Less: adjustment to LIFO value</w:t>
            </w: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63,807</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61,001</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63,807</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quarter of fiscal 2013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Residential</w:t>
            </w:r>
          </w:p>
        </w:tc>
        <w:tc>
          <w:tcPr>
            <w:tcW w:w="300" w:type="dxa"/>
            <w:vAlign w:val="bottom"/>
          </w:tcPr>
          <w:p>
            <w:pPr>
              <w:spacing w:after="0"/>
              <w:rPr>
                <w:sz w:val="14"/>
                <w:szCs w:val="14"/>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1, 2013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February 1, 2013</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6,308</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(3,872)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8,289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27,713</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(11,002)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(28,493)</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4,881</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October 31, 2012</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24"/>
                <w:szCs w:val="2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24"/>
                <w:szCs w:val="2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24"/>
                <w:szCs w:val="24"/>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6,303</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(3,656)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8,312</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27,727</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(10,196)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17,531</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4,881</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59,131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270"/>
        <w:spacing w:after="0" w:line="264" w:lineRule="auto"/>
        <w:rPr>
          <w:sz w:val="20"/>
          <w:szCs w:val="20"/>
          <w:color w:val="auto"/>
        </w:rPr>
      </w:pPr>
      <w:r>
        <w:rPr>
          <w:rFonts w:ascii="Arial" w:cs="Arial" w:eastAsia="Arial" w:hAnsi="Arial"/>
          <w:sz w:val="18"/>
          <w:szCs w:val="18"/>
          <w:color w:val="auto"/>
        </w:rPr>
        <w:t>Amortization expense for intangible assets during the first quarter of fiscal 2013 was $1.5 million. Estimated amortization expense for the remainder of fiscal 2013 and succeeding fiscal years is as follows: fiscal 2013 (remainder), $4.3 million; fiscal 2014, $5.3 million; fiscal 2015, $5.1 million; fiscal 2016, $4.6 million; fiscal 2017, $3.7 million; fiscal 2018, $1.7 million; and after fiscal 2018, $1.0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ectPr>
          <w:pgSz w:w="11900" w:h="16838" w:orient="portrait"/>
          <w:cols w:equalWidth="0" w:num="1">
            <w:col w:w="11460"/>
          </w:cols>
          <w:pgMar w:left="240" w:top="125" w:right="199" w:bottom="63"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In fiscal 2012, the company and TCFIF entered into amendments to certain of the agreements pertaining to Red Iron, among other things, to extend the initial term of Red Iron until October 31, 2017, subject to unlimited automatic two-year extensions thereafter. Either the company or TCFIF may elect not to extend the initial term or any subsequent term by giving one-year notice to the other party of its intention not to extend the term. Additionally, in connection with the joint venture, the company and an affiliate of TCFIF entered into an arrangement to provide inventory financing to dealers of the company’s products in Canada.</w:t>
      </w:r>
    </w:p>
    <w:p>
      <w:pPr>
        <w:spacing w:after="0" w:line="167"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February 1, 2013 was $16.4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$0.3 million as of February 1, 2013.</w:t>
      </w:r>
    </w:p>
    <w:p>
      <w:pPr>
        <w:spacing w:after="0" w:line="179"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Under the repurchase agreement between Red Iron and the company, Red Iron provides financing for certain dealers and distributors. These transactions are structured as an advance in the form of a payment by Red Iron to the company on behalf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three months ended February 1, 2013 and February 3, 2012 was $270.9 million and $215.8 million, respectively.</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January 31, 2013, Red Iron’s total assets were $328.0 million and total liabilities were $291.6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sells extended warranty coverage on select products for a prescribed period after the factory warranty period expires.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Warranty provisions, claims, changes in estimates, and additions from acquisitions for the first quarter of each of fiscal 2013 and 2012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February 1,</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February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Warranty provisions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8,690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Changes in estimates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Addition from an acquisition</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Ending balance</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71,339</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Arial" w:cs="Arial" w:eastAsia="Arial" w:hAnsi="Arial"/>
                <w:sz w:val="14"/>
                <w:szCs w:val="14"/>
                <w:b w:val="1"/>
                <w:bCs w:val="1"/>
                <w:color w:val="auto"/>
              </w:rPr>
              <w:t>Three months ended February 1, 2013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329,144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120,947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444,661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15,455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(15,539)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43,398</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592,554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229,252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162,337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984,143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940" w:type="dxa"/>
            <w:vAlign w:val="bottom"/>
          </w:tcPr>
          <w:p>
            <w:pPr>
              <w:spacing w:after="0"/>
              <w:rPr>
                <w:sz w:val="20"/>
                <w:szCs w:val="20"/>
                <w:color w:val="auto"/>
              </w:rPr>
            </w:pPr>
            <w:r>
              <w:rPr>
                <w:rFonts w:ascii="Arial" w:cs="Arial" w:eastAsia="Arial" w:hAnsi="Arial"/>
                <w:sz w:val="14"/>
                <w:szCs w:val="14"/>
                <w:b w:val="1"/>
                <w:bCs w:val="1"/>
                <w:color w:val="auto"/>
              </w:rPr>
              <w:t>Three months ended February 3, 2012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423,835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30,086</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522,726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223,583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190,698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937,007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0" w:gutter="0" w:footer="0" w:header="0"/>
        </w:sectPr>
      </w:pPr>
    </w:p>
    <w:bookmarkStart w:id="7" w:name="page8"/>
    <w:bookmarkEnd w:id="7"/>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February 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February 3,</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(4,249)</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(3,561)</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(29,494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(24,613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and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has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foreign currency exchange rate exposures are with the Euro, the Australian dollar, the Canadian dollar, the British pound, the Mexican peso, the Japanese yen, the Chinese Yuan, and the Romanian New Leu against the U.S. dollar, as well as the Romanian New Leu against the Euro.</w:t>
      </w:r>
    </w:p>
    <w:p>
      <w:pPr>
        <w:spacing w:after="0" w:line="18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69" w:lineRule="exact"/>
        <w:rPr>
          <w:sz w:val="20"/>
          <w:szCs w:val="20"/>
          <w:color w:val="auto"/>
        </w:rPr>
      </w:pPr>
    </w:p>
    <w:p>
      <w:pPr>
        <w:ind w:firstLine="252"/>
        <w:spacing w:after="0" w:line="268" w:lineRule="auto"/>
        <w:rPr>
          <w:sz w:val="20"/>
          <w:szCs w:val="20"/>
          <w:color w:val="auto"/>
        </w:rPr>
      </w:pPr>
      <w:r>
        <w:rPr>
          <w:rFonts w:ascii="Arial" w:cs="Arial" w:eastAsia="Arial" w:hAnsi="Arial"/>
          <w:sz w:val="17"/>
          <w:szCs w:val="17"/>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 recognizing future changes in the fair value in other income, net. For the first quarter of fiscal 2013, there were no gains or losses on contracts reclassified into earnings as a result of the discontinuance of cash flow hedges. As of February 1, 2013, the notional amount outstanding of forward contracts designated as cash flow hedges was $63.9 million. Additionally, the company has one cross currency interest rate swap instrument outstanding as of February 1, 2013 for a fixed pay notional of 36.6 million Romanian New Leu and receive floating notional of 8.5 million Euro.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Liability Derivatives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February 1, 2013</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February 3, 2012</w:t>
            </w: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Borders>
              <w:bottom w:val="single" w:sz="8" w:color="auto"/>
            </w:tcBorders>
            <w:gridSpan w:val="3"/>
          </w:tcPr>
          <w:p>
            <w:pPr>
              <w:ind w:left="600"/>
              <w:spacing w:after="0" w:line="129" w:lineRule="exact"/>
              <w:rPr>
                <w:sz w:val="20"/>
                <w:szCs w:val="20"/>
                <w:color w:val="auto"/>
              </w:rPr>
            </w:pPr>
            <w:r>
              <w:rPr>
                <w:rFonts w:ascii="Arial" w:cs="Arial" w:eastAsia="Arial" w:hAnsi="Arial"/>
                <w:sz w:val="13"/>
                <w:szCs w:val="13"/>
                <w:b w:val="1"/>
                <w:bCs w:val="1"/>
                <w:color w:val="auto"/>
                <w:w w:val="93"/>
              </w:rPr>
              <w:t>February 1, 2013</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February 3, 2012</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Balance</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5"/>
              </w:rPr>
              <w:t>Balance</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Balance</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Balance</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Sheet</w:t>
            </w:r>
          </w:p>
        </w:tc>
        <w:tc>
          <w:tcPr>
            <w:tcW w:w="160" w:type="dxa"/>
            <w:vAlign w:val="bottom"/>
          </w:tcPr>
          <w:p>
            <w:pPr>
              <w:spacing w:after="0"/>
              <w:rPr>
                <w:sz w:val="11"/>
                <w:szCs w:val="11"/>
                <w:color w:val="auto"/>
              </w:rPr>
            </w:pPr>
          </w:p>
        </w:tc>
        <w:tc>
          <w:tcPr>
            <w:tcW w:w="6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4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78"/>
              </w:rPr>
              <w:t>Sheet</w:t>
            </w:r>
          </w:p>
        </w:tc>
        <w:tc>
          <w:tcPr>
            <w:tcW w:w="140" w:type="dxa"/>
            <w:vAlign w:val="bottom"/>
          </w:tcPr>
          <w:p>
            <w:pPr>
              <w:spacing w:after="0"/>
              <w:rPr>
                <w:sz w:val="11"/>
                <w:szCs w:val="11"/>
                <w:color w:val="auto"/>
              </w:rPr>
            </w:pPr>
          </w:p>
        </w:tc>
        <w:tc>
          <w:tcPr>
            <w:tcW w:w="7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Fair</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8"/>
              </w:rPr>
              <w:t>Sheet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Sheet</w:t>
            </w:r>
          </w:p>
        </w:tc>
        <w:tc>
          <w:tcPr>
            <w:tcW w:w="120" w:type="dxa"/>
            <w:vAlign w:val="bottom"/>
          </w:tcPr>
          <w:p>
            <w:pPr>
              <w:spacing w:after="0"/>
              <w:rPr>
                <w:sz w:val="11"/>
                <w:szCs w:val="11"/>
                <w:color w:val="auto"/>
              </w:rPr>
            </w:pPr>
          </w:p>
        </w:tc>
        <w:tc>
          <w:tcPr>
            <w:tcW w:w="6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2360" w:type="dxa"/>
            <w:vAlign w:val="bottom"/>
            <w:gridSpan w:val="3"/>
          </w:tcPr>
          <w:p>
            <w:pPr>
              <w:spacing w:after="0"/>
              <w:rPr>
                <w:sz w:val="20"/>
                <w:szCs w:val="20"/>
                <w:color w:val="auto"/>
              </w:rPr>
            </w:pPr>
            <w:r>
              <w:rPr>
                <w:rFonts w:ascii="Arial" w:cs="Arial" w:eastAsia="Arial" w:hAnsi="Arial"/>
                <w:sz w:val="13"/>
                <w:szCs w:val="13"/>
                <w:b w:val="1"/>
                <w:bCs w:val="1"/>
                <w:color w:val="auto"/>
              </w:rPr>
              <w:t>(Dollars in thousands)</w:t>
            </w:r>
          </w:p>
        </w:tc>
        <w:tc>
          <w:tcPr>
            <w:tcW w:w="14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Location</w:t>
            </w:r>
          </w:p>
        </w:tc>
        <w:tc>
          <w:tcPr>
            <w:tcW w:w="160" w:type="dxa"/>
            <w:vAlign w:val="bottom"/>
          </w:tcPr>
          <w:p>
            <w:pPr>
              <w:spacing w:after="0"/>
              <w:rPr>
                <w:sz w:val="13"/>
                <w:szCs w:val="13"/>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3"/>
                <w:szCs w:val="13"/>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Location</w:t>
            </w:r>
          </w:p>
        </w:tc>
        <w:tc>
          <w:tcPr>
            <w:tcW w:w="140" w:type="dxa"/>
            <w:vAlign w:val="bottom"/>
          </w:tcPr>
          <w:p>
            <w:pPr>
              <w:spacing w:after="0"/>
              <w:rPr>
                <w:sz w:val="13"/>
                <w:szCs w:val="13"/>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Value</w:t>
            </w:r>
          </w:p>
        </w:tc>
        <w:tc>
          <w:tcPr>
            <w:tcW w:w="8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Location</w:t>
            </w:r>
          </w:p>
        </w:tc>
        <w:tc>
          <w:tcPr>
            <w:tcW w:w="12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34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Derivatives Designated as Hedging</w:t>
            </w: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Instruments</w:t>
            </w: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Forward currency contracts</w:t>
            </w:r>
          </w:p>
        </w:tc>
        <w:tc>
          <w:tcPr>
            <w:tcW w:w="1420" w:type="dxa"/>
            <w:vAlign w:val="bottom"/>
            <w:gridSpan w:val="2"/>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1,119</w:t>
            </w:r>
          </w:p>
        </w:tc>
        <w:tc>
          <w:tcPr>
            <w:tcW w:w="1520" w:type="dxa"/>
            <w:vAlign w:val="bottom"/>
            <w:gridSpan w:val="3"/>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90"/>
              </w:rPr>
              <w:t>Prepaid expenses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1,471</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3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2,508</w:t>
            </w:r>
          </w:p>
        </w:tc>
        <w:tc>
          <w:tcPr>
            <w:tcW w:w="150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Cross currency swaps</w:t>
            </w:r>
          </w:p>
        </w:tc>
        <w:tc>
          <w:tcPr>
            <w:tcW w:w="1420" w:type="dxa"/>
            <w:vAlign w:val="bottom"/>
            <w:gridSpan w:val="2"/>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c>
          <w:tcPr>
            <w:tcW w:w="80" w:type="dxa"/>
            <w:vAlign w:val="bottom"/>
          </w:tcPr>
          <w:p>
            <w:pPr>
              <w:spacing w:after="0"/>
              <w:rPr>
                <w:sz w:val="11"/>
                <w:szCs w:val="11"/>
                <w:color w:val="auto"/>
              </w:rPr>
            </w:pPr>
          </w:p>
        </w:tc>
        <w:tc>
          <w:tcPr>
            <w:tcW w:w="1520" w:type="dxa"/>
            <w:vAlign w:val="bottom"/>
            <w:gridSpan w:val="3"/>
          </w:tcPr>
          <w:p>
            <w:pPr>
              <w:jc w:val="right"/>
              <w:ind w:right="560"/>
              <w:spacing w:after="0" w:line="135" w:lineRule="exact"/>
              <w:rPr>
                <w:sz w:val="20"/>
                <w:szCs w:val="20"/>
                <w:color w:val="auto"/>
              </w:rPr>
            </w:pPr>
            <w:r>
              <w:rPr>
                <w:rFonts w:ascii="Arial" w:cs="Arial" w:eastAsia="Arial" w:hAnsi="Arial"/>
                <w:sz w:val="13"/>
                <w:szCs w:val="13"/>
                <w:color w:val="auto"/>
                <w:w w:val="90"/>
              </w:rPr>
              <w:t>Prepaid expenses</w:t>
            </w:r>
          </w:p>
        </w:tc>
        <w:tc>
          <w:tcPr>
            <w:tcW w:w="14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Accrued liabilities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50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8" w:name="page9"/>
    <w:bookmarkEnd w:id="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Derivatives Not Designated as Hedging</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860" w:type="dxa"/>
            <w:vAlign w:val="bottom"/>
          </w:tcPr>
          <w:p>
            <w:pPr>
              <w:ind w:left="160"/>
              <w:spacing w:after="0" w:line="139" w:lineRule="exact"/>
              <w:rPr>
                <w:sz w:val="20"/>
                <w:szCs w:val="20"/>
                <w:color w:val="auto"/>
              </w:rPr>
            </w:pPr>
            <w:r>
              <w:rPr>
                <w:rFonts w:ascii="Arial" w:cs="Arial" w:eastAsia="Arial" w:hAnsi="Arial"/>
                <w:sz w:val="13"/>
                <w:szCs w:val="13"/>
                <w:b w:val="1"/>
                <w:bCs w:val="1"/>
                <w:color w:val="auto"/>
              </w:rPr>
              <w:t>Instruments</w:t>
            </w: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60" w:type="dxa"/>
            <w:vAlign w:val="bottom"/>
          </w:tcPr>
          <w:p>
            <w:pPr>
              <w:spacing w:after="0" w:line="135" w:lineRule="exact"/>
              <w:rPr>
                <w:sz w:val="20"/>
                <w:szCs w:val="20"/>
                <w:color w:val="auto"/>
              </w:rPr>
            </w:pPr>
            <w:r>
              <w:rPr>
                <w:rFonts w:ascii="Arial" w:cs="Arial" w:eastAsia="Arial" w:hAnsi="Arial"/>
                <w:sz w:val="13"/>
                <w:szCs w:val="13"/>
                <w:color w:val="auto"/>
              </w:rPr>
              <w:t>Forward currency contracts</w:t>
            </w:r>
          </w:p>
        </w:tc>
        <w:tc>
          <w:tcPr>
            <w:tcW w:w="214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Prepaid expenses</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99</w:t>
            </w:r>
          </w:p>
        </w:tc>
        <w:tc>
          <w:tcPr>
            <w:tcW w:w="80" w:type="dxa"/>
            <w:vAlign w:val="bottom"/>
          </w:tcPr>
          <w:p>
            <w:pPr>
              <w:spacing w:after="0"/>
              <w:rPr>
                <w:sz w:val="11"/>
                <w:szCs w:val="11"/>
                <w:color w:val="auto"/>
              </w:rPr>
            </w:pPr>
          </w:p>
        </w:tc>
        <w:tc>
          <w:tcPr>
            <w:tcW w:w="1520" w:type="dxa"/>
            <w:vAlign w:val="bottom"/>
          </w:tcPr>
          <w:p>
            <w:pPr>
              <w:ind w:left="100"/>
              <w:spacing w:after="0" w:line="135" w:lineRule="exact"/>
              <w:rPr>
                <w:sz w:val="20"/>
                <w:szCs w:val="20"/>
                <w:color w:val="auto"/>
              </w:rPr>
            </w:pPr>
            <w:r>
              <w:rPr>
                <w:rFonts w:ascii="Arial" w:cs="Arial" w:eastAsia="Arial" w:hAnsi="Arial"/>
                <w:sz w:val="13"/>
                <w:szCs w:val="13"/>
                <w:color w:val="auto"/>
              </w:rPr>
              <w:t>Prepaid expenses</w:t>
            </w:r>
          </w:p>
        </w:tc>
        <w:tc>
          <w:tcPr>
            <w:tcW w:w="240" w:type="dxa"/>
            <w:vAlign w:val="bottom"/>
          </w:tcPr>
          <w:p>
            <w:pPr>
              <w:spacing w:after="0"/>
              <w:rPr>
                <w:sz w:val="11"/>
                <w:szCs w:val="11"/>
                <w:color w:val="auto"/>
              </w:rPr>
            </w:pP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676</w:t>
            </w:r>
          </w:p>
        </w:tc>
        <w:tc>
          <w:tcPr>
            <w:tcW w:w="1260" w:type="dxa"/>
            <w:vAlign w:val="bottom"/>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1,494</w:t>
            </w:r>
          </w:p>
        </w:tc>
        <w:tc>
          <w:tcPr>
            <w:tcW w:w="1500" w:type="dxa"/>
            <w:vAlign w:val="bottom"/>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26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Cross currency swaps</w:t>
            </w:r>
          </w:p>
        </w:tc>
        <w:tc>
          <w:tcPr>
            <w:tcW w:w="214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Prepaid expenses</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Prepaid expenses</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144</w:t>
            </w:r>
          </w:p>
        </w:tc>
        <w:tc>
          <w:tcPr>
            <w:tcW w:w="15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2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Derivatives</w:t>
            </w:r>
          </w:p>
        </w:tc>
        <w:tc>
          <w:tcPr>
            <w:tcW w:w="21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1,255</w:t>
            </w:r>
          </w:p>
        </w:tc>
        <w:tc>
          <w:tcPr>
            <w:tcW w:w="15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2,147</w:t>
            </w:r>
          </w:p>
        </w:tc>
        <w:tc>
          <w:tcPr>
            <w:tcW w:w="12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4,146</w:t>
            </w:r>
          </w:p>
        </w:tc>
        <w:tc>
          <w:tcPr>
            <w:tcW w:w="15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three months ended February 1, 2013 and February 3, 2012,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 of Gain (Loss)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6"/>
              </w:rPr>
              <w:t>Gain (Loss)</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Location of Gain</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4"/>
          </w:tcPr>
          <w:p>
            <w:pPr>
              <w:jc w:val="center"/>
              <w:ind w:left="158"/>
              <w:spacing w:after="0" w:line="135" w:lineRule="exact"/>
              <w:rPr>
                <w:sz w:val="20"/>
                <w:szCs w:val="20"/>
                <w:color w:val="auto"/>
              </w:rPr>
            </w:pPr>
            <w:r>
              <w:rPr>
                <w:rFonts w:ascii="Arial" w:cs="Arial" w:eastAsia="Arial" w:hAnsi="Arial"/>
                <w:sz w:val="13"/>
                <w:szCs w:val="13"/>
                <w:b w:val="1"/>
                <w:bCs w:val="1"/>
                <w:color w:val="auto"/>
                <w:w w:val="89"/>
              </w:rPr>
              <w:t>Gain (Loss)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80" w:type="dxa"/>
            <w:vAlign w:val="bottom"/>
          </w:tcPr>
          <w:p>
            <w:pPr>
              <w:spacing w:after="0"/>
              <w:rPr>
                <w:sz w:val="11"/>
                <w:szCs w:val="11"/>
                <w:color w:val="auto"/>
              </w:rPr>
            </w:pPr>
          </w:p>
        </w:tc>
        <w:tc>
          <w:tcPr>
            <w:tcW w:w="1440" w:type="dxa"/>
            <w:vAlign w:val="bottom"/>
            <w:gridSpan w:val="3"/>
          </w:tcPr>
          <w:p>
            <w:pPr>
              <w:jc w:val="center"/>
              <w:ind w:left="118"/>
              <w:spacing w:after="0" w:line="135" w:lineRule="exact"/>
              <w:rPr>
                <w:sz w:val="20"/>
                <w:szCs w:val="20"/>
                <w:color w:val="auto"/>
              </w:rPr>
            </w:pPr>
            <w:r>
              <w:rPr>
                <w:rFonts w:ascii="Arial" w:cs="Arial" w:eastAsia="Arial" w:hAnsi="Arial"/>
                <w:sz w:val="13"/>
                <w:szCs w:val="13"/>
                <w:b w:val="1"/>
                <w:bCs w:val="1"/>
                <w:color w:val="auto"/>
                <w:w w:val="86"/>
              </w:rPr>
              <w:t>Gain (Loss)</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4"/>
          </w:tcPr>
          <w:p>
            <w:pPr>
              <w:jc w:val="center"/>
              <w:ind w:left="158"/>
              <w:spacing w:after="0" w:line="135" w:lineRule="exact"/>
              <w:rPr>
                <w:sz w:val="20"/>
                <w:szCs w:val="20"/>
                <w:color w:val="auto"/>
              </w:rPr>
            </w:pPr>
            <w:r>
              <w:rPr>
                <w:rFonts w:ascii="Arial" w:cs="Arial" w:eastAsia="Arial" w:hAnsi="Arial"/>
                <w:sz w:val="13"/>
                <w:szCs w:val="13"/>
                <w:b w:val="1"/>
                <w:bCs w:val="1"/>
                <w:color w:val="auto"/>
                <w:w w:val="89"/>
              </w:rPr>
              <w:t>Recognized in OCI 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from AOCL</w:t>
            </w:r>
          </w:p>
        </w:tc>
        <w:tc>
          <w:tcPr>
            <w:tcW w:w="80" w:type="dxa"/>
            <w:vAlign w:val="bottom"/>
          </w:tcPr>
          <w:p>
            <w:pPr>
              <w:spacing w:after="0"/>
              <w:rPr>
                <w:sz w:val="11"/>
                <w:szCs w:val="11"/>
                <w:color w:val="auto"/>
              </w:rPr>
            </w:pPr>
          </w:p>
        </w:tc>
        <w:tc>
          <w:tcPr>
            <w:tcW w:w="1440" w:type="dxa"/>
            <w:vAlign w:val="bottom"/>
            <w:gridSpan w:val="3"/>
          </w:tcPr>
          <w:p>
            <w:pPr>
              <w:jc w:val="center"/>
              <w:ind w:left="118"/>
              <w:spacing w:after="0" w:line="135" w:lineRule="exact"/>
              <w:rPr>
                <w:sz w:val="20"/>
                <w:szCs w:val="20"/>
                <w:color w:val="auto"/>
              </w:rPr>
            </w:pPr>
            <w:r>
              <w:rPr>
                <w:rFonts w:ascii="Arial" w:cs="Arial" w:eastAsia="Arial" w:hAnsi="Arial"/>
                <w:sz w:val="13"/>
                <w:szCs w:val="13"/>
                <w:b w:val="1"/>
                <w:bCs w:val="1"/>
                <w:color w:val="auto"/>
                <w:w w:val="86"/>
              </w:rPr>
              <w:t>Reclassified from</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(Ineffective Portion</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4"/>
          </w:tcPr>
          <w:p>
            <w:pPr>
              <w:jc w:val="center"/>
              <w:ind w:left="158"/>
              <w:spacing w:after="0" w:line="135" w:lineRule="exact"/>
              <w:rPr>
                <w:sz w:val="20"/>
                <w:szCs w:val="20"/>
                <w:color w:val="auto"/>
              </w:rPr>
            </w:pPr>
            <w:r>
              <w:rPr>
                <w:rFonts w:ascii="Arial" w:cs="Arial" w:eastAsia="Arial" w:hAnsi="Arial"/>
                <w:sz w:val="13"/>
                <w:szCs w:val="13"/>
                <w:b w:val="1"/>
                <w:bCs w:val="1"/>
                <w:color w:val="auto"/>
                <w:w w:val="86"/>
              </w:rPr>
              <w:t>Derivatives, net of tax</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into Income</w:t>
            </w:r>
          </w:p>
        </w:tc>
        <w:tc>
          <w:tcPr>
            <w:tcW w:w="80" w:type="dxa"/>
            <w:vAlign w:val="bottom"/>
          </w:tcPr>
          <w:p>
            <w:pPr>
              <w:spacing w:after="0"/>
              <w:rPr>
                <w:sz w:val="11"/>
                <w:szCs w:val="11"/>
                <w:color w:val="auto"/>
              </w:rPr>
            </w:pPr>
          </w:p>
        </w:tc>
        <w:tc>
          <w:tcPr>
            <w:tcW w:w="1440" w:type="dxa"/>
            <w:vAlign w:val="bottom"/>
            <w:gridSpan w:val="3"/>
          </w:tcPr>
          <w:p>
            <w:pPr>
              <w:jc w:val="center"/>
              <w:ind w:left="118"/>
              <w:spacing w:after="0" w:line="135" w:lineRule="exact"/>
              <w:rPr>
                <w:sz w:val="20"/>
                <w:szCs w:val="20"/>
                <w:color w:val="auto"/>
              </w:rPr>
            </w:pPr>
            <w:r>
              <w:rPr>
                <w:rFonts w:ascii="Arial" w:cs="Arial" w:eastAsia="Arial" w:hAnsi="Arial"/>
                <w:sz w:val="13"/>
                <w:szCs w:val="13"/>
                <w:b w:val="1"/>
                <w:bCs w:val="1"/>
                <w:color w:val="auto"/>
                <w:w w:val="89"/>
              </w:rPr>
              <w:t>AOCL into Income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and Excluded from</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53"/>
        </w:trPr>
        <w:tc>
          <w:tcPr>
            <w:tcW w:w="2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80" w:type="dxa"/>
            <w:vAlign w:val="bottom"/>
          </w:tcPr>
          <w:p>
            <w:pPr>
              <w:spacing w:after="0"/>
              <w:rPr>
                <w:sz w:val="13"/>
                <w:szCs w:val="13"/>
                <w:color w:val="auto"/>
              </w:rPr>
            </w:pPr>
          </w:p>
        </w:tc>
        <w:tc>
          <w:tcPr>
            <w:tcW w:w="1420" w:type="dxa"/>
            <w:vAlign w:val="bottom"/>
            <w:gridSpan w:val="4"/>
          </w:tcPr>
          <w:p>
            <w:pPr>
              <w:jc w:val="center"/>
              <w:ind w:left="158"/>
              <w:spacing w:after="0"/>
              <w:rPr>
                <w:sz w:val="20"/>
                <w:szCs w:val="20"/>
                <w:color w:val="auto"/>
              </w:rPr>
            </w:pPr>
            <w:r>
              <w:rPr>
                <w:rFonts w:ascii="Arial" w:cs="Arial" w:eastAsia="Arial" w:hAnsi="Arial"/>
                <w:sz w:val="13"/>
                <w:szCs w:val="13"/>
                <w:b w:val="1"/>
                <w:bCs w:val="1"/>
                <w:color w:val="auto"/>
                <w:w w:val="89"/>
              </w:rPr>
              <w:t>(Effective Portion)</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(Effective Portion)</w:t>
            </w:r>
          </w:p>
        </w:tc>
        <w:tc>
          <w:tcPr>
            <w:tcW w:w="80" w:type="dxa"/>
            <w:vAlign w:val="bottom"/>
          </w:tcPr>
          <w:p>
            <w:pPr>
              <w:spacing w:after="0"/>
              <w:rPr>
                <w:sz w:val="13"/>
                <w:szCs w:val="13"/>
                <w:color w:val="auto"/>
              </w:rPr>
            </w:pPr>
          </w:p>
        </w:tc>
        <w:tc>
          <w:tcPr>
            <w:tcW w:w="1440" w:type="dxa"/>
            <w:vAlign w:val="bottom"/>
            <w:gridSpan w:val="3"/>
          </w:tcPr>
          <w:p>
            <w:pPr>
              <w:jc w:val="center"/>
              <w:ind w:left="98"/>
              <w:spacing w:after="0"/>
              <w:rPr>
                <w:sz w:val="20"/>
                <w:szCs w:val="20"/>
                <w:color w:val="auto"/>
              </w:rPr>
            </w:pPr>
            <w:r>
              <w:rPr>
                <w:rFonts w:ascii="Arial" w:cs="Arial" w:eastAsia="Arial" w:hAnsi="Arial"/>
                <w:sz w:val="13"/>
                <w:szCs w:val="13"/>
                <w:b w:val="1"/>
                <w:bCs w:val="1"/>
                <w:color w:val="auto"/>
                <w:w w:val="89"/>
              </w:rPr>
              <w:t>(Effective Portion)</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84"/>
              </w:rPr>
              <w:t>Effectiveness Testing)</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4"/>
              </w:rPr>
              <w:t>Effectiveness Testing)</w:t>
            </w:r>
          </w:p>
        </w:tc>
        <w:tc>
          <w:tcPr>
            <w:tcW w:w="0" w:type="dxa"/>
            <w:vAlign w:val="bottom"/>
          </w:tcPr>
          <w:p>
            <w:pPr>
              <w:spacing w:after="0"/>
              <w:rPr>
                <w:sz w:val="1"/>
                <w:szCs w:val="1"/>
                <w:color w:val="auto"/>
              </w:rPr>
            </w:pPr>
          </w:p>
        </w:tc>
      </w:tr>
      <w:tr>
        <w:trPr>
          <w:trHeight w:val="110"/>
        </w:trPr>
        <w:tc>
          <w:tcPr>
            <w:tcW w:w="2160" w:type="dxa"/>
            <w:vAlign w:val="bottom"/>
            <w:gridSpan w:val="2"/>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8"/>
              </w:rPr>
              <w:t>February 1,</w:t>
            </w:r>
          </w:p>
        </w:tc>
        <w:tc>
          <w:tcPr>
            <w:tcW w:w="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ind w:right="17"/>
              <w:spacing w:after="0" w:line="110" w:lineRule="exact"/>
              <w:rPr>
                <w:sz w:val="20"/>
                <w:szCs w:val="20"/>
                <w:color w:val="auto"/>
              </w:rPr>
            </w:pPr>
            <w:r>
              <w:rPr>
                <w:rFonts w:ascii="Arial" w:cs="Arial" w:eastAsia="Arial" w:hAnsi="Arial"/>
                <w:sz w:val="12"/>
                <w:szCs w:val="12"/>
                <w:b w:val="1"/>
                <w:bCs w:val="1"/>
                <w:color w:val="auto"/>
              </w:rPr>
              <w:t>February 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5"/>
              </w:rPr>
              <w:t>February 1,</w:t>
            </w:r>
          </w:p>
        </w:tc>
        <w:tc>
          <w:tcPr>
            <w:tcW w:w="800" w:type="dxa"/>
            <w:vAlign w:val="bottom"/>
            <w:tcBorders>
              <w:top w:val="single" w:sz="8" w:color="auto"/>
            </w:tcBorders>
            <w:gridSpan w:val="2"/>
          </w:tcPr>
          <w:p>
            <w:pPr>
              <w:jc w:val="right"/>
              <w:ind w:right="17"/>
              <w:spacing w:after="0" w:line="110" w:lineRule="exact"/>
              <w:rPr>
                <w:sz w:val="20"/>
                <w:szCs w:val="20"/>
                <w:color w:val="auto"/>
              </w:rPr>
            </w:pPr>
            <w:r>
              <w:rPr>
                <w:rFonts w:ascii="Arial" w:cs="Arial" w:eastAsia="Arial" w:hAnsi="Arial"/>
                <w:sz w:val="12"/>
                <w:szCs w:val="12"/>
                <w:b w:val="1"/>
                <w:bCs w:val="1"/>
                <w:color w:val="auto"/>
              </w:rPr>
              <w:t>February 3,</w:t>
            </w:r>
          </w:p>
        </w:tc>
        <w:tc>
          <w:tcPr>
            <w:tcW w:w="160" w:type="dxa"/>
            <w:vAlign w:val="bottom"/>
            <w:gridSpan w:val="2"/>
          </w:tcPr>
          <w:p>
            <w:pPr>
              <w:spacing w:after="0"/>
              <w:rPr>
                <w:sz w:val="9"/>
                <w:szCs w:val="9"/>
                <w:color w:val="auto"/>
              </w:rPr>
            </w:pPr>
          </w:p>
        </w:tc>
        <w:tc>
          <w:tcPr>
            <w:tcW w:w="1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February 1,</w:t>
            </w:r>
          </w:p>
        </w:tc>
        <w:tc>
          <w:tcPr>
            <w:tcW w:w="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19"/>
              <w:spacing w:after="0" w:line="110" w:lineRule="exact"/>
              <w:rPr>
                <w:sz w:val="20"/>
                <w:szCs w:val="20"/>
                <w:color w:val="auto"/>
              </w:rPr>
            </w:pPr>
            <w:r>
              <w:rPr>
                <w:rFonts w:ascii="Arial" w:cs="Arial" w:eastAsia="Arial" w:hAnsi="Arial"/>
                <w:sz w:val="12"/>
                <w:szCs w:val="12"/>
                <w:b w:val="1"/>
                <w:bCs w:val="1"/>
                <w:color w:val="auto"/>
                <w:w w:val="98"/>
              </w:rPr>
              <w:t>February 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w:t>
            </w:r>
          </w:p>
        </w:tc>
        <w:tc>
          <w:tcPr>
            <w:tcW w:w="80" w:type="dxa"/>
            <w:vAlign w:val="bottom"/>
          </w:tcPr>
          <w:p>
            <w:pPr>
              <w:spacing w:after="0"/>
              <w:rPr>
                <w:sz w:val="13"/>
                <w:szCs w:val="13"/>
                <w:color w:val="auto"/>
              </w:rPr>
            </w:pPr>
          </w:p>
        </w:tc>
        <w:tc>
          <w:tcPr>
            <w:tcW w:w="760" w:type="dxa"/>
            <w:vAlign w:val="bottom"/>
          </w:tcPr>
          <w:p>
            <w:pPr>
              <w:jc w:val="right"/>
              <w:ind w:right="238"/>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3"/>
                <w:szCs w:val="13"/>
                <w:color w:val="auto"/>
              </w:rPr>
            </w:pPr>
          </w:p>
        </w:tc>
        <w:tc>
          <w:tcPr>
            <w:tcW w:w="860" w:type="dxa"/>
            <w:vAlign w:val="bottom"/>
            <w:gridSpan w:val="3"/>
          </w:tcPr>
          <w:p>
            <w:pPr>
              <w:jc w:val="right"/>
              <w:ind w:right="197"/>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218"/>
              <w:spacing w:after="0"/>
              <w:rPr>
                <w:sz w:val="20"/>
                <w:szCs w:val="20"/>
                <w:color w:val="auto"/>
              </w:rPr>
            </w:pPr>
            <w:r>
              <w:rPr>
                <w:rFonts w:ascii="Arial" w:cs="Arial" w:eastAsia="Arial" w:hAnsi="Arial"/>
                <w:sz w:val="13"/>
                <w:szCs w:val="13"/>
                <w:b w:val="1"/>
                <w:bCs w:val="1"/>
                <w:color w:val="auto"/>
              </w:rPr>
              <w:t>2013</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2012</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9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99"/>
              <w:spacing w:after="0"/>
              <w:rPr>
                <w:sz w:val="20"/>
                <w:szCs w:val="20"/>
                <w:color w:val="auto"/>
              </w:rPr>
            </w:pPr>
            <w:r>
              <w:rPr>
                <w:rFonts w:ascii="Arial" w:cs="Arial" w:eastAsia="Arial" w:hAnsi="Arial"/>
                <w:sz w:val="13"/>
                <w:szCs w:val="13"/>
                <w:b w:val="1"/>
                <w:bCs w:val="1"/>
                <w:color w:val="auto"/>
              </w:rPr>
              <w:t>2012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jc w:val="right"/>
              <w:ind w:right="359"/>
              <w:spacing w:after="0" w:line="129" w:lineRule="exact"/>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1,111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740" w:type="dxa"/>
            <w:vAlign w:val="bottom"/>
            <w:tcBorders>
              <w:top w:val="single" w:sz="8" w:color="CCEEFF"/>
              <w:bottom w:val="single" w:sz="8" w:color="CCEEFF"/>
            </w:tcBorders>
            <w:gridSpan w:val="3"/>
            <w:shd w:val="clear" w:color="auto" w:fill="CCEEFF"/>
          </w:tcPr>
          <w:p>
            <w:pPr>
              <w:ind w:left="80"/>
              <w:spacing w:after="0" w:line="129" w:lineRule="exact"/>
              <w:rPr>
                <w:sz w:val="20"/>
                <w:szCs w:val="20"/>
                <w:color w:val="auto"/>
              </w:rPr>
            </w:pPr>
            <w:r>
              <w:rPr>
                <w:rFonts w:ascii="Arial" w:cs="Arial" w:eastAsia="Arial" w:hAnsi="Arial"/>
                <w:sz w:val="13"/>
                <w:szCs w:val="13"/>
                <w:color w:val="auto"/>
              </w:rPr>
              <w:t>Net sales</w:t>
            </w: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CCEEFF"/>
            </w:tcBorders>
            <w:shd w:val="clear" w:color="auto" w:fill="CCEEFF"/>
          </w:tcPr>
          <w:p>
            <w:pPr>
              <w:jc w:val="right"/>
              <w:ind w:right="426"/>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440</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7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8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line="129" w:lineRule="exact"/>
              <w:rPr>
                <w:sz w:val="20"/>
                <w:szCs w:val="20"/>
                <w:color w:val="auto"/>
              </w:rPr>
            </w:pPr>
            <w:r>
              <w:rPr>
                <w:rFonts w:ascii="Arial" w:cs="Arial" w:eastAsia="Arial" w:hAnsi="Arial"/>
                <w:sz w:val="13"/>
                <w:szCs w:val="13"/>
                <w:color w:val="auto"/>
              </w:rPr>
              <w:t>238</w:t>
            </w: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vMerge w:val="restart"/>
          </w:tcPr>
          <w:p>
            <w:pPr>
              <w:jc w:val="right"/>
              <w:ind w:right="100"/>
              <w:spacing w:after="0" w:line="129" w:lineRule="exact"/>
              <w:rPr>
                <w:sz w:val="20"/>
                <w:szCs w:val="20"/>
                <w:color w:val="auto"/>
              </w:rPr>
            </w:pPr>
            <w:r>
              <w:rPr>
                <w:rFonts w:ascii="Arial" w:cs="Arial" w:eastAsia="Arial" w:hAnsi="Arial"/>
                <w:sz w:val="13"/>
                <w:szCs w:val="13"/>
                <w:color w:val="auto"/>
              </w:rPr>
              <w:t>572</w:t>
            </w:r>
          </w:p>
        </w:tc>
        <w:tc>
          <w:tcPr>
            <w:tcW w:w="1740" w:type="dxa"/>
            <w:vAlign w:val="bottom"/>
            <w:gridSpan w:val="3"/>
            <w:vMerge w:val="restart"/>
          </w:tcPr>
          <w:p>
            <w:pPr>
              <w:ind w:left="80"/>
              <w:spacing w:after="0" w:line="129" w:lineRule="exact"/>
              <w:rPr>
                <w:sz w:val="20"/>
                <w:szCs w:val="20"/>
                <w:color w:val="auto"/>
              </w:rPr>
            </w:pPr>
            <w:r>
              <w:rPr>
                <w:rFonts w:ascii="Arial" w:cs="Arial" w:eastAsia="Arial" w:hAnsi="Arial"/>
                <w:sz w:val="13"/>
                <w:szCs w:val="13"/>
                <w:color w:val="auto"/>
              </w:rPr>
              <w:t>Cost of sales</w:t>
            </w:r>
          </w:p>
        </w:tc>
        <w:tc>
          <w:tcPr>
            <w:tcW w:w="80" w:type="dxa"/>
            <w:vAlign w:val="bottom"/>
          </w:tcPr>
          <w:p>
            <w:pPr>
              <w:spacing w:after="0" w:line="20" w:lineRule="exact"/>
              <w:rPr>
                <w:sz w:val="1"/>
                <w:szCs w:val="1"/>
                <w:color w:val="auto"/>
              </w:rPr>
            </w:pPr>
          </w:p>
        </w:tc>
        <w:tc>
          <w:tcPr>
            <w:tcW w:w="900" w:type="dxa"/>
            <w:vAlign w:val="bottom"/>
            <w:gridSpan w:val="2"/>
            <w:vMerge w:val="restart"/>
          </w:tcPr>
          <w:p>
            <w:pPr>
              <w:jc w:val="right"/>
              <w:ind w:right="180"/>
              <w:spacing w:after="0" w:line="129" w:lineRule="exact"/>
              <w:rPr>
                <w:sz w:val="20"/>
                <w:szCs w:val="20"/>
                <w:color w:val="auto"/>
              </w:rPr>
            </w:pPr>
            <w:r>
              <w:rPr>
                <w:rFonts w:ascii="Arial" w:cs="Arial" w:eastAsia="Arial" w:hAnsi="Arial"/>
                <w:sz w:val="13"/>
                <w:szCs w:val="13"/>
                <w:color w:val="auto"/>
              </w:rPr>
              <w:t>64</w:t>
            </w:r>
          </w:p>
        </w:tc>
        <w:tc>
          <w:tcPr>
            <w:tcW w:w="540" w:type="dxa"/>
            <w:vAlign w:val="bottom"/>
          </w:tcPr>
          <w:p>
            <w:pPr>
              <w:spacing w:after="0" w:line="20" w:lineRule="exact"/>
              <w:rPr>
                <w:sz w:val="1"/>
                <w:szCs w:val="1"/>
                <w:color w:val="auto"/>
              </w:rPr>
            </w:pPr>
          </w:p>
        </w:tc>
        <w:tc>
          <w:tcPr>
            <w:tcW w:w="420" w:type="dxa"/>
            <w:vAlign w:val="bottom"/>
            <w:gridSpan w:val="3"/>
            <w:vMerge w:val="restart"/>
          </w:tcPr>
          <w:p>
            <w:pPr>
              <w:jc w:val="right"/>
              <w:ind w:right="120"/>
              <w:spacing w:after="0" w:line="129" w:lineRule="exact"/>
              <w:rPr>
                <w:sz w:val="20"/>
                <w:szCs w:val="20"/>
                <w:color w:val="auto"/>
              </w:rPr>
            </w:pPr>
            <w:r>
              <w:rPr>
                <w:rFonts w:ascii="Arial" w:cs="Arial" w:eastAsia="Arial" w:hAnsi="Arial"/>
                <w:sz w:val="13"/>
                <w:szCs w:val="13"/>
                <w:color w:val="auto"/>
                <w:w w:val="92"/>
              </w:rPr>
              <w:t>(432)</w:t>
            </w: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1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(199)</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74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Other income, net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(547)</w:t>
            </w:r>
          </w:p>
        </w:tc>
        <w:tc>
          <w:tcPr>
            <w:tcW w:w="54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gridSpan w:val="2"/>
          </w:tcPr>
          <w:p>
            <w:pPr>
              <w:spacing w:after="0" w:line="129" w:lineRule="exact"/>
              <w:rPr>
                <w:sz w:val="20"/>
                <w:szCs w:val="20"/>
                <w:color w:val="auto"/>
              </w:rPr>
            </w:pPr>
            <w:r>
              <w:rPr>
                <w:rFonts w:ascii="Arial" w:cs="Arial" w:eastAsia="Arial" w:hAnsi="Arial"/>
                <w:sz w:val="13"/>
                <w:szCs w:val="13"/>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359"/>
              <w:spacing w:after="0" w:line="129" w:lineRule="exact"/>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1,683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(1,029)</w:t>
            </w:r>
          </w:p>
        </w:tc>
        <w:tc>
          <w:tcPr>
            <w:tcW w:w="18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February 1, 2013, the company expects to reclassify approximately $1.3 million of losses from AOCL to earnings during the next twelve months.</w:t>
      </w:r>
    </w:p>
    <w:p>
      <w:pPr>
        <w:spacing w:after="0" w:line="248"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3"/>
              </w:rPr>
              <w:t>Location of Gain (Loss)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Gain (Loss) Recognized in Net Earnings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40" w:type="dxa"/>
            <w:vAlign w:val="bottom"/>
            <w:gridSpan w:val="6"/>
          </w:tcPr>
          <w:p>
            <w:pPr>
              <w:jc w:val="right"/>
              <w:ind w:right="146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2160" w:type="dxa"/>
            <w:vAlign w:val="bottom"/>
          </w:tcPr>
          <w:p>
            <w:pPr>
              <w:jc w:val="center"/>
              <w:ind w:left="268"/>
              <w:spacing w:after="0" w:line="142" w:lineRule="exact"/>
              <w:rPr>
                <w:sz w:val="20"/>
                <w:szCs w:val="20"/>
                <w:color w:val="auto"/>
              </w:rPr>
            </w:pPr>
            <w:r>
              <w:rPr>
                <w:rFonts w:ascii="Arial" w:cs="Arial" w:eastAsia="Arial" w:hAnsi="Arial"/>
                <w:sz w:val="14"/>
                <w:szCs w:val="14"/>
                <w:b w:val="1"/>
                <w:bCs w:val="1"/>
                <w:color w:val="auto"/>
                <w:w w:val="91"/>
              </w:rPr>
              <w:t>Recognized in Net Earnings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February 1, 2013</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February 3, 2012</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Forward currency contracts</w:t>
            </w:r>
          </w:p>
        </w:tc>
        <w:tc>
          <w:tcPr>
            <w:tcW w:w="2460" w:type="dxa"/>
            <w:vAlign w:val="bottom"/>
            <w:gridSpan w:val="2"/>
          </w:tcPr>
          <w:p>
            <w:pPr>
              <w:ind w:left="300"/>
              <w:spacing w:after="0"/>
              <w:rPr>
                <w:sz w:val="20"/>
                <w:szCs w:val="20"/>
                <w:color w:val="auto"/>
              </w:rPr>
            </w:pPr>
            <w:r>
              <w:rPr>
                <w:rFonts w:ascii="Arial" w:cs="Arial" w:eastAsia="Arial" w:hAnsi="Arial"/>
                <w:sz w:val="18"/>
                <w:szCs w:val="18"/>
                <w:color w:val="auto"/>
              </w:rPr>
              <w:t>Other income, net</w:t>
            </w: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(3,354)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4,348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2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right="60"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Cash and cash equivalents are valued at their carrying amounts in the consolidated balance sheets, which are reasonable estimates of their fair value due to their short-term maturities.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Assets and liabilities measured at fair value on a recurring basis, as of February 1, 2013, February 3, 2012, and October 31, 2012 are summarized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20"/>
                <w:szCs w:val="20"/>
                <w:color w:val="auto"/>
              </w:rPr>
            </w:pPr>
            <w:r>
              <w:rPr>
                <w:rFonts w:ascii="Arial" w:cs="Arial" w:eastAsia="Arial" w:hAnsi="Arial"/>
                <w:sz w:val="14"/>
                <w:szCs w:val="14"/>
                <w:b w:val="1"/>
                <w:bCs w:val="1"/>
                <w:color w:val="auto"/>
              </w:rPr>
              <w:t>February 1, 2013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60,700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60,700</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1,218</w:t>
            </w:r>
          </w:p>
        </w:tc>
        <w:tc>
          <w:tcPr>
            <w:tcW w:w="146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Cross currency contracts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1460" w:type="dxa"/>
            <w:vAlign w:val="bottom"/>
            <w:gridSpan w:val="3"/>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4,002</w:t>
            </w:r>
          </w:p>
        </w:tc>
        <w:tc>
          <w:tcPr>
            <w:tcW w:w="146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Cross currency contracts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1460" w:type="dxa"/>
            <w:vAlign w:val="bottom"/>
            <w:gridSpan w:val="3"/>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3,374</w:t>
            </w:r>
          </w:p>
        </w:tc>
        <w:tc>
          <w:tcPr>
            <w:tcW w:w="146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7,520</w:t>
            </w:r>
          </w:p>
        </w:tc>
        <w:tc>
          <w:tcPr>
            <w:tcW w:w="280" w:type="dxa"/>
            <w:vAlign w:val="bottom"/>
          </w:tcPr>
          <w:p>
            <w:pPr>
              <w:spacing w:after="0"/>
              <w:rPr>
                <w:sz w:val="18"/>
                <w:szCs w:val="18"/>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256" w:right="199" w:bottom="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2850515</wp:posOffset>
            </wp:positionH>
            <wp:positionV relativeFrom="page">
              <wp:posOffset>97790</wp:posOffset>
            </wp:positionV>
            <wp:extent cx="39960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February 3, 2012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1480" w:type="dxa"/>
            <w:vAlign w:val="bottom"/>
            <w:gridSpan w:val="3"/>
          </w:tcPr>
          <w:p>
            <w:pPr>
              <w:ind w:left="440"/>
              <w:spacing w:after="0"/>
              <w:rPr>
                <w:sz w:val="20"/>
                <w:szCs w:val="20"/>
                <w:color w:val="auto"/>
              </w:rPr>
            </w:pPr>
            <w:r>
              <w:rPr>
                <w:rFonts w:ascii="Arial" w:cs="Arial" w:eastAsia="Arial" w:hAnsi="Arial"/>
                <w:sz w:val="14"/>
                <w:szCs w:val="14"/>
                <w:b w:val="1"/>
                <w:bCs w:val="1"/>
                <w:color w:val="auto"/>
              </w:rPr>
              <w:t>Level 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71,804</w:t>
            </w:r>
          </w:p>
        </w:tc>
        <w:tc>
          <w:tcPr>
            <w:tcW w:w="20" w:type="dxa"/>
            <w:vAlign w:val="bottom"/>
          </w:tcPr>
          <w:p>
            <w:pPr>
              <w:spacing w:after="0"/>
              <w:rPr>
                <w:sz w:val="18"/>
                <w:szCs w:val="18"/>
                <w:color w:val="auto"/>
              </w:rPr>
            </w:pPr>
          </w:p>
        </w:tc>
        <w:tc>
          <w:tcPr>
            <w:tcW w:w="54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71,804</w:t>
            </w:r>
          </w:p>
        </w:tc>
        <w:tc>
          <w:tcPr>
            <w:tcW w:w="120" w:type="dxa"/>
            <w:vAlign w:val="bottom"/>
          </w:tcPr>
          <w:p>
            <w:pPr>
              <w:spacing w:after="0"/>
              <w:rPr>
                <w:sz w:val="18"/>
                <w:szCs w:val="18"/>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1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73,951</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71,804</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9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Forward currency contracts</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ind w:left="1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79"/>
              </w:rPr>
              <w:t>14</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6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9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rPr>
              <w:t>October 31, 2012</w:t>
            </w:r>
          </w:p>
        </w:tc>
        <w:tc>
          <w:tcPr>
            <w:tcW w:w="26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24"/>
                <w:szCs w:val="24"/>
                <w:color w:val="auto"/>
              </w:rPr>
            </w:pPr>
          </w:p>
        </w:tc>
        <w:tc>
          <w:tcPr>
            <w:tcW w:w="1480" w:type="dxa"/>
            <w:vAlign w:val="bottom"/>
            <w:gridSpan w:val="3"/>
          </w:tcPr>
          <w:p>
            <w:pPr>
              <w:ind w:left="460"/>
              <w:spacing w:after="0"/>
              <w:rPr>
                <w:sz w:val="20"/>
                <w:szCs w:val="20"/>
                <w:color w:val="auto"/>
              </w:rPr>
            </w:pPr>
            <w:r>
              <w:rPr>
                <w:rFonts w:ascii="Arial" w:cs="Arial" w:eastAsia="Arial" w:hAnsi="Arial"/>
                <w:sz w:val="14"/>
                <w:szCs w:val="14"/>
                <w:b w:val="1"/>
                <w:bCs w:val="1"/>
                <w:color w:val="auto"/>
              </w:rPr>
              <w:t>Level 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125,856</w:t>
            </w:r>
          </w:p>
        </w:tc>
        <w:tc>
          <w:tcPr>
            <w:tcW w:w="20" w:type="dxa"/>
            <w:vAlign w:val="bottom"/>
          </w:tcPr>
          <w:p>
            <w:pPr>
              <w:spacing w:after="0"/>
              <w:rPr>
                <w:sz w:val="18"/>
                <w:szCs w:val="18"/>
                <w:color w:val="auto"/>
              </w:rPr>
            </w:pPr>
          </w:p>
        </w:tc>
        <w:tc>
          <w:tcPr>
            <w:tcW w:w="5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125,856</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995</w:t>
            </w: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Cross currency contracts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18"/>
                <w:szCs w:val="18"/>
                <w:color w:val="auto"/>
              </w:rPr>
            </w:pP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127,897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125,856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2,114</w:t>
            </w: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3,547</w:t>
            </w:r>
          </w:p>
        </w:tc>
        <w:tc>
          <w:tcPr>
            <w:tcW w:w="20" w:type="dxa"/>
            <w:vAlign w:val="bottom"/>
          </w:tcPr>
          <w:p>
            <w:pPr>
              <w:spacing w:after="0"/>
              <w:rPr>
                <w:sz w:val="18"/>
                <w:szCs w:val="18"/>
                <w:color w:val="auto"/>
              </w:rPr>
            </w:pPr>
          </w:p>
        </w:tc>
        <w:tc>
          <w:tcPr>
            <w:tcW w:w="14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-1913890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-1913890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40" w:firstLine="270"/>
        <w:spacing w:after="0" w:line="277" w:lineRule="auto"/>
        <w:rPr>
          <w:sz w:val="20"/>
          <w:szCs w:val="20"/>
          <w:color w:val="auto"/>
        </w:rPr>
      </w:pPr>
      <w:r>
        <w:rPr>
          <w:rFonts w:ascii="Arial" w:cs="Arial" w:eastAsia="Arial" w:hAnsi="Arial"/>
          <w:sz w:val="18"/>
          <w:szCs w:val="18"/>
          <w:color w:val="auto"/>
        </w:rPr>
        <w:t>There were no transfers between Level 1 and Level 2 during the three months ended February 1, 2013, February 3, 2012, or the twelve months ended October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company is party to litigation in the ordinary course of business. Litigation occasionally involves claims for punitive as well as compensatory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damages arising out of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w:t>
      </w:r>
    </w:p>
    <w:p>
      <w:pPr>
        <w:spacing w:after="0" w:line="18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Canadian Lawnmower Engine Horsepower Marketing and Sales Practices Litigation. </w:t>
      </w:r>
      <w:r>
        <w:rPr>
          <w:rFonts w:ascii="Arial" w:cs="Arial" w:eastAsia="Arial" w:hAnsi="Arial"/>
          <w:sz w:val="18"/>
          <w:szCs w:val="18"/>
          <w:color w:val="auto"/>
        </w:rPr>
        <w:t>In March 2010, individuals who claim to have purchased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lawnmowers in Canada filed class action litigation against the company and other defendants that, similar to the class action litigation previously filed by plaintiffs in the United States and settled by the company pursuant to a settlement agreement that became final in February 2011, (i) contains allegations under applicable Canadian law that the horsepower labels on the products the plaintiffs purchased were inaccurate, (ii) seeks certification of a class of all persons in Canada who, beginning January 1, 1994 purchased a lawnmower containing a gas combustible engine up to 30 horsepower that was manufactured or sold by the company and other defendants, and (iii) seeks under applicable Canadian law unspecified compensatory and punitive damages, attorneys’ costs and fees, and equitable relief.</w:t>
      </w:r>
    </w:p>
    <w:p>
      <w:pPr>
        <w:spacing w:after="0" w:line="189" w:lineRule="exact"/>
        <w:rPr>
          <w:sz w:val="20"/>
          <w:szCs w:val="20"/>
          <w:color w:val="auto"/>
        </w:rPr>
      </w:pPr>
    </w:p>
    <w:p>
      <w:pPr>
        <w:ind w:right="120" w:firstLine="270"/>
        <w:spacing w:after="0" w:line="312" w:lineRule="auto"/>
        <w:rPr>
          <w:sz w:val="20"/>
          <w:szCs w:val="20"/>
          <w:color w:val="auto"/>
        </w:rPr>
      </w:pPr>
      <w:r>
        <w:rPr>
          <w:rFonts w:ascii="Arial" w:cs="Arial" w:eastAsia="Arial" w:hAnsi="Arial"/>
          <w:sz w:val="16"/>
          <w:szCs w:val="16"/>
          <w:color w:val="auto"/>
        </w:rPr>
        <w:t>Management continues to evaluate this Canadian litigation and, in the event the company is unable to favorably resolve this litigation, while management does not currently believe that this litigation would have a material adverse effect on the company’s annual consolidated operating results or financial condition, an unfavorable resolution or outcome could be material to the company’s consolidated operating results for a particular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landscaping equipment and lighting, turf irrigation systems, agricultural micro-irrigation systems, rental and construction equipment, and residential yard and snow removal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w:t>
      </w:r>
    </w:p>
    <w:p>
      <w:pPr>
        <w:spacing w:after="0" w:line="20" w:lineRule="exact"/>
        <w:rPr>
          <w:sz w:val="20"/>
          <w:szCs w:val="20"/>
          <w:color w:val="auto"/>
        </w:rPr>
      </w:pPr>
    </w:p>
    <w:p>
      <w:pPr>
        <w:sectPr>
          <w:pgSz w:w="11900" w:h="16838" w:orient="portrait"/>
          <w:cols w:equalWidth="0" w:num="1">
            <w:col w:w="11460"/>
          </w:cols>
          <w:pgMar w:left="240" w:top="360" w:right="199" w:bottom="0" w:gutter="0" w:footer="0" w:header="0"/>
        </w:sectPr>
      </w:pPr>
    </w:p>
    <w:bookmarkStart w:id="10" w:name="page11"/>
    <w:bookmarkEnd w:id="10"/>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consists of our company-owned domestic distributorships, has been combined with our corporate activities and is shown as “Other.” Our emphasis is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87"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For the first quarter of fiscal 2013 our net sales grew by 4.9 percent compared to the first quarter of fiscal 2012. Professional segment net sales were up 16.0 percent compared to the first quarter of fiscal 2012, due mainly to strong demand for products manufactured prior to the phase in of applicable Tier 4 emission requirements that will result in price increases for such products. Specifically, additional Tier 4 emission requirements began to phase in for our products manufactured after January 1, 2013, having diesel engines greater than 25 but less than 75 horsepower. As a result, during the first quarter of 2013, we implemented price increases for our products subject to such Tier 4 emission requirements, which will be available beginning in the second quarter of fiscal 2013, in order to cover the additional cost associated with the new technologies. Consequently, our professional segment net sales in the first quarter of fiscal 2013 were significantly higher than we experienced in the past or expect to experience in the future (except as may potentially be realized in connection with the phase in of additional future requirements) as a result strong demand, prior to price increases going into effect, for products now subject to Tier 4 emission requirements. Additionally, our professional segment net sales growth was positively impacted by incremental net sales of $5.2 million from acquisitions, the successful introduction of new products, and higher sales of our micro-irrigation products from continued market growth and demand. Residential segment sales decreased 12.1 percent for the first quarter of fiscal 2013 compared to the first quarter of fiscal 2012, primarily from lower shipments of snow thrower products due to the lack of snowfall during our first quarter of fiscal 2013. However, sales of Pope products in Australia were up due to increased demand for irrigation products as a result of drought conditions. Overall international net sales were down 5.3 percent due mainly to lower sales in Europe as a result of continued economic weakness and lower shipments into Canada. Our net earnings increased 57.6 percent for the first quarter of fiscal 2013 compared to the first quarter of fiscal 2012 primarily from an improvement of our gross margin rate of 270 basis points, higher sales volumes, and a decrease in our tax rate due to the retroactive reenactment of the domestic research and development tax credit in our first quarter of fiscal 2013. However, our selling, general, and administrative (SG&amp;A) expense was up by 30 basis points to 26.9 percent as a percentage of net sales in the first quarter of fiscal 2013 compared to 26.6 percent in the first quarter of fiscal 2012 due mainly to higher warehousing expense and incremental SG&amp;A costs of $4.4 million from acquisitions.</w:t>
      </w:r>
    </w:p>
    <w:p>
      <w:pPr>
        <w:spacing w:after="0" w:line="190"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Although our overall financial condition remains strong, our inventory levels increased 23.2 percent as of the end of the first quarter of fiscal 2013 compared to the end of the first quarter of fiscal 2012 as we prebuilt inventory in anticipation of strong demand for products impacted by Tier 4 emissions requirements before they went into effect, higher snow thrower inventory levels, and $16 million of incremental inventory from acquisitions. Our receivables increased slightly, by 2.7 percent, as of the end of the first quarter of fiscal 2013 compared to the end of the first quarter of fiscal 2012 on a net sales increase of 4.9 percent. We increased our first quarter cash dividend by 27.3 percent from $0.11 to $0.14 per share compared to the quarterly cash dividend paid in the first quarter of fiscal 2012.</w:t>
      </w:r>
    </w:p>
    <w:p>
      <w:pPr>
        <w:spacing w:after="0" w:line="193"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Our multi-year initiative, “Destination 2014” will take us to our centennial in 2014 and into our second century. This is our third year of this four-year initiative, which is intended to focus our efforts on driving our legacy of excellence through building caring relationships and engaging in innovation. Through our Destination 2014 initiative financial goals, we strive to achieve $100 million in organic revenue growth each fiscal year and 12 percent operating earnings as a percentage of net sales by the end of fiscal 2014. We define organic revenue growth as the increase in net sales, less net sales from acquisitions that occurred in the current fiscal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270"/>
        <w:spacing w:after="0" w:line="277" w:lineRule="auto"/>
        <w:rPr>
          <w:sz w:val="20"/>
          <w:szCs w:val="20"/>
          <w:color w:val="auto"/>
        </w:rPr>
      </w:pPr>
      <w:r>
        <w:rPr>
          <w:rFonts w:ascii="Arial" w:cs="Arial" w:eastAsia="Arial" w:hAnsi="Arial"/>
          <w:sz w:val="18"/>
          <w:szCs w:val="18"/>
          <w:color w:val="auto"/>
        </w:rPr>
        <w:t>In January 2013, we entered into an agreement to acquire a Chinese micro-irrigation company, subject to applicable regulatory approvals and other customary closing conditions. We expect to close the transaction during our third quarter of fiscal 2013.</w:t>
      </w:r>
    </w:p>
    <w:p>
      <w:pPr>
        <w:spacing w:after="0" w:line="170"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Our net sales and net earnings for the first quarter of our fiscal year are typically lower than other quarters, and the results of our first quarter are not necessarily an indicator of spring season sales trends. Our focus as we enter our peak selling season is on generating customer demand for our innovative new products, while keeping production closely aligned with expected shipment volumes. We will continue to keep a cautionary eye on the global economic environment, particularly in the United States and Europe, weather conditions, retail demand, field inventory levels, commodity prices, competitive actions, expenses, and other factors identified below under the heading “Forward-Looking Information,” which could cause our actual results to differ from our anticipated outlook.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Net earnings for the first quarter of fiscal 2013 were $31.4 million, or $0.53 per diluted share, compared to $19.9 million, or $0.33 per diluted share, for the first quarter of fiscal 2012, resulting in a net earnings per diluted share increase of 60.6 percent. The primary factors contributing to the net earnings improvement were an improvement in our gross margin rate, higher sales volumes, and a decrease in our effective tax rate, somewhat offset by an increase in SG&amp;A expense. In addition, our fiscal 2013 first quarter diluted net earnings per share were benefited by approximately $0.01 per share compared to fiscal 2012 first quarter diluted net earnings per share as a result of reduced shares outstanding.</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our results of operations as a percentage of our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31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20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February 1,</w:t>
            </w:r>
          </w:p>
        </w:tc>
        <w:tc>
          <w:tcPr>
            <w:tcW w:w="13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February 3,</w:t>
            </w:r>
          </w:p>
        </w:tc>
        <w:tc>
          <w:tcPr>
            <w:tcW w:w="160" w:type="dxa"/>
            <w:vAlign w:val="bottom"/>
          </w:tcPr>
          <w:p>
            <w:pPr>
              <w:spacing w:after="0"/>
              <w:rPr>
                <w:sz w:val="10"/>
                <w:szCs w:val="10"/>
                <w:color w:val="auto"/>
              </w:rPr>
            </w:pPr>
          </w:p>
        </w:tc>
      </w:tr>
      <w:tr>
        <w:trPr>
          <w:trHeight w:val="171"/>
        </w:trPr>
        <w:tc>
          <w:tcPr>
            <w:tcW w:w="52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SG&amp;A expense</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r>
      <w:tr>
        <w:trPr>
          <w:trHeight w:val="20"/>
        </w:trPr>
        <w:tc>
          <w:tcPr>
            <w:tcW w:w="52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10.4</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r>
      <w:tr>
        <w:trPr>
          <w:trHeight w:val="223"/>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Worldwide consolidated net sales for the first quarter of fiscal 2013 were $444.7 million compared to $423.8 million in the first quarter of fiscal 2012, an increase of 4.9 percent. Professional segment net sales in the first quarter of fiscal 2013 were up 16.0 percent compared to the first quarter of fiscal 2012 due mainly to strong demand for products manufactured prior to the phase-in of applicable Tier 4 emission requirements, as previously discussed. Our professional segment net sales for the first quarter comparison were significantly higher than we experienced in past quarters or expect to experience in future quarters (except as may potentially be realized in connection with the phase-in of additional future requirements) as a result of strong demand prior to price increases going into effect for products subject to Tier 4 emission requirements, which also resulted in higher field inventory levels at the end of our first quarter of fiscal 2013 compared to the end of our first quarter of fiscal 2012. Additionally, our professional segment net sales growth was positively impacted by incremental net sales of $5.2 million from acquisitions, the successful introduction of new products, and higher sales of our micro-irrigation products from continued market growth and demand and additional manufacturing capacity that increased production and enabled higher sales for our drip irrigation solutions. Residential segment sales decreased 12.1 percent for the first quarter of fiscal 2013 compared to the first quarter of fiscal 2012, primarily from lower shipments of snow thrower products due to the lack of snowfall during our first quarter of fiscal 2013, which also resulted in higher field inventory levels and a decrease in retail demand for our residential segment products for the first quarter of fiscal 2013 compared to the same period last fiscal year. However, sales of Pope products in Australia were up due to increased demand for irrigation products as a result of drought conditions. Net sales for our other segment were down $7.8 million due to strong professional segment sales to our company-owned distribution companies, mainly products manufactured prior to the phase-in of applicable Tier 4 emission requirements as discussed above, that are eliminated in our other segment. Our overall international net sales were down 5.3 percent due mainly to lower sales in Europe as a result of continued economic weakness and lower shipments into Canada. Changes in currency exchange rates resulted in a decline of approximately $0.4 million of net sales for the first quarter of fiscal 2013 compared to the first quarter of fiscal 2012.</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percentage of net sales, gross profit for the first quarter of fiscal 2013 increased 270 basis points to 37.3 percent compared to 34.6 percent in the first quarter of fiscal 2012. This increase was due mainly to a higher proportionate share of product sales that carry higher average gross margins, price increases on some products, cost reduction efforts, and slightly lower commodity prices.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SG&amp;A expense for the first quarter of fiscal 2013 increased $7.0 million, or 6.2 percent, compared to the same period last fiscal year, and SG&amp;A expense as a percentage of net sales increased 30 basis points to 26.9 percent in the first quarter of fiscal 2013 compared to 26.6 percent in the first quarter of fiscal 2012. These increases were due mainly to incremental SG&amp;A expense from acquisitions of $4.4 million and an increase in warehousing expenses of $2.3 million as we began operations at our new distribution facility in Ankeny, Iowa, plus higher inventory levels.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expense for the first quarter of fiscal 2013 decreased $0.2 million, or 4.0 percent, compared to the first quarter of fiscal 2012 due to lower average debt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Other income, net for the first quarter of fiscal 2013 was $1.4 million compared to $0.5 million for the same period last fiscal year, an increase of $0.9 million. The increase was due primarily to higher income from our equity investment in Red Iron and a decrease in foreign currency exchange rate losses.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effective tax rate for the first quarter of fiscal 2013 was 27.7 percent compared to 33.8 percent in the first quarter of fiscal 2012. The reduction in the effective tax rate was primarily the result of the retroactive reenactment of the domestic research and development tax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February 1,</w:t>
            </w:r>
          </w:p>
        </w:tc>
        <w:tc>
          <w:tcPr>
            <w:tcW w:w="200" w:type="dxa"/>
            <w:vAlign w:val="bottom"/>
          </w:tcPr>
          <w:p>
            <w:pPr>
              <w:spacing w:after="0"/>
              <w:rPr>
                <w:sz w:val="10"/>
                <w:szCs w:val="10"/>
                <w:color w:val="auto"/>
              </w:rPr>
            </w:pPr>
          </w:p>
        </w:tc>
        <w:tc>
          <w:tcPr>
            <w:tcW w:w="142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February 3,</w:t>
            </w:r>
          </w:p>
        </w:tc>
        <w:tc>
          <w:tcPr>
            <w:tcW w:w="240" w:type="dxa"/>
            <w:vAlign w:val="bottom"/>
          </w:tcPr>
          <w:p>
            <w:pPr>
              <w:spacing w:after="0"/>
              <w:rPr>
                <w:sz w:val="10"/>
                <w:szCs w:val="10"/>
                <w:color w:val="auto"/>
              </w:rPr>
            </w:pPr>
          </w:p>
        </w:tc>
        <w:tc>
          <w:tcPr>
            <w:tcW w:w="11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329,144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120,947</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137,608</w:t>
            </w: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(16,661)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444,661</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423,835</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20,826</w:t>
            </w:r>
          </w:p>
        </w:tc>
        <w:tc>
          <w:tcPr>
            <w:tcW w:w="28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05"/>
        </w:trPr>
        <w:tc>
          <w:tcPr>
            <w:tcW w:w="4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2" w:name="page13"/>
    <w:bookmarkEnd w:id="12"/>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tabs>
          <w:tab w:leader="none" w:pos="4420" w:val="left"/>
          <w:tab w:leader="none" w:pos="5220" w:val="left"/>
          <w:tab w:leader="none" w:pos="6100" w:val="left"/>
          <w:tab w:leader="none" w:pos="6860" w:val="left"/>
          <w:tab w:leader="none" w:pos="7720" w:val="left"/>
          <w:tab w:leader="none" w:pos="8620" w:val="left"/>
          <w:tab w:leader="none" w:pos="10440" w:val="left"/>
        </w:tabs>
        <w:rPr>
          <w:sz w:val="20"/>
          <w:szCs w:val="20"/>
          <w:color w:val="auto"/>
        </w:rPr>
      </w:pPr>
      <w:r>
        <w:rPr>
          <w:rFonts w:ascii="Arial" w:cs="Arial" w:eastAsia="Arial" w:hAnsi="Arial"/>
          <w:sz w:val="18"/>
          <w:szCs w:val="18"/>
          <w:color w:val="auto"/>
        </w:rPr>
        <w:t>* Includes international sales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141,591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149,462</w:t>
        <w:tab/>
        <w:t>$</w:t>
      </w:r>
      <w:r>
        <w:rPr>
          <w:sz w:val="20"/>
          <w:szCs w:val="20"/>
          <w:color w:val="auto"/>
        </w:rPr>
        <w:tab/>
      </w:r>
      <w:r>
        <w:rPr>
          <w:rFonts w:ascii="Arial" w:cs="Arial" w:eastAsia="Arial" w:hAnsi="Arial"/>
          <w:sz w:val="18"/>
          <w:szCs w:val="18"/>
          <w:color w:val="auto"/>
        </w:rPr>
        <w:t>(7,871)</w:t>
      </w:r>
      <w:r>
        <w:rPr>
          <w:sz w:val="20"/>
          <w:szCs w:val="20"/>
          <w:color w:val="auto"/>
        </w:rPr>
        <w:tab/>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2958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58465" cy="26035"/>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February 1,</w:t>
            </w:r>
          </w:p>
        </w:tc>
        <w:tc>
          <w:tcPr>
            <w:tcW w:w="200" w:type="dxa"/>
            <w:vAlign w:val="bottom"/>
          </w:tcPr>
          <w:p>
            <w:pPr>
              <w:spacing w:after="0"/>
              <w:rPr>
                <w:sz w:val="10"/>
                <w:szCs w:val="10"/>
                <w:color w:val="auto"/>
              </w:rPr>
            </w:pPr>
          </w:p>
        </w:tc>
        <w:tc>
          <w:tcPr>
            <w:tcW w:w="142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February 3,</w:t>
            </w:r>
          </w:p>
        </w:tc>
        <w:tc>
          <w:tcPr>
            <w:tcW w:w="240" w:type="dxa"/>
            <w:vAlign w:val="bottom"/>
          </w:tcPr>
          <w:p>
            <w:pPr>
              <w:spacing w:after="0"/>
              <w:rPr>
                <w:sz w:val="10"/>
                <w:szCs w:val="10"/>
                <w:color w:val="auto"/>
              </w:rPr>
            </w:pPr>
          </w:p>
        </w:tc>
        <w:tc>
          <w:tcPr>
            <w:tcW w:w="11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280" w:type="dxa"/>
            <w:vAlign w:val="bottom"/>
            <w:gridSpan w:val="2"/>
            <w:vMerge w:val="restart"/>
          </w:tcPr>
          <w:p>
            <w:pPr>
              <w:spacing w:after="0"/>
              <w:rPr>
                <w:sz w:val="10"/>
                <w:szCs w:val="10"/>
                <w:color w:val="auto"/>
              </w:rPr>
            </w:pP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gridSpan w:val="2"/>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12,154</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12,608</w:t>
            </w:r>
          </w:p>
        </w:tc>
        <w:tc>
          <w:tcPr>
            <w:tcW w:w="24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(454)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(29,494)</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(24,613)</w:t>
            </w: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(4,881)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43,398</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30,086</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13,312</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first quarter of fiscal 2013 were up by 16.0 percent compared to the first quarter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2012 due mainly to strong demand for products manufactured prior to the phase-in of applicable Tier 4 emission requirements and prior to price increases resulting from such requirements, as previously discussed. This also resulted in higher professional segment field inventory levels as of the end of our first quarter of fiscal 2013 compared to the end of our first quarter of fiscal 2012. Additionally, our professional segment net sales growth was positively impacted by incremental net sales of $5.2 million from acquisitions, the successful introduction of new products, and higher sales of our micro-irrigation products from continued market growth and demand and additional manufacturing capacity that increased production and enabled higher sales for our drip irrigation solutions. Retail demand was also strong for our professional segment products in the first quarter of fiscal 2013 compared to the first quarter of fiscal 2012 for products manufactured prior to the phase-in of applicable Tier 4 emission requirements, improved customer confidence coupled with our strong product offering, and favorable weather conditions. Sales of professional segment products in international markets were down due mainly to continued economic weakness in Europe and lower shipments into Canada.</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Operating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for the professional segment were $60.7 million in the first quarter of fiscal 2013 compared to $42.1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fiscal 2012, an increase of 44.3 percent. Expressed as a percentage of net sales, professional segment operating margins increased to 18.5 percent compared to 14.8 percent in the first quarter of fiscal 2012. These profit improvements were primarily attributable to higher sales volumes, an improvement in gross margins due to the same factors discussed previously in the Gross Profit section, and lower SG&amp;A expenses as a percentage of net sales as we leveraged fixed SG&amp;A costs over higher sales volumes.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color w:val="auto"/>
        </w:rPr>
        <w:t>. Worldwide net sales for the residential segment in the first quarter of fiscal 2013 were down by 12.1 percent compared to the first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2012. This decrease was primarily the result of lower shipments of snow thrower products due to the lack of snowfall during our first quarter of fiscal 2013, which also resulted in higher field inventory levels and a decrease in retail demand for the first quarter of fiscal 2013 compared to the same period last fiscal year. Somewhat offsetting the sales decrease for the residential segment was an increase in sales of Pope products in Australia due to increased demand for irrigation products as a result of drought conditions in that region.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Operating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for the residential segment were $12.2 million in the first quarter of fiscal 2013 compared to $12.6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2012, a decrease of 3.6 percent mainly due to the decline in net sales. Expressed as a percentage of net sales, residential segment operating margins improved to 10.0 percent for the first quarter of fiscal 2013 compared to 9.2 percent in the first quarter of fiscal 2012 due to an improvement in gross margins mainly as a result of cost reduction efforts and slightly lower commodity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Net sales for the other segment include sales from our wholly owned domestic distribution companies less sales from the professional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residential segments to those distribution companies. The other segment net sales decreased by $7.8 million for the first quarter of fiscal 2013 compared to the first quarter of fiscal 2012 due to strong professional segment sales, mainly for products manufactured prior to the phase-in of applicable Tier 4 emission requirements, as previously discussed, to our company-owned distribution companies that are eliminated in our other segment.</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u w:val="single" w:color="auto"/>
          <w:color w:val="auto"/>
        </w:rPr>
        <w:t>Operating Losses</w:t>
      </w:r>
      <w:r>
        <w:rPr>
          <w:rFonts w:ascii="Arial" w:cs="Arial" w:eastAsia="Arial" w:hAnsi="Arial"/>
          <w:sz w:val="17"/>
          <w:szCs w:val="17"/>
          <w:color w:val="auto"/>
        </w:rPr>
        <w:t>. Operating losses for the other segment were up, by $4.9 million or 19.8 percent, for the first quarter of fiscal 2013 compared to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2012. This increase was primarily attributable to an increase in the elimination of gross profit previously recorded with respect to sales of our products to our wholly owned distribution companies as a result of higher inventory levels at those distribution companies.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fiscal 2013, our working capital increased due to higher average inventory levels as we built inventory in anticipation of higher demand for products prior to the phase-in of applicable Tier 4 emission requirements. Additionally, incremental inventory from acquisitions of $16 million and higher snow thrower inventory levels from lower sales volumes contributed to our higher inventory levels as of the end of the first quarter of fiscal 2013 compared to the end of the same period last fiscal year. In fiscal 2013, we intend to continue our efforts on efficient asset management, with a focus on minimizing the amount of working capital in the supply chain, adjusting production plans, and maintaining or improving order replenishment and service levels to end users. We define average net working capital as accounts receivable plus inventory less trade payables as a percentage of net sales for a twelve month period.</w:t>
      </w:r>
    </w:p>
    <w:p>
      <w:pPr>
        <w:sectPr>
          <w:pgSz w:w="11900" w:h="16880" w:orient="portrait"/>
          <w:cols w:equalWidth="0" w:num="1">
            <w:col w:w="11420"/>
          </w:cols>
          <w:pgMar w:left="240" w:top="341" w:right="239" w:bottom="0" w:gutter="0" w:footer="0" w:header="0"/>
        </w:sectPr>
      </w:pPr>
    </w:p>
    <w:bookmarkStart w:id="13" w:name="page14"/>
    <w:bookmarkEnd w:id="13"/>
    <w:p>
      <w:pPr>
        <w:ind w:right="60" w:firstLine="270"/>
        <w:spacing w:after="0" w:line="293" w:lineRule="auto"/>
        <w:rPr>
          <w:sz w:val="20"/>
          <w:szCs w:val="20"/>
          <w:color w:val="auto"/>
        </w:rPr>
      </w:pPr>
      <w:r>
        <w:rPr>
          <w:rFonts w:ascii="Arial" w:cs="Arial" w:eastAsia="Arial" w:hAnsi="Arial"/>
          <w:sz w:val="16"/>
          <w:szCs w:val="16"/>
          <w:color w:val="auto"/>
        </w:rPr>
        <w:t>Receivables as of the end of the first quarter of fiscal 2013 increased slightly, by 2.7 percent, compared to the end of the first quarter of fiscal 2012. Our average days sales outstanding for receivables improved to 34.4 days based on sales for the last twelve months ended February 1, 2013, compared to 35.6 days for the twelve months ended February 3, 2012. Inventory increased as of the end of the first quarter of fiscal 2013 by 23.2 percent compared to the end of the first quarter of fiscal 2012, as discussed above. In addition, accounts payable increased as of the end of our first quarter of fiscal 2013 by $16.5 million, or 10.9 percent. As a result of the combination of these increases, our average net working capital as a percentage of net sales for the twelve months ended February 1, 2013 was 15.5 percent compared to 15.1 percent for the twelve months ended February 3, 2012.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of receivables from customers that are not financed with Red Iron. We believe that our anticipated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89"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Our Board of Directors approved a cash dividend of $0.14 per share for the first quarter of fiscal 2013 paid on December 31, 2012, which was an increase of 27.3 percent over our cash dividend of $0.11 per share for the first quarter of fiscal 2012.</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We historically use more operating cash in the first quarter compared to other fiscal quarters due to the seasonality of our business. Cash used for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for the first three months of fiscal 2013 was up $7.2 million compared to the first three months of fiscal 2012 due mainly to a higher increase in working capital requirements, primarily from higher inventory levels, somewhat offset by higher net earnings. Cash used for investing activities was down by $8.6 million compared to the first quarter of fiscal 2012, due mainly to a decrease in cash used to purchase property, plant, and equipment, and an increase in contributions to our equity investment in Red Iron. Cash used in financing activities for the first quarter of fiscal 2013 was $36.3 million compared to cash provided by financing activities of $22.3 million for the first quarter of fiscal 2012. This change was due mainly to higher levels of funds used to repurchase our common stock in the first three months of fiscal 2013 compared to the first three months of fiscal 2012, as well as proceeds from short-term borrowing under our revolving credit facility during the first quarter of fiscal 2012, whereas, we did not have any short-term debt outstanding under our revolving credit facility as of the end of the first quarter of fiscal 2013.</w:t>
      </w:r>
    </w:p>
    <w:p>
      <w:pPr>
        <w:spacing w:after="0" w:line="18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businesses are seasonal, with accounts receivable balances historically increasing between January and April,</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revolving credit facility that expires in July 2015. Included in our $150.0 million revolving credit facility is a sublimit for standby letters of credit and a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spread defined in the credit agreement. In addition, our non-U.S. operations maintain unsecured short-term lines of credit in the aggregate amount of approximately $13.7 million. These facilities bear interest at various rates depending on the rates in their respective countries of operation. As of February 1, 2013, we had no outstanding short-term debt under our credit facilities and $14.2 million of outstanding letters of credit. As of February 1, 2013, we had an aggregate amount of $149.5 million of unutilized availability under our credit agreements.</w:t>
      </w:r>
    </w:p>
    <w:p>
      <w:pPr>
        <w:spacing w:after="0" w:line="187" w:lineRule="exact"/>
        <w:rPr>
          <w:sz w:val="20"/>
          <w:szCs w:val="20"/>
          <w:color w:val="auto"/>
        </w:rPr>
      </w:pPr>
    </w:p>
    <w:p>
      <w:pPr>
        <w:ind w:right="20" w:firstLine="270"/>
        <w:spacing w:after="0" w:line="285" w:lineRule="auto"/>
        <w:rPr>
          <w:sz w:val="20"/>
          <w:szCs w:val="20"/>
          <w:color w:val="auto"/>
        </w:rPr>
      </w:pPr>
      <w:r>
        <w:rPr>
          <w:rFonts w:ascii="Arial" w:cs="Arial" w:eastAsia="Arial" w:hAnsi="Arial"/>
          <w:sz w:val="16"/>
          <w:szCs w:val="16"/>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to payments of cash dividends and stock repurchases as long as our debt to earnings before interest, taxes, depreciation, and amortization (“EBITDA”) ratio from the previous quarter compliance certificate is less than or equal to 2.75; however, we are limited to $50 million per fiscal year if our debt to EBITDA ratio from the previous quarter compliance certificate is greater than 2.75. As of February 1, 2013, we were not limited to payments of cash dividends and stock repurchases as our debt to EBITDA ratio was below 2.75. We were also in compliance with all covenants related to our credit agreement for our revolving credit facility as of February 1, 2013, and we expect to be in compliance with all covenants during the remainder of fiscal 2013.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the first quarter of fiscal 2013 by Standard and Poor’s Ratings Group at BBB and by Moody’s Investors Service at Baa3.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fiscal 2009, we established our Red Iron joint venture with TCFIF. The purpose of Red Iron is to provide inventory financing, including floor plan and open account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$4.9 million of receivables from us during the first quarter of fiscal 2013. As of February 1, 2013, $9.7 million of receivables financed by a third party financing company, excluding Red Iron, were outstanding, and also included</w:t>
      </w:r>
    </w:p>
    <w:p>
      <w:pPr>
        <w:sectPr>
          <w:pgSz w:w="11900" w:h="16838" w:orient="portrait"/>
          <w:cols w:equalWidth="0" w:num="1">
            <w:col w:w="11420"/>
          </w:cols>
          <w:pgMar w:left="240" w:top="341" w:right="239" w:bottom="0" w:gutter="0" w:footer="0" w:header="0"/>
        </w:sectPr>
      </w:pPr>
    </w:p>
    <w:bookmarkStart w:id="14" w:name="page15"/>
    <w:bookmarkEnd w:id="14"/>
    <w:p>
      <w:pPr>
        <w:spacing w:after="0" w:line="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outstanding receivables financed by third party sources before the establishment of Red Iron. See our most recently filed Annual Report on Form 10-K for further details regarding our customer financing arrangements and contractual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subject to the effects of inflation, deflation, and changing prices. In the first quarter of fiscal 2013, average prices paid for commodities and components we purchase were slightly down compared to the average prices paid in the first quarter of fiscal 2012, which improved our gross margin growth rate in the first quarter of fiscal 2013 compared to the first quarter of fiscal 2012. We will continue to closely follow the commodities and components that affect our product lines, and we anticipate average prices paid for commodities and components for the remainder of fiscal 2013 to be approximately equivalent to or slightly higher than average prices paid for commodities and components during fiscal 2012. We expect to mitigate the impact of inflationary pressures by engaging in proactive vendor negotiations, reviewing alternative sourcing options, substituting materials, engaging in internal cost reduction efforts, and increasing prices on some of our products, all as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2012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In December 2011, the Financial Accounting Standards Board (“FASB”) issued Accounting Standards Update (“ASU”) No. 2011-11,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Offsetting Assets and Liabilities</w:t>
      </w:r>
      <w:r>
        <w:rPr>
          <w:rFonts w:ascii="Arial" w:cs="Arial" w:eastAsia="Arial" w:hAnsi="Arial"/>
          <w:sz w:val="18"/>
          <w:szCs w:val="18"/>
          <w:color w:val="auto"/>
        </w:rPr>
        <w:t>. ASU No. 2011-11 requires entities to disclose gross and net information about both instruments and transactions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offset in the statement of financial position and those subject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 agreement similar to a master netting arrangement. This would include derivatives and other financial securities arrangements. We will adopt this guidance in our first quarter of fiscal 2014, as required. The adoption of this guidance is not expected to have a material impact on our consolidated financial statements.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 xml:space="preserve">In February 2013, FASB issued ASU No. 2013-02, </w:t>
      </w:r>
      <w:r>
        <w:rPr>
          <w:rFonts w:ascii="Arial" w:cs="Arial" w:eastAsia="Arial" w:hAnsi="Arial"/>
          <w:sz w:val="17"/>
          <w:szCs w:val="17"/>
          <w:i w:val="1"/>
          <w:iCs w:val="1"/>
          <w:color w:val="auto"/>
        </w:rPr>
        <w:t>Reporting of Amounts Reclassified Out of Accumulated Other Comprehensive Income</w:t>
      </w:r>
      <w:r>
        <w:rPr>
          <w:rFonts w:ascii="Arial" w:cs="Arial" w:eastAsia="Arial" w:hAnsi="Arial"/>
          <w:sz w:val="17"/>
          <w:szCs w:val="17"/>
          <w:color w:val="auto"/>
        </w:rPr>
        <w:t>. ASU</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No. 2013-02 requires entities to disclose, for items reclassified out of accumulated other comprehensive income (loss) and into net income in their entirety, the effect of the reclassification on each affected net income line item. ASU No. 2013-02 also requires a cross reference to other required U.S. GAAP disclosures for accumulated other comprehensive income (loss) reclassification items that are not reclassified in their entirety into net income. We will adopt this guidance in our first quarter of fiscal 2014, as required. The adoption of this guidance is not expected to have a material impact on our consolidated financial statements.</w:t>
      </w:r>
    </w:p>
    <w:p>
      <w:pPr>
        <w:spacing w:after="0" w:line="191"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No other new accounting pronouncement that has been issued but not yet effective for us during the first quarter of fiscal 2013 has had or is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“optimistic,” “plan,” “anticipate,” “continue,” “estimate,” “believe,” “could,” “should,” “will,” “would,” “may,” “possible,” “likely,” “intend,” and similar expressions and by using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66" w:lineRule="exact"/>
        <w:rPr>
          <w:sz w:val="20"/>
          <w:szCs w:val="20"/>
          <w:color w:val="auto"/>
        </w:rPr>
      </w:pPr>
    </w:p>
    <w:p>
      <w:pPr>
        <w:ind w:left="260" w:hanging="252"/>
        <w:spacing w:after="0" w:line="284"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otherwise;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2" w:lineRule="exact"/>
        <w:rPr>
          <w:rFonts w:ascii="Arial" w:cs="Arial" w:eastAsia="Arial" w:hAnsi="Arial"/>
          <w:sz w:val="16"/>
          <w:szCs w:val="16"/>
          <w:color w:val="auto"/>
        </w:rPr>
      </w:pPr>
    </w:p>
    <w:p>
      <w:pPr>
        <w:ind w:left="260" w:right="480" w:hanging="252"/>
        <w:spacing w:after="0" w:line="250"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 conditions may reduce demand for some of our products and adversely affect our net sales and operating results, or may affect the timing of demand for some of our products and may adversely affect net sales and operating results in subsequent periods.</w:t>
      </w:r>
    </w:p>
    <w:p>
      <w:pPr>
        <w:ind w:left="260" w:right="200" w:hanging="252"/>
        <w:spacing w:after="0" w:line="265" w:lineRule="auto"/>
        <w:tabs>
          <w:tab w:leader="none" w:pos="224"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Increases in the cost, or disruption in the availability, of raw materials, components, and parts containing various commodities that we purchase, such as steel, aluminum, fuel, resins, linerboard, copper, lead, rubber, engines, transmissions, transaxles, hydraulics, electric motors, and other commodities and components, and increases in our other costs of doing business, such as transportation costs or employee healthcare costs, including as the result of recently enacted or future healthcare laws or regulations, may adversely affect our profit margins and business.</w:t>
      </w:r>
    </w:p>
    <w:p>
      <w:pPr>
        <w:ind w:left="260" w:right="60" w:hanging="252"/>
        <w:spacing w:after="0" w:line="253"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availability of credit to professional segment customers on acceptable terms to finance new product purchases; and the amount of government revenues, budget, and spending levels for grounds maintenance equipment; and other factors.</w:t>
      </w:r>
    </w:p>
    <w:p>
      <w:pPr>
        <w:sectPr>
          <w:pgSz w:w="11900" w:h="16840" w:orient="portrait"/>
          <w:cols w:equalWidth="0" w:num="1">
            <w:col w:w="11400"/>
          </w:cols>
          <w:pgMar w:left="240" w:top="125" w:right="259" w:bottom="0" w:gutter="0" w:footer="0" w:header="0"/>
        </w:sectPr>
      </w:pPr>
    </w:p>
    <w:bookmarkStart w:id="15" w:name="page16"/>
    <w:bookmarkEnd w:id="15"/>
    <w:p>
      <w:pPr>
        <w:spacing w:after="0" w:line="77" w:lineRule="exact"/>
        <w:rPr>
          <w:sz w:val="20"/>
          <w:szCs w:val="20"/>
          <w:color w:val="auto"/>
        </w:rPr>
      </w:pPr>
    </w:p>
    <w:p>
      <w:pPr>
        <w:ind w:left="260" w:right="160" w:hanging="252"/>
        <w:spacing w:after="0" w:line="308"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mass retailers and home centers, such as The Home Depot, Inc. as a major customer, the amount of product placement at retailers, consumer confidence and spending levels, and changing buying patterns of customers.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60" w:hanging="252"/>
        <w:spacing w:after="0" w:line="284"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accounting, and business factors; including political, economic and/or social instability in the countries in which we sell products resulting in contraction or disruption of such markets;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9" w:lineRule="exact"/>
        <w:rPr>
          <w:rFonts w:ascii="Arial" w:cs="Arial" w:eastAsia="Arial" w:hAnsi="Arial"/>
          <w:sz w:val="18"/>
          <w:szCs w:val="18"/>
          <w:color w:val="auto"/>
        </w:rPr>
      </w:pPr>
    </w:p>
    <w:p>
      <w:pPr>
        <w:ind w:left="260" w:hanging="252"/>
        <w:spacing w:after="0" w:line="267"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 The United States Environmental Protection Agency has adopted increasingly stringent engine emission regulations, including Tier 4 emission requirements applicable to diesel engines in specified horsepower ranges that are used in some of our products. Beginning January 1, 2013, such requirements expand to additional horsepower categories and, accordingly, apply to more of our products. Although we have developed plans to achieve substantial compliance with Tier 4 requirements, these plans are subject to many variables including, among others, the inability of our suppliers to provide compliant engines on a timely basis or our inability to complete the necessary engineering and testing to meet our production schedule. If we are unable to successfully execute such plans, our ability to sell our products into the market may be inhibited, which could adversely affect our competitive position and financial results. To the extent in which we are able to pass along costs we incurred related to research, development, engineering, and other costs to design Tier 4 compliant products in the form of prices increases to our customers and/or our competitors implement different strategies with respect to compliance with Tier 4 requirements, we may experience lower market demand for our products that may, ultimately, adversely affect our profit margins, net sales, and overall financial results. Additionally, if our customers’ buying patterns change to purchasing our products in advance of price increases on compliant products, we may experience abnormal fluctuation in sales and our financial results of any one period may not be representative of expected financial results in subsequent periods. We believe our financial results during the first quarter of fiscal 2013 were positively impacted by these patterns.</w:t>
      </w:r>
    </w:p>
    <w:p>
      <w:pPr>
        <w:spacing w:after="0" w:line="181" w:lineRule="exact"/>
        <w:rPr>
          <w:sz w:val="20"/>
          <w:szCs w:val="20"/>
          <w:color w:val="auto"/>
        </w:rPr>
      </w:pPr>
    </w:p>
    <w:p>
      <w:pPr>
        <w:ind w:left="260" w:firstLine="259"/>
        <w:spacing w:after="0" w:line="253" w:lineRule="auto"/>
        <w:rPr>
          <w:sz w:val="20"/>
          <w:szCs w:val="20"/>
          <w:color w:val="auto"/>
        </w:rPr>
      </w:pPr>
      <w:r>
        <w:rPr>
          <w:rFonts w:ascii="Arial" w:cs="Arial" w:eastAsia="Arial" w:hAnsi="Arial"/>
          <w:sz w:val="18"/>
          <w:szCs w:val="18"/>
          <w:color w:val="auto"/>
        </w:rPr>
        <w:t>As required under the Dodd-Frank Wall Street Reform and Consumer Protection Act, in August 2012 the SEC promulgated final rules regarding disclosure of the use of certain minerals, known as “conflict minerals,” which are mined from the Democratic Republic of the Congo and adjoining countries, as well as procedures regarding a manufacturer’s efforts to prevent the sourcing of such minerals and metals produced from those minerals. These conflict minerals are commonly referred to as “3TG” and include tin, tantalum, tungsten, and gold. The new rules will require us to engage in due diligence efforts for the 2013 calendar year, with initial disclosures required no later than May 31, 2014, and subsequent disclosures required no later than May 31 of each following year. We expect that we will incur additional costs and expenses, which may be significant, in order to comply with these rules. Since our supply chain is complex, ultimately we may not be able to sufficiently verify the origins for any conflict minerals and metals used in our products through the due diligence procedures that we implement, which may adversely affect our reputation with our customers, shareholders, and other stakeholders.</w:t>
      </w:r>
    </w:p>
    <w:p>
      <w:pPr>
        <w:spacing w:after="0" w:line="197" w:lineRule="exact"/>
        <w:rPr>
          <w:sz w:val="20"/>
          <w:szCs w:val="20"/>
          <w:color w:val="auto"/>
        </w:rPr>
      </w:pPr>
    </w:p>
    <w:p>
      <w:pPr>
        <w:ind w:left="260" w:right="280" w:firstLine="259"/>
        <w:spacing w:after="0" w:line="259" w:lineRule="auto"/>
        <w:rPr>
          <w:sz w:val="20"/>
          <w:szCs w:val="20"/>
          <w:color w:val="auto"/>
        </w:rPr>
      </w:pPr>
      <w:r>
        <w:rPr>
          <w:rFonts w:ascii="Arial" w:cs="Arial" w:eastAsia="Arial" w:hAnsi="Arial"/>
          <w:sz w:val="18"/>
          <w:szCs w:val="18"/>
          <w:color w:val="auto"/>
        </w:rPr>
        <w:t>In addition, changes in laws and regulations also may adversely affect our operating results, including, in particular, (i) taxation changes, tax rate changes, new tax laws, revised tax law interpretations, or expiration of the domestic research and development tax credit, which individually or in combination may cause our effective tax rate to increase, or (ii) new, recently enacted or revised healthcare laws or regulations, which may cause us to incur higher employee healthcare and other costs.</w:t>
      </w:r>
    </w:p>
    <w:p>
      <w:pPr>
        <w:spacing w:after="0" w:line="187" w:lineRule="exact"/>
        <w:rPr>
          <w:sz w:val="20"/>
          <w:szCs w:val="20"/>
          <w:color w:val="auto"/>
        </w:rPr>
      </w:pPr>
    </w:p>
    <w:p>
      <w:pPr>
        <w:ind w:left="260" w:right="140" w:hanging="252"/>
        <w:spacing w:after="0" w:line="271"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ind w:left="260" w:right="38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260" w:right="60" w:hanging="252"/>
        <w:spacing w:after="0" w:line="265"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open and manage new facilities, including our new distribution facility in Ankeny, Iowa, and/or move production between manufacturing facilities could adversely affect our business and operating results. In fiscal 2012, we began operations at our new micro-irrigation facility in Romania. If this facility does not produce the anticipated manufacturing or operational efficiencies, or if the micro-irrigation products to be produced at this facility are not accepted into the new geographic markets at expected levels, we may not recover the costs of the new facility and our operating results may be adversely affected.</w:t>
      </w:r>
    </w:p>
    <w:p>
      <w:pPr>
        <w:spacing w:after="0" w:line="1" w:lineRule="exact"/>
        <w:rPr>
          <w:rFonts w:ascii="Arial" w:cs="Arial" w:eastAsia="Arial" w:hAnsi="Arial"/>
          <w:sz w:val="17"/>
          <w:szCs w:val="17"/>
          <w:color w:val="auto"/>
        </w:rPr>
      </w:pPr>
    </w:p>
    <w:p>
      <w:pPr>
        <w:jc w:val="both"/>
        <w:ind w:left="260" w:right="80" w:hanging="252"/>
        <w:spacing w:after="0" w:line="255"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and alliances, stronger customer relations, and new joint ventures and partnerships, all of which are risky and could harm our business, particularly if we are not able to successfully integrate such acquisitions and alliances, joint ventures, and partnerships. Additionally, factors could affect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300"/>
        <w:spacing w:after="0" w:line="258" w:lineRule="auto"/>
        <w:rPr>
          <w:sz w:val="20"/>
          <w:szCs w:val="20"/>
          <w:color w:val="auto"/>
        </w:rPr>
      </w:pPr>
      <w:r>
        <w:rPr>
          <w:rFonts w:ascii="Arial" w:cs="Arial" w:eastAsia="Arial" w:hAnsi="Arial"/>
          <w:sz w:val="18"/>
          <w:szCs w:val="18"/>
          <w:color w:val="auto"/>
        </w:rPr>
        <w:t>completion of our proposed acquisition of a micro-irrigation company in China, including whether and when the required regulatory approvals will be obtained, and whether and when other closing conditions will be satisfied.</w:t>
      </w:r>
    </w:p>
    <w:p>
      <w:pPr>
        <w:spacing w:after="0" w:line="1" w:lineRule="exact"/>
        <w:rPr>
          <w:sz w:val="20"/>
          <w:szCs w:val="20"/>
          <w:color w:val="auto"/>
        </w:rPr>
      </w:pPr>
    </w:p>
    <w:p>
      <w:pPr>
        <w:ind w:left="260" w:right="140" w:hanging="252"/>
        <w:spacing w:after="0" w:line="281" w:lineRule="auto"/>
        <w:tabs>
          <w:tab w:leader="none" w:pos="224"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key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6"/>
          <w:szCs w:val="16"/>
          <w:color w:val="auto"/>
        </w:rPr>
      </w:pPr>
    </w:p>
    <w:p>
      <w:pPr>
        <w:ind w:left="260" w:right="80" w:hanging="252"/>
        <w:spacing w:after="0" w:line="250"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greater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ind w:left="260" w:right="120" w:hanging="252"/>
        <w:spacing w:after="0" w:line="261"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operating results or financial condition.</w:t>
      </w:r>
    </w:p>
    <w:p>
      <w:pPr>
        <w:sectPr>
          <w:pgSz w:w="11900" w:h="16915" w:orient="portrait"/>
          <w:cols w:equalWidth="0" w:num="1">
            <w:col w:w="11380"/>
          </w:cols>
          <w:pgMar w:left="240" w:top="125" w:right="279" w:bottom="0" w:gutter="0" w:footer="0" w:header="0"/>
        </w:sectPr>
      </w:pPr>
    </w:p>
    <w:bookmarkStart w:id="16" w:name="page17"/>
    <w:bookmarkEnd w:id="16"/>
    <w:p>
      <w:pPr>
        <w:ind w:left="260" w:right="460" w:hanging="252"/>
        <w:spacing w:after="0" w:line="258"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spacing w:after="0" w:line="1" w:lineRule="exact"/>
        <w:rPr>
          <w:rFonts w:ascii="Arial" w:cs="Arial" w:eastAsia="Arial" w:hAnsi="Arial"/>
          <w:sz w:val="18"/>
          <w:szCs w:val="18"/>
          <w:color w:val="auto"/>
        </w:rPr>
      </w:pPr>
    </w:p>
    <w:p>
      <w:pPr>
        <w:ind w:left="260" w:right="200" w:hanging="252"/>
        <w:spacing w:after="0" w:line="250"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 w:lineRule="exact"/>
        <w:rPr>
          <w:rFonts w:ascii="Arial" w:cs="Arial" w:eastAsia="Arial" w:hAnsi="Arial"/>
          <w:sz w:val="18"/>
          <w:szCs w:val="18"/>
          <w:color w:val="auto"/>
        </w:rPr>
      </w:pPr>
    </w:p>
    <w:p>
      <w:pPr>
        <w:ind w:left="260" w:right="40" w:hanging="234"/>
        <w:spacing w:after="0" w:line="265" w:lineRule="auto"/>
        <w:tabs>
          <w:tab w:leader="none" w:pos="228"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ind w:left="260" w:right="60" w:hanging="252"/>
        <w:spacing w:after="0" w:line="268"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is subject to a number of other factors that may adversely affect our operating results, financial condition, or business, such as: our ability to achieve the revenue growth, operating earnings, and employee engagement goals of our multi-year employee initiative called “Destination 2014”; natural or man-made disasters or global pandemics that may result in shortages of raw materials and components, higher fuel and commodity costs, delays in shipments to customers, and an increase in insurance premiums; financial difficulties and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U.S. and world economies.</w:t>
      </w:r>
    </w:p>
    <w:p>
      <w:pPr>
        <w:spacing w:after="0" w:line="18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In the normal course of business, we actively manage the exposure of our foreign currency exchange rate market risk</w:t>
      </w:r>
      <w:r>
        <w:rPr>
          <w:rFonts w:ascii="Arial" w:cs="Arial" w:eastAsia="Arial" w:hAnsi="Arial"/>
          <w:sz w:val="17"/>
          <w:szCs w:val="17"/>
          <w:i w:val="1"/>
          <w:iCs w:val="1"/>
          <w:color w:val="auto"/>
        </w:rPr>
        <w:t xml:space="preserve"> </w:t>
      </w:r>
      <w:r>
        <w:rPr>
          <w:rFonts w:ascii="Arial" w:cs="Arial" w:eastAsia="Arial" w:hAnsi="Arial"/>
          <w:sz w:val="17"/>
          <w:szCs w:val="17"/>
          <w:color w:val="auto"/>
        </w:rPr>
        <w:t>by entering into various hedging instruments, authorized under company policies that place controls on these activities, with counterparties that are highly rated financial institutions. Our hedging activities involve the primary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Yuan, and the Romanian New Leu against the U.S. dollar, as well as the Romanian New Leu against the Euro.</w:t>
      </w:r>
    </w:p>
    <w:p>
      <w:pPr>
        <w:spacing w:after="0" w:line="183"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67" w:lineRule="exact"/>
        <w:rPr>
          <w:sz w:val="20"/>
          <w:szCs w:val="20"/>
          <w:color w:val="auto"/>
        </w:rPr>
      </w:pPr>
    </w:p>
    <w:p>
      <w:pPr>
        <w:jc w:val="both"/>
        <w:ind w:right="140" w:firstLine="270"/>
        <w:spacing w:after="0" w:line="279" w:lineRule="auto"/>
        <w:rPr>
          <w:sz w:val="20"/>
          <w:szCs w:val="20"/>
          <w:color w:val="auto"/>
        </w:rPr>
      </w:pPr>
      <w:r>
        <w:rPr>
          <w:rFonts w:ascii="Arial" w:cs="Arial" w:eastAsia="Arial" w:hAnsi="Arial"/>
          <w:sz w:val="17"/>
          <w:szCs w:val="17"/>
          <w:color w:val="auto"/>
        </w:rPr>
        <w:t>The following foreign currency exchange contracts held by us have maturity dates in fiscal 2013 and 2014.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February 1, 2013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Value in</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540" w:type="dxa"/>
            <w:vAlign w:val="bottom"/>
            <w:vMerge w:val="restart"/>
          </w:tcPr>
          <w:p>
            <w:pPr>
              <w:jc w:val="center"/>
              <w:ind w:left="608"/>
              <w:spacing w:after="0"/>
              <w:rPr>
                <w:sz w:val="20"/>
                <w:szCs w:val="20"/>
                <w:color w:val="auto"/>
              </w:rPr>
            </w:pPr>
            <w:r>
              <w:rPr>
                <w:rFonts w:ascii="Arial" w:cs="Arial" w:eastAsia="Arial" w:hAnsi="Arial"/>
                <w:sz w:val="14"/>
                <w:szCs w:val="14"/>
                <w:b w:val="1"/>
                <w:bCs w:val="1"/>
                <w:color w:val="auto"/>
                <w:w w:val="90"/>
              </w:rPr>
              <w:t>Average</w:t>
            </w:r>
          </w:p>
        </w:tc>
        <w:tc>
          <w:tcPr>
            <w:tcW w:w="16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16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540" w:type="dxa"/>
            <w:vAlign w:val="bottom"/>
            <w:vMerge w:val="continue"/>
          </w:tcPr>
          <w:p>
            <w:pPr>
              <w:spacing w:after="0"/>
              <w:rPr>
                <w:sz w:val="12"/>
                <w:szCs w:val="12"/>
                <w:color w:val="auto"/>
              </w:rPr>
            </w:pPr>
          </w:p>
        </w:tc>
        <w:tc>
          <w:tcPr>
            <w:tcW w:w="16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Notional</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vMerge w:val="continue"/>
          </w:tcPr>
          <w:p>
            <w:pPr>
              <w:spacing w:after="0"/>
              <w:rPr>
                <w:sz w:val="12"/>
                <w:szCs w:val="12"/>
                <w:color w:val="auto"/>
              </w:rPr>
            </w:pPr>
          </w:p>
        </w:tc>
        <w:tc>
          <w:tcPr>
            <w:tcW w:w="2540" w:type="dxa"/>
            <w:vAlign w:val="bottom"/>
          </w:tcPr>
          <w:p>
            <w:pPr>
              <w:jc w:val="center"/>
              <w:ind w:left="608"/>
              <w:spacing w:after="0" w:line="149" w:lineRule="exact"/>
              <w:rPr>
                <w:sz w:val="20"/>
                <w:szCs w:val="20"/>
                <w:color w:val="auto"/>
              </w:rPr>
            </w:pPr>
            <w:r>
              <w:rPr>
                <w:rFonts w:ascii="Arial" w:cs="Arial" w:eastAsia="Arial" w:hAnsi="Arial"/>
                <w:sz w:val="14"/>
                <w:szCs w:val="14"/>
                <w:b w:val="1"/>
                <w:bCs w:val="1"/>
                <w:color w:val="auto"/>
                <w:w w:val="94"/>
              </w:rPr>
              <w:t>Contracted</w:t>
            </w:r>
          </w:p>
        </w:tc>
        <w:tc>
          <w:tcPr>
            <w:tcW w:w="1600" w:type="dxa"/>
            <w:vAlign w:val="bottom"/>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6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20"/>
                <w:szCs w:val="20"/>
                <w:color w:val="auto"/>
              </w:rPr>
            </w:pPr>
            <w:r>
              <w:rPr>
                <w:rFonts w:ascii="Arial" w:cs="Arial" w:eastAsia="Arial" w:hAnsi="Arial"/>
                <w:sz w:val="14"/>
                <w:szCs w:val="14"/>
                <w:b w:val="1"/>
                <w:bCs w:val="1"/>
                <w:color w:val="auto"/>
              </w:rPr>
              <w:t>(except average contracted rate)</w:t>
            </w:r>
          </w:p>
        </w:tc>
        <w:tc>
          <w:tcPr>
            <w:tcW w:w="2540" w:type="dxa"/>
            <w:vAlign w:val="bottom"/>
          </w:tcPr>
          <w:p>
            <w:pPr>
              <w:jc w:val="center"/>
              <w:ind w:left="588"/>
              <w:spacing w:after="0"/>
              <w:rPr>
                <w:sz w:val="20"/>
                <w:szCs w:val="20"/>
                <w:color w:val="auto"/>
              </w:rPr>
            </w:pPr>
            <w:r>
              <w:rPr>
                <w:rFonts w:ascii="Arial" w:cs="Arial" w:eastAsia="Arial" w:hAnsi="Arial"/>
                <w:sz w:val="14"/>
                <w:szCs w:val="14"/>
                <w:b w:val="1"/>
                <w:bCs w:val="1"/>
                <w:color w:val="auto"/>
                <w:w w:val="92"/>
              </w:rPr>
              <w:t>Rate</w:t>
            </w:r>
          </w:p>
        </w:tc>
        <w:tc>
          <w:tcPr>
            <w:tcW w:w="1600" w:type="dxa"/>
            <w:vAlign w:val="bottom"/>
          </w:tcPr>
          <w:p>
            <w:pPr>
              <w:ind w:left="580"/>
              <w:spacing w:after="0"/>
              <w:rPr>
                <w:sz w:val="20"/>
                <w:szCs w:val="20"/>
                <w:color w:val="auto"/>
              </w:rPr>
            </w:pPr>
            <w:r>
              <w:rPr>
                <w:rFonts w:ascii="Arial" w:cs="Arial" w:eastAsia="Arial" w:hAnsi="Arial"/>
                <w:sz w:val="14"/>
                <w:szCs w:val="14"/>
                <w:b w:val="1"/>
                <w:bCs w:val="1"/>
                <w:color w:val="auto"/>
              </w:rPr>
              <w:t>Amount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160" w:type="dxa"/>
            <w:vAlign w:val="bottom"/>
          </w:tcPr>
          <w:p>
            <w:pPr>
              <w:jc w:val="center"/>
              <w:ind w:left="388"/>
              <w:spacing w:after="0"/>
              <w:rPr>
                <w:sz w:val="20"/>
                <w:szCs w:val="20"/>
                <w:color w:val="auto"/>
              </w:rPr>
            </w:pPr>
            <w:r>
              <w:rPr>
                <w:rFonts w:ascii="Arial" w:cs="Arial" w:eastAsia="Arial" w:hAnsi="Arial"/>
                <w:sz w:val="14"/>
                <w:szCs w:val="14"/>
                <w:b w:val="1"/>
                <w:bCs w:val="1"/>
                <w:color w:val="auto"/>
                <w:w w:val="90"/>
              </w:rPr>
              <w:t>(Loss) Gain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99770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tabs>
          <w:tab w:leader="none" w:pos="5080" w:val="left"/>
          <w:tab w:leader="none" w:pos="5860" w:val="left"/>
          <w:tab w:leader="none" w:pos="6700" w:val="left"/>
          <w:tab w:leader="none" w:pos="7620" w:val="left"/>
          <w:tab w:leader="none" w:pos="8780" w:val="left"/>
          <w:tab w:leader="none" w:pos="9380" w:val="left"/>
          <w:tab w:leader="none" w:pos="10380" w:val="left"/>
        </w:tabs>
        <w:rPr>
          <w:sz w:val="20"/>
          <w:szCs w:val="20"/>
          <w:color w:val="auto"/>
        </w:rPr>
      </w:pPr>
      <w:r>
        <w:rPr>
          <w:rFonts w:ascii="Arial" w:cs="Arial" w:eastAsia="Arial" w:hAnsi="Arial"/>
          <w:sz w:val="18"/>
          <w:szCs w:val="18"/>
          <w:color w:val="auto"/>
        </w:rPr>
        <w:t>Buy US dollar/Sell Australian dollar</w:t>
      </w:r>
      <w:r>
        <w:rPr>
          <w:sz w:val="20"/>
          <w:szCs w:val="20"/>
          <w:color w:val="auto"/>
        </w:rPr>
        <w:tab/>
      </w:r>
      <w:r>
        <w:rPr>
          <w:rFonts w:ascii="Arial" w:cs="Arial" w:eastAsia="Arial" w:hAnsi="Arial"/>
          <w:sz w:val="18"/>
          <w:szCs w:val="18"/>
          <w:color w:val="auto"/>
        </w:rPr>
        <w:t>1.0275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40,771.7</w:t>
        <w:tab/>
        <w:t>$</w:t>
      </w:r>
      <w:r>
        <w:rPr>
          <w:sz w:val="20"/>
          <w:szCs w:val="20"/>
          <w:color w:val="auto"/>
        </w:rPr>
        <w:tab/>
      </w:r>
      <w:r>
        <w:rPr>
          <w:rFonts w:ascii="Arial" w:cs="Arial" w:eastAsia="Arial" w:hAnsi="Arial"/>
          <w:sz w:val="18"/>
          <w:szCs w:val="18"/>
          <w:color w:val="auto"/>
        </w:rPr>
        <w:t>25.0</w:t>
        <w:tab/>
        <w:t>$</w:t>
      </w:r>
      <w:r>
        <w:rPr>
          <w:sz w:val="20"/>
          <w:szCs w:val="20"/>
          <w:color w:val="auto"/>
        </w:rPr>
        <w:tab/>
      </w:r>
      <w:r>
        <w:rPr>
          <w:rFonts w:ascii="Arial" w:cs="Arial" w:eastAsia="Arial" w:hAnsi="Arial"/>
          <w:sz w:val="16"/>
          <w:szCs w:val="16"/>
          <w:color w:val="auto"/>
        </w:rPr>
        <w:t>(630.2)</w:t>
      </w:r>
    </w:p>
    <w:p>
      <w:pPr>
        <w:sectPr>
          <w:pgSz w:w="11900" w:h="16838" w:orient="portrait"/>
          <w:cols w:equalWidth="0" w:num="1">
            <w:col w:w="11420"/>
          </w:cols>
          <w:pgMar w:left="240" w:top="125" w:right="239" w:bottom="0" w:gutter="0" w:footer="0" w:header="0"/>
          <w:type w:val="continuous"/>
        </w:sectPr>
      </w:pPr>
    </w:p>
    <w:bookmarkStart w:id="17" w:name="page18"/>
    <w:bookmarkEnd w:id="17"/>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Buy US dollar/Sell Canadian dollar</w:t>
            </w:r>
          </w:p>
        </w:tc>
        <w:tc>
          <w:tcPr>
            <w:tcW w:w="2380" w:type="dxa"/>
            <w:vAlign w:val="bottom"/>
          </w:tcPr>
          <w:p>
            <w:pPr>
              <w:jc w:val="right"/>
              <w:ind w:right="490"/>
              <w:spacing w:after="0"/>
              <w:rPr>
                <w:sz w:val="20"/>
                <w:szCs w:val="20"/>
                <w:color w:val="auto"/>
              </w:rPr>
            </w:pPr>
            <w:r>
              <w:rPr>
                <w:rFonts w:ascii="Arial" w:cs="Arial" w:eastAsia="Arial" w:hAnsi="Arial"/>
                <w:sz w:val="18"/>
                <w:szCs w:val="18"/>
                <w:color w:val="auto"/>
              </w:rPr>
              <w:t>1.0182</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7,218.7</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(69.0)</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23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1.2990</w:t>
            </w:r>
          </w:p>
        </w:tc>
        <w:tc>
          <w:tcPr>
            <w:tcW w:w="1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77,744.6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(2,615.6)</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(1,373.7)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Buy US dollar/Sell British pound</w:t>
            </w:r>
          </w:p>
        </w:tc>
        <w:tc>
          <w:tcPr>
            <w:tcW w:w="2380" w:type="dxa"/>
            <w:vAlign w:val="bottom"/>
          </w:tcPr>
          <w:p>
            <w:pPr>
              <w:jc w:val="right"/>
              <w:ind w:right="490"/>
              <w:spacing w:after="0"/>
              <w:rPr>
                <w:sz w:val="20"/>
                <w:szCs w:val="20"/>
                <w:color w:val="auto"/>
              </w:rPr>
            </w:pPr>
            <w:r>
              <w:rPr>
                <w:rFonts w:ascii="Arial" w:cs="Arial" w:eastAsia="Arial" w:hAnsi="Arial"/>
                <w:sz w:val="18"/>
                <w:szCs w:val="18"/>
                <w:color w:val="auto"/>
              </w:rPr>
              <w:t>1.5783</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15,309.3</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23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1.3224</w:t>
            </w:r>
          </w:p>
        </w:tc>
        <w:tc>
          <w:tcPr>
            <w:tcW w:w="1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6,427.7</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Buy Mexican peso/Sell US dollar</w:t>
            </w:r>
          </w:p>
        </w:tc>
        <w:tc>
          <w:tcPr>
            <w:tcW w:w="2380" w:type="dxa"/>
            <w:vAlign w:val="bottom"/>
          </w:tcPr>
          <w:p>
            <w:pPr>
              <w:jc w:val="right"/>
              <w:ind w:right="490"/>
              <w:spacing w:after="0"/>
              <w:rPr>
                <w:sz w:val="20"/>
                <w:szCs w:val="20"/>
                <w:color w:val="auto"/>
              </w:rPr>
            </w:pPr>
            <w:r>
              <w:rPr>
                <w:rFonts w:ascii="Arial" w:cs="Arial" w:eastAsia="Arial" w:hAnsi="Arial"/>
                <w:sz w:val="18"/>
                <w:szCs w:val="18"/>
                <w:color w:val="auto"/>
              </w:rPr>
              <w:t>13.6225</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23,637.3</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856.9</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389.6</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Buy Euro/Sell Romanian New Leu</w:t>
            </w:r>
          </w:p>
        </w:tc>
        <w:tc>
          <w:tcPr>
            <w:tcW w:w="23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4.3864</w:t>
            </w:r>
          </w:p>
        </w:tc>
        <w:tc>
          <w:tcPr>
            <w:tcW w:w="1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16,131.9</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264.6</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51.8</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Buy British pound/Sell Euro</w:t>
            </w:r>
          </w:p>
        </w:tc>
        <w:tc>
          <w:tcPr>
            <w:tcW w:w="2380" w:type="dxa"/>
            <w:vAlign w:val="bottom"/>
          </w:tcPr>
          <w:p>
            <w:pPr>
              <w:jc w:val="right"/>
              <w:ind w:right="490"/>
              <w:spacing w:after="0"/>
              <w:rPr>
                <w:sz w:val="20"/>
                <w:szCs w:val="20"/>
                <w:color w:val="auto"/>
              </w:rPr>
            </w:pPr>
            <w:r>
              <w:rPr>
                <w:rFonts w:ascii="Arial" w:cs="Arial" w:eastAsia="Arial" w:hAnsi="Arial"/>
                <w:sz w:val="18"/>
                <w:szCs w:val="18"/>
                <w:color w:val="auto"/>
              </w:rPr>
              <w:t>1.1639</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6,100.4</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1.8</w:t>
            </w:r>
          </w:p>
        </w:tc>
      </w:tr>
    </w:tbl>
    <w:p>
      <w:pPr>
        <w:spacing w:after="0" w:line="187"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u w:val="single" w:color="auto"/>
          <w:color w:val="auto"/>
        </w:rPr>
        <w:t>Interest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Our market risk on interest rates relates primarily to LIBOR-based short-term debt from commercial banks, as well as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fair value of long-term debt resulting from a potential decrease in interest rates. However, we do not have cash flow or earnings exposure due to market risks on long-term debt.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pacing w:after="0" w:line="15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fuel, petroleum-based resin,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fiscal quarter ended February 1, 2013 that has materially affected, or is reasonably likely to materially affect, our internal control over financial reporting.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patent infringement.</w:t>
      </w:r>
    </w:p>
    <w:p>
      <w:pPr>
        <w:spacing w:after="0" w:line="166"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For a description of our material legal proceedings, see Notes to Condensed Consolidated Financial Statements under the heading “Litigation” included in Item 1 of this Quarterly Report on Form 10-Q, which is incorporated into this Part II. Item 1 by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first quarter of fiscal 2013 stock repurchase activity:</w:t>
      </w:r>
    </w:p>
    <w:p>
      <w:pPr>
        <w:sectPr>
          <w:pgSz w:w="11900" w:h="16874" w:orient="portrait"/>
          <w:cols w:equalWidth="0" w:num="1">
            <w:col w:w="11420"/>
          </w:cols>
          <w:pgMar w:left="240" w:top="125" w:right="2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Total Number of</w:t>
            </w: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Purchased</w:t>
            </w:r>
          </w:p>
        </w:tc>
        <w:tc>
          <w:tcPr>
            <w:tcW w:w="1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Paid per</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Share</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420" w:type="dxa"/>
            <w:vAlign w:val="bottom"/>
            <w:gridSpan w:val="3"/>
            <w:vMerge w:val="continue"/>
          </w:tcPr>
          <w:p>
            <w:pPr>
              <w:spacing w:after="0"/>
              <w:rPr>
                <w:sz w:val="14"/>
                <w:szCs w:val="14"/>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Purchased (1,2,3,4)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(or Unit)</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or Programs (1,2)</w:t>
            </w: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Programs (1,2)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2012 through November 30, 2012</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46,169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40.95</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46,169</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1,428,508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2012 through December 28, 2012</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451,007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42.64</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448,920</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5,979,588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29, 2012 through February 1, 2013</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283,269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42.79</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281,823</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5,697,765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780,445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42.59</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776,912</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328"/>
        <w:spacing w:after="0" w:line="259"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1, 2010, the company’s Board of Directors authorized the repurchase of 6,000,000 shares of the company’s common stock in open-market or in privately negotiated transactions. This program has no expiration date but may be terminated by the company’s Board of Directors at any time. The company repurchased an aggregate of 776,912 shares during the periods indicated above under this program. There are 697,765 shares remaining for repurchase under this program.</w:t>
      </w:r>
    </w:p>
    <w:p>
      <w:pPr>
        <w:spacing w:after="0" w:line="186" w:lineRule="exact"/>
        <w:rPr>
          <w:rFonts w:ascii="Arial" w:cs="Arial" w:eastAsia="Arial" w:hAnsi="Arial"/>
          <w:sz w:val="18"/>
          <w:szCs w:val="18"/>
          <w:color w:val="auto"/>
        </w:rPr>
      </w:pPr>
    </w:p>
    <w:p>
      <w:pPr>
        <w:ind w:left="660" w:right="180" w:hanging="328"/>
        <w:spacing w:after="0" w:line="264"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11, 2012, the company’s Board of Directors authorized the repurchase of 5,000,000 shares of the company’s common stock in open-market or in privately negotiated transactions. This program has no expiration date but may be terminated by the company’s Board of Directors at any time. No shares were repurchased during the periods indicated above under this program.</w:t>
      </w:r>
    </w:p>
    <w:p>
      <w:pPr>
        <w:spacing w:after="0" w:line="181" w:lineRule="exact"/>
        <w:rPr>
          <w:rFonts w:ascii="Arial" w:cs="Arial" w:eastAsia="Arial" w:hAnsi="Arial"/>
          <w:sz w:val="18"/>
          <w:szCs w:val="18"/>
          <w:color w:val="auto"/>
        </w:rPr>
      </w:pPr>
    </w:p>
    <w:p>
      <w:pPr>
        <w:jc w:val="both"/>
        <w:ind w:left="660" w:right="240" w:hanging="328"/>
        <w:spacing w:after="0" w:line="264"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2,233 shares of the company’s common stock surrendered by employees to satisfy minimum tax withholding obligations upon vesting of restricted stock granted under the company’s equity and incentive plan. These 2,233 shares were not repurchased under the company’s repurchase programs described in footnotes 1 and 2 above.</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1,300 units (shares) of the company’s common stock purchased in open-market transactions at an average price of $42.76 per share on behalf of a rabbi trust formed to pay benefit obligations of the company to participants in deferred compensation plans. These 1,300 shares were not repurchased under the company’s repurchase programs described in footnotes 1 and 2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760" w:right="180" w:hanging="1323"/>
        <w:spacing w:after="0" w:line="277" w:lineRule="auto"/>
        <w:rPr>
          <w:rFonts w:ascii="Arial" w:cs="Arial" w:eastAsia="Arial" w:hAnsi="Arial"/>
          <w:sz w:val="18"/>
          <w:szCs w:val="18"/>
          <w:color w:val="auto"/>
        </w:rPr>
      </w:pPr>
      <w:r>
        <w:rPr>
          <w:rFonts w:ascii="Arial" w:cs="Arial" w:eastAsia="Arial" w:hAnsi="Arial"/>
          <w:sz w:val="18"/>
          <w:szCs w:val="18"/>
          <w:color w:val="auto"/>
        </w:rPr>
        <w:t>3.1 and 4.1Restated Certificate of Incorporation of The Toro Company (incorporated by reference to Exhibit 3.1 to Registrant’s Current Report on Form 8-K dated June 17, 2008, Commission File No. 1-8649).</w:t>
      </w:r>
    </w:p>
    <w:p>
      <w:pPr>
        <w:spacing w:after="0" w:line="170"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3.2 and 4.2</w:t>
            </w:r>
          </w:p>
        </w:tc>
        <w:tc>
          <w:tcPr>
            <w:tcW w:w="9940" w:type="dxa"/>
            <w:vAlign w:val="bottom"/>
          </w:tcPr>
          <w:p>
            <w:pPr>
              <w:ind w:left="280"/>
              <w:spacing w:after="0"/>
              <w:rPr>
                <w:sz w:val="20"/>
                <w:szCs w:val="20"/>
                <w:color w:val="auto"/>
              </w:rPr>
            </w:pPr>
            <w:r>
              <w:rPr>
                <w:rFonts w:ascii="Arial" w:cs="Arial" w:eastAsia="Arial" w:hAnsi="Arial"/>
                <w:sz w:val="18"/>
                <w:szCs w:val="18"/>
                <w:color w:val="auto"/>
                <w:w w:val="94"/>
              </w:rPr>
              <w:t>Amended and Restated Bylaws of The Toro Company (incorporated by reference to Exhibit 3.2 to Registrant’s Current Report on</w:t>
            </w:r>
          </w:p>
        </w:tc>
      </w:tr>
      <w:tr>
        <w:trPr>
          <w:trHeight w:val="230"/>
        </w:trPr>
        <w:tc>
          <w:tcPr>
            <w:tcW w:w="106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4.3</w:t>
            </w:r>
          </w:p>
        </w:tc>
        <w:tc>
          <w:tcPr>
            <w:tcW w:w="9940" w:type="dxa"/>
            <w:vAlign w:val="bottom"/>
          </w:tcPr>
          <w:p>
            <w:pPr>
              <w:ind w:left="280"/>
              <w:spacing w:after="0"/>
              <w:rPr>
                <w:sz w:val="20"/>
                <w:szCs w:val="20"/>
                <w:color w:val="auto"/>
              </w:rPr>
            </w:pPr>
            <w:r>
              <w:rPr>
                <w:rFonts w:ascii="Arial" w:cs="Arial" w:eastAsia="Arial" w:hAnsi="Arial"/>
                <w:sz w:val="18"/>
                <w:szCs w:val="18"/>
                <w:color w:val="auto"/>
                <w:w w:val="91"/>
              </w:rPr>
              <w:t>Specimen Form of Common Stock Certificate (incorporated by reference to Exhibit 4(c) to Registrant’s Quarterly Report on Form 10-</w:t>
            </w:r>
          </w:p>
        </w:tc>
      </w:tr>
      <w:tr>
        <w:trPr>
          <w:trHeight w:val="230"/>
        </w:trPr>
        <w:tc>
          <w:tcPr>
            <w:tcW w:w="106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Q for the fiscal quarter ended August 1, 2008,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4.4</w:t>
            </w:r>
          </w:p>
        </w:tc>
        <w:tc>
          <w:tcPr>
            <w:tcW w:w="9940" w:type="dxa"/>
            <w:vAlign w:val="bottom"/>
          </w:tcPr>
          <w:p>
            <w:pPr>
              <w:ind w:left="280"/>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1060" w:type="dxa"/>
            <w:vAlign w:val="bottom"/>
          </w:tcPr>
          <w:p>
            <w:pPr>
              <w:spacing w:after="0"/>
              <w:rPr>
                <w:sz w:val="18"/>
                <w:szCs w:val="18"/>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w w:val="96"/>
              </w:rPr>
              <w:t>Company’s 7.80% Debentures due June 15, 2027 (incorporated by reference to Exhibit 4(a) to Registrant’s Current Report on</w:t>
            </w:r>
          </w:p>
        </w:tc>
      </w:tr>
      <w:tr>
        <w:trPr>
          <w:trHeight w:val="230"/>
        </w:trPr>
        <w:tc>
          <w:tcPr>
            <w:tcW w:w="106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Form 8-K dated June 24, 1997,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4.5</w:t>
            </w:r>
          </w:p>
        </w:tc>
        <w:tc>
          <w:tcPr>
            <w:tcW w:w="9940" w:type="dxa"/>
            <w:vAlign w:val="bottom"/>
          </w:tcPr>
          <w:p>
            <w:pPr>
              <w:ind w:left="280"/>
              <w:spacing w:after="0"/>
              <w:rPr>
                <w:sz w:val="20"/>
                <w:szCs w:val="20"/>
                <w:color w:val="auto"/>
              </w:rPr>
            </w:pPr>
            <w:r>
              <w:rPr>
                <w:rFonts w:ascii="Arial" w:cs="Arial" w:eastAsia="Arial" w:hAnsi="Arial"/>
                <w:sz w:val="18"/>
                <w:szCs w:val="18"/>
                <w:color w:val="auto"/>
                <w:w w:val="93"/>
              </w:rPr>
              <w:t>Indenture dated as of April 20, 2007, between Registrant and The Bank of New York Trust Company, N.A., as Trustee, relating to</w:t>
            </w:r>
          </w:p>
        </w:tc>
      </w:tr>
      <w:tr>
        <w:trPr>
          <w:trHeight w:val="216"/>
        </w:trPr>
        <w:tc>
          <w:tcPr>
            <w:tcW w:w="1060" w:type="dxa"/>
            <w:vAlign w:val="bottom"/>
          </w:tcPr>
          <w:p>
            <w:pPr>
              <w:spacing w:after="0"/>
              <w:rPr>
                <w:sz w:val="18"/>
                <w:szCs w:val="18"/>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w w:val="91"/>
              </w:rPr>
              <w:t>The Toro Company’s 6.625% Notes due May 1, 2037 (incorporated by reference to Exhibit 4.3 to Registrant’s Registration Statement</w:t>
            </w:r>
          </w:p>
        </w:tc>
      </w:tr>
      <w:tr>
        <w:trPr>
          <w:trHeight w:val="230"/>
        </w:trPr>
        <w:tc>
          <w:tcPr>
            <w:tcW w:w="106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on Form S-3 filed with the Securities and Exchange Commission on April 23, 2007, Registration No. 333-142282).</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4.6</w:t>
            </w:r>
          </w:p>
        </w:tc>
        <w:tc>
          <w:tcPr>
            <w:tcW w:w="9940" w:type="dxa"/>
            <w:vAlign w:val="bottom"/>
          </w:tcPr>
          <w:p>
            <w:pPr>
              <w:ind w:left="280"/>
              <w:spacing w:after="0"/>
              <w:rPr>
                <w:sz w:val="20"/>
                <w:szCs w:val="20"/>
                <w:color w:val="auto"/>
              </w:rPr>
            </w:pPr>
            <w:r>
              <w:rPr>
                <w:rFonts w:ascii="Arial" w:cs="Arial" w:eastAsia="Arial" w:hAnsi="Arial"/>
                <w:sz w:val="18"/>
                <w:szCs w:val="18"/>
                <w:color w:val="auto"/>
                <w:w w:val="93"/>
              </w:rPr>
              <w:t>First Supplemental Indenture dated as of April 26, 2007, between Registrant and The Bank of New York Trust Company, N.A., as</w:t>
            </w:r>
          </w:p>
        </w:tc>
      </w:tr>
      <w:tr>
        <w:trPr>
          <w:trHeight w:val="216"/>
        </w:trPr>
        <w:tc>
          <w:tcPr>
            <w:tcW w:w="1060" w:type="dxa"/>
            <w:vAlign w:val="bottom"/>
          </w:tcPr>
          <w:p>
            <w:pPr>
              <w:spacing w:after="0"/>
              <w:rPr>
                <w:sz w:val="18"/>
                <w:szCs w:val="18"/>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w w:val="94"/>
              </w:rPr>
              <w:t>Trustee, relating to The Toro Company’s 6.625% Notes due May 1, 2037 (incorporated by reference to Exhibit 4.1 to Registrant’s</w:t>
            </w:r>
          </w:p>
        </w:tc>
      </w:tr>
      <w:tr>
        <w:trPr>
          <w:trHeight w:val="230"/>
        </w:trPr>
        <w:tc>
          <w:tcPr>
            <w:tcW w:w="106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Current Report on Form 8-K dated April 23, 2007,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4.7</w:t>
            </w:r>
          </w:p>
        </w:tc>
        <w:tc>
          <w:tcPr>
            <w:tcW w:w="9940" w:type="dxa"/>
            <w:vAlign w:val="bottom"/>
          </w:tcPr>
          <w:p>
            <w:pPr>
              <w:ind w:left="280"/>
              <w:spacing w:after="0"/>
              <w:rPr>
                <w:sz w:val="20"/>
                <w:szCs w:val="20"/>
                <w:color w:val="auto"/>
              </w:rPr>
            </w:pPr>
            <w:r>
              <w:rPr>
                <w:rFonts w:ascii="Arial" w:cs="Arial" w:eastAsia="Arial" w:hAnsi="Arial"/>
                <w:sz w:val="18"/>
                <w:szCs w:val="18"/>
                <w:color w:val="auto"/>
                <w:w w:val="92"/>
              </w:rPr>
              <w:t>Form of The Toro Company 6.625% Note due May 1, 2037 (incorporated by reference to Exhibit 4.2 to Registrant’s Current Report</w:t>
            </w:r>
          </w:p>
        </w:tc>
      </w:tr>
      <w:tr>
        <w:trPr>
          <w:trHeight w:val="230"/>
        </w:trPr>
        <w:tc>
          <w:tcPr>
            <w:tcW w:w="106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on Form 8-K dated April 23, 2007, Commission File No. 1-8649).</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280"/>
              <w:spacing w:after="0"/>
              <w:rPr>
                <w:sz w:val="20"/>
                <w:szCs w:val="20"/>
                <w:color w:val="auto"/>
              </w:rPr>
            </w:pPr>
            <w:r>
              <w:rPr>
                <w:rFonts w:ascii="Arial" w:cs="Arial" w:eastAsia="Arial" w:hAnsi="Arial"/>
                <w:sz w:val="18"/>
                <w:szCs w:val="18"/>
                <w:color w:val="auto"/>
                <w:w w:val="92"/>
              </w:rPr>
              <w:t>Certification of Chief Executive Officer Pursuant to Rule 13a-14(a) (Section 302 of the Sarbanes-Oxley Act of 2002) (filed herewith).</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280"/>
              <w:spacing w:after="0"/>
              <w:rPr>
                <w:sz w:val="20"/>
                <w:szCs w:val="20"/>
                <w:color w:val="auto"/>
              </w:rPr>
            </w:pPr>
            <w:r>
              <w:rPr>
                <w:rFonts w:ascii="Arial" w:cs="Arial" w:eastAsia="Arial" w:hAnsi="Arial"/>
                <w:sz w:val="18"/>
                <w:szCs w:val="18"/>
                <w:color w:val="auto"/>
                <w:w w:val="92"/>
              </w:rPr>
              <w:t>Certification of Chief Financial Officer Pursuant to Rule 13a-14(a) (Section 302 of the Sarbanes-Oxley Act of 2002) (filed herewith).</w:t>
            </w:r>
          </w:p>
        </w:tc>
      </w:tr>
    </w:tbl>
    <w:p>
      <w:pPr>
        <w:spacing w:after="0" w:line="202" w:lineRule="exact"/>
        <w:rPr>
          <w:sz w:val="20"/>
          <w:szCs w:val="20"/>
          <w:color w:val="auto"/>
        </w:rPr>
      </w:pPr>
    </w:p>
    <w:p>
      <w:pPr>
        <w:ind w:left="1760" w:right="400" w:hanging="1333"/>
        <w:spacing w:after="0" w:line="277" w:lineRule="auto"/>
        <w:tabs>
          <w:tab w:leader="none" w:pos="1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70" w:lineRule="exact"/>
        <w:rPr>
          <w:sz w:val="20"/>
          <w:szCs w:val="20"/>
          <w:color w:val="auto"/>
        </w:rPr>
      </w:pPr>
    </w:p>
    <w:p>
      <w:pPr>
        <w:ind w:left="1760" w:right="560" w:hanging="1333"/>
        <w:spacing w:after="0" w:line="291" w:lineRule="auto"/>
        <w:tabs>
          <w:tab w:leader="none" w:pos="1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information from The Toro Company’s Quarterly Report on Form 10-Q for the quarterly period ended February 1, 2013, filed with the SEC on March 6, 2013, formatted in eXtensible Business Reporting Language (XBRL):</w:t>
      </w:r>
    </w:p>
    <w:p>
      <w:pPr>
        <w:ind w:left="1760"/>
        <w:spacing w:after="0"/>
        <w:rPr>
          <w:rFonts w:ascii="Arial" w:cs="Arial" w:eastAsia="Arial" w:hAnsi="Arial"/>
          <w:sz w:val="16"/>
          <w:szCs w:val="16"/>
          <w:color w:val="auto"/>
        </w:rPr>
      </w:pPr>
      <w:r>
        <w:rPr>
          <w:rFonts w:ascii="Arial" w:cs="Arial" w:eastAsia="Arial" w:hAnsi="Arial"/>
          <w:sz w:val="17"/>
          <w:szCs w:val="17"/>
          <w:color w:val="auto"/>
        </w:rPr>
        <w:t>(i) Condensed Consolidated Statements of Earnings for the three-month periods ended February 1, 2013 and February 3, 2012,</w:t>
      </w:r>
    </w:p>
    <w:p>
      <w:pPr>
        <w:sectPr>
          <w:pgSz w:w="11900" w:h="16838" w:orient="portrait"/>
          <w:cols w:equalWidth="0" w:num="1">
            <w:col w:w="11420"/>
          </w:cols>
          <w:pgMar w:left="240" w:top="320" w:right="239" w:bottom="0" w:gutter="0" w:footer="0" w:header="0"/>
        </w:sectPr>
      </w:pPr>
    </w:p>
    <w:bookmarkStart w:id="19" w:name="page20"/>
    <w:bookmarkEnd w:id="19"/>
    <w:p>
      <w:pPr>
        <w:ind w:left="1760" w:right="440" w:hanging="10"/>
        <w:spacing w:after="0" w:line="291" w:lineRule="auto"/>
        <w:tabs>
          <w:tab w:leader="none" w:pos="20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Condensed Consolidated Statements of Comprehensive Income for the three-month periods ended February 1, 2013 and February 3, 2012, (iii) Condensed Consolidated Balance Sheets as of February 1, 2013, February 3, 2012, and October 31, 2012,</w:t>
      </w:r>
    </w:p>
    <w:p>
      <w:pPr>
        <w:ind w:left="2060" w:hanging="310"/>
        <w:spacing w:after="0"/>
        <w:tabs>
          <w:tab w:leader="none" w:pos="2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Condensed Consolidated Statement of Cash Flows for the three-month periods ended February 1, 2013 and February 3, 2012, and</w:t>
      </w:r>
    </w:p>
    <w:p>
      <w:pPr>
        <w:spacing w:after="0" w:line="32" w:lineRule="exact"/>
        <w:rPr>
          <w:rFonts w:ascii="Arial" w:cs="Arial" w:eastAsia="Arial" w:hAnsi="Arial"/>
          <w:sz w:val="16"/>
          <w:szCs w:val="16"/>
          <w:color w:val="auto"/>
        </w:rPr>
      </w:pPr>
    </w:p>
    <w:p>
      <w:pPr>
        <w:ind w:left="2000" w:hanging="250"/>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8380" w:type="dxa"/>
            <w:vAlign w:val="bottom"/>
            <w:gridSpan w:val="2"/>
          </w:tcPr>
          <w:p>
            <w:pPr>
              <w:ind w:left="156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8380" w:type="dxa"/>
            <w:vAlign w:val="bottom"/>
            <w:gridSpan w:val="2"/>
          </w:tcPr>
          <w:p>
            <w:pPr>
              <w:ind w:left="208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March 6, 2013</w:t>
            </w:r>
          </w:p>
        </w:tc>
        <w:tc>
          <w:tcPr>
            <w:tcW w:w="8380" w:type="dxa"/>
            <w:vAlign w:val="bottom"/>
            <w:gridSpan w:val="2"/>
          </w:tcPr>
          <w:p>
            <w:pPr>
              <w:ind w:left="286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3040" w:type="dxa"/>
            <w:vAlign w:val="bottom"/>
          </w:tcPr>
          <w:p>
            <w:pPr>
              <w:spacing w:after="0"/>
              <w:rPr>
                <w:sz w:val="15"/>
                <w:szCs w:val="15"/>
                <w:color w:val="auto"/>
              </w:rPr>
            </w:pPr>
          </w:p>
        </w:tc>
        <w:tc>
          <w:tcPr>
            <w:tcW w:w="3240" w:type="dxa"/>
            <w:vAlign w:val="bottom"/>
          </w:tcPr>
          <w:p>
            <w:pPr>
              <w:ind w:left="2860"/>
              <w:spacing w:after="0" w:line="182" w:lineRule="exact"/>
              <w:rPr>
                <w:sz w:val="20"/>
                <w:szCs w:val="20"/>
                <w:color w:val="auto"/>
              </w:rPr>
            </w:pPr>
            <w:r>
              <w:rPr>
                <w:rFonts w:ascii="Arial" w:cs="Arial" w:eastAsia="Arial" w:hAnsi="Arial"/>
                <w:sz w:val="17"/>
                <w:szCs w:val="17"/>
                <w:color w:val="auto"/>
                <w:w w:val="71"/>
              </w:rPr>
              <w:t>Renee</w:t>
            </w:r>
          </w:p>
        </w:tc>
        <w:tc>
          <w:tcPr>
            <w:tcW w:w="514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3040" w:type="dxa"/>
            <w:vAlign w:val="bottom"/>
          </w:tcPr>
          <w:p>
            <w:pPr>
              <w:spacing w:after="0"/>
              <w:rPr>
                <w:sz w:val="18"/>
                <w:szCs w:val="18"/>
                <w:color w:val="auto"/>
              </w:rPr>
            </w:pPr>
          </w:p>
        </w:tc>
        <w:tc>
          <w:tcPr>
            <w:tcW w:w="8380" w:type="dxa"/>
            <w:vAlign w:val="bottom"/>
            <w:gridSpan w:val="2"/>
          </w:tcPr>
          <w:p>
            <w:pPr>
              <w:ind w:left="2860"/>
              <w:spacing w:after="0"/>
              <w:rPr>
                <w:sz w:val="20"/>
                <w:szCs w:val="20"/>
                <w:color w:val="auto"/>
              </w:rPr>
            </w:pPr>
            <w:r>
              <w:rPr>
                <w:rFonts w:ascii="Arial" w:cs="Arial" w:eastAsia="Arial" w:hAnsi="Arial"/>
                <w:sz w:val="18"/>
                <w:szCs w:val="18"/>
                <w:color w:val="auto"/>
              </w:rPr>
              <w:t>Vice President, Finance</w:t>
            </w:r>
          </w:p>
        </w:tc>
        <w:tc>
          <w:tcPr>
            <w:tcW w:w="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8380" w:type="dxa"/>
            <w:vAlign w:val="bottom"/>
            <w:gridSpan w:val="2"/>
          </w:tcPr>
          <w:p>
            <w:pPr>
              <w:ind w:left="286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8380" w:type="dxa"/>
            <w:vAlign w:val="bottom"/>
            <w:gridSpan w:val="2"/>
          </w:tcPr>
          <w:p>
            <w:pPr>
              <w:ind w:left="2860"/>
              <w:spacing w:after="0"/>
              <w:rPr>
                <w:sz w:val="20"/>
                <w:szCs w:val="20"/>
                <w:color w:val="auto"/>
              </w:rPr>
            </w:pPr>
            <w:r>
              <w:rPr>
                <w:rFonts w:ascii="Arial" w:cs="Arial" w:eastAsia="Arial" w:hAnsi="Arial"/>
                <w:sz w:val="18"/>
                <w:szCs w:val="18"/>
                <w:color w:val="auto"/>
              </w:rPr>
              <w:t>(duly authorized officer and principal financial officer)</w:t>
            </w:r>
          </w:p>
        </w:tc>
        <w:tc>
          <w:tcPr>
            <w:tcW w:w="4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3240" w:type="dxa"/>
            <w:vAlign w:val="bottom"/>
          </w:tcPr>
          <w:p>
            <w:pPr>
              <w:ind w:left="2580"/>
              <w:spacing w:after="0"/>
              <w:rPr>
                <w:sz w:val="20"/>
                <w:szCs w:val="20"/>
                <w:color w:val="auto"/>
              </w:rPr>
            </w:pPr>
            <w:r>
              <w:rPr>
                <w:rFonts w:ascii="Arial" w:cs="Arial" w:eastAsia="Arial" w:hAnsi="Arial"/>
                <w:sz w:val="18"/>
                <w:szCs w:val="18"/>
                <w:color w:val="auto"/>
              </w:rPr>
              <w:t>29</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04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5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February 1, 2013 as filed with the Securities and Exchange Commission on the date hereof (the “Report”), we, Michael J. Hoffman, Chairman of the Board, President and Chief Executive Officer of the Company, and Renee J. Peterson, Vice President, Finance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2013</w:t>
      </w:r>
    </w:p>
    <w:p>
      <w:pPr>
        <w:spacing w:after="0" w:line="200" w:lineRule="exact"/>
        <w:rPr>
          <w:sz w:val="20"/>
          <w:szCs w:val="20"/>
          <w:color w:val="auto"/>
        </w:rPr>
      </w:pPr>
    </w:p>
    <w:p>
      <w:pPr>
        <w:spacing w:after="0" w:line="22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lvl w:ilvl="1">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32"/>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1)"/>
      <w:numFmt w:val="lowerRoman"/>
      <w:start w:val="2"/>
    </w:lvl>
  </w:abstractNum>
  <w:abstractNum w:abstractNumId="11">
    <w:nsid w:val="109CF92E"/>
    <w:multiLevelType w:val="hybridMultilevel"/>
    <w:lvl w:ilvl="0">
      <w:lvlJc w:val="left"/>
      <w:lvlText w:val="(%1)"/>
      <w:numFmt w:val="lowerRoman"/>
      <w:start w:val="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2019-12-05T21:17:40Z</dcterms:created>
  <dcterms:modified xsi:type="dcterms:W3CDTF">2019-12-05T21:17:40Z</dcterms:modified>
</cp:coreProperties>
</file>