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JANEY GREGORY S</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12/16/2020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5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1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5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20" w:type="dxa"/>
            <w:vAlign w:val="bottom"/>
          </w:tcPr>
          <w:p>
            <w:pPr>
              <w:spacing w:after="0"/>
              <w:rPr>
                <w:sz w:val="21"/>
                <w:szCs w:val="21"/>
                <w:color w:val="auto"/>
              </w:rPr>
            </w:pPr>
          </w:p>
        </w:tc>
        <w:tc>
          <w:tcPr>
            <w:tcW w:w="1560" w:type="dxa"/>
            <w:vAlign w:val="bottom"/>
          </w:tcPr>
          <w:p>
            <w:pPr>
              <w:ind w:left="860"/>
              <w:spacing w:after="0"/>
              <w:rPr>
                <w:sz w:val="20"/>
                <w:szCs w:val="20"/>
                <w:color w:val="auto"/>
              </w:rPr>
            </w:pPr>
            <w:r>
              <w:rPr>
                <w:rFonts w:ascii="Arial" w:cs="Arial" w:eastAsia="Arial" w:hAnsi="Arial"/>
                <w:sz w:val="17"/>
                <w:szCs w:val="17"/>
                <w:color w:val="0000FF"/>
              </w:rPr>
              <w:t>VP, RLC</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2"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665"/>
              <w:spacing w:after="0"/>
              <w:rPr>
                <w:sz w:val="20"/>
                <w:szCs w:val="20"/>
                <w:color w:val="auto"/>
              </w:rPr>
            </w:pPr>
            <w:r>
              <w:rPr>
                <w:rFonts w:ascii="Arial" w:cs="Arial" w:eastAsia="Arial" w:hAnsi="Arial"/>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1920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920875"/>
                    </a:xfrm>
                    <a:prstGeom prst="rect">
                      <a:avLst/>
                    </a:prstGeom>
                    <a:noFill/>
                  </pic:spPr>
                </pic:pic>
              </a:graphicData>
            </a:graphic>
          </wp:anchor>
        </w:drawing>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00"/>
              <w:spacing w:after="0" w:line="127"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3"/>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3"/>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12/16/2020</w:t>
            </w: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1,097</w:t>
            </w:r>
            <w:r>
              <w:rPr>
                <w:rFonts w:ascii="Arial" w:cs="Arial" w:eastAsia="Arial" w:hAnsi="Arial"/>
                <w:sz w:val="21"/>
                <w:szCs w:val="21"/>
                <w:color w:val="008000"/>
                <w:vertAlign w:val="superscript"/>
              </w:rPr>
              <w:t>(1)</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3,033.762</w:t>
            </w:r>
            <w:r>
              <w:rPr>
                <w:rFonts w:ascii="Arial" w:cs="Arial" w:eastAsia="Arial" w:hAnsi="Arial"/>
                <w:sz w:val="21"/>
                <w:szCs w:val="21"/>
                <w:color w:val="008000"/>
                <w:w w:val="86"/>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60" w:type="dxa"/>
            <w:vAlign w:val="bottom"/>
            <w:gridSpan w:val="2"/>
          </w:tcPr>
          <w:p>
            <w:pPr>
              <w:ind w:left="680"/>
              <w:spacing w:after="0"/>
              <w:rPr>
                <w:sz w:val="20"/>
                <w:szCs w:val="20"/>
                <w:color w:val="auto"/>
              </w:rPr>
            </w:pPr>
            <w:r>
              <w:rPr>
                <w:rFonts w:ascii="Arial" w:cs="Arial" w:eastAsia="Arial" w:hAnsi="Arial"/>
                <w:sz w:val="17"/>
                <w:szCs w:val="17"/>
                <w:color w:val="0000FF"/>
              </w:rPr>
              <w:t>12/16/2020</w:t>
            </w: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Pr>
          <w:p>
            <w:pPr>
              <w:jc w:val="right"/>
              <w:ind w:right="95"/>
              <w:spacing w:after="0"/>
              <w:rPr>
                <w:sz w:val="20"/>
                <w:szCs w:val="20"/>
                <w:color w:val="auto"/>
              </w:rPr>
            </w:pPr>
            <w:r>
              <w:rPr>
                <w:rFonts w:ascii="Arial" w:cs="Arial" w:eastAsia="Arial" w:hAnsi="Arial"/>
                <w:sz w:val="17"/>
                <w:szCs w:val="17"/>
                <w:color w:val="0000FF"/>
              </w:rPr>
              <w:t>336</w:t>
            </w:r>
          </w:p>
        </w:tc>
        <w:tc>
          <w:tcPr>
            <w:tcW w:w="660" w:type="dxa"/>
            <w:vAlign w:val="bottom"/>
          </w:tcPr>
          <w:p>
            <w:pPr>
              <w:ind w:left="320"/>
              <w:spacing w:after="0"/>
              <w:rPr>
                <w:sz w:val="20"/>
                <w:szCs w:val="20"/>
                <w:color w:val="auto"/>
              </w:rPr>
            </w:pPr>
            <w:r>
              <w:rPr>
                <w:rFonts w:ascii="Arial" w:cs="Arial" w:eastAsia="Arial" w:hAnsi="Arial"/>
                <w:sz w:val="17"/>
                <w:szCs w:val="17"/>
                <w:color w:val="0000FF"/>
              </w:rPr>
              <w:t>D</w:t>
            </w:r>
          </w:p>
        </w:tc>
        <w:tc>
          <w:tcPr>
            <w:tcW w:w="540" w:type="dxa"/>
            <w:vAlign w:val="bottom"/>
          </w:tcPr>
          <w:p>
            <w:pPr>
              <w:ind w:left="4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92.26</w:t>
            </w: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9"/>
              </w:rPr>
              <w:t>2,697.762</w:t>
            </w:r>
          </w:p>
        </w:tc>
        <w:tc>
          <w:tcPr>
            <w:tcW w:w="340" w:type="dxa"/>
            <w:vAlign w:val="bottom"/>
          </w:tcPr>
          <w:p>
            <w:pPr>
              <w:spacing w:after="0"/>
              <w:rPr>
                <w:sz w:val="22"/>
                <w:szCs w:val="22"/>
                <w:color w:val="auto"/>
              </w:rPr>
            </w:pPr>
          </w:p>
        </w:tc>
        <w:tc>
          <w:tcPr>
            <w:tcW w:w="540" w:type="dxa"/>
            <w:vAlign w:val="bottom"/>
          </w:tcPr>
          <w:p>
            <w:pPr>
              <w:jc w:val="center"/>
              <w:ind w:right="313"/>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2,050.468</w:t>
            </w:r>
            <w:r>
              <w:rPr>
                <w:rFonts w:ascii="Arial" w:cs="Arial" w:eastAsia="Arial" w:hAnsi="Arial"/>
                <w:sz w:val="21"/>
                <w:szCs w:val="21"/>
                <w:color w:val="008000"/>
                <w:w w:val="86"/>
                <w:vertAlign w:val="superscript"/>
              </w:rPr>
              <w:t>(3)</w:t>
            </w:r>
          </w:p>
        </w:tc>
        <w:tc>
          <w:tcPr>
            <w:tcW w:w="340" w:type="dxa"/>
            <w:vAlign w:val="bottom"/>
          </w:tcPr>
          <w:p>
            <w:pPr>
              <w:spacing w:after="0"/>
              <w:rPr>
                <w:sz w:val="18"/>
                <w:szCs w:val="18"/>
                <w:color w:val="auto"/>
              </w:rPr>
            </w:pPr>
          </w:p>
        </w:tc>
        <w:tc>
          <w:tcPr>
            <w:tcW w:w="540" w:type="dxa"/>
            <w:vAlign w:val="bottom"/>
            <w:vMerge w:val="restart"/>
          </w:tcPr>
          <w:p>
            <w:pPr>
              <w:jc w:val="center"/>
              <w:ind w:right="313"/>
              <w:spacing w:after="0"/>
              <w:rPr>
                <w:sz w:val="20"/>
                <w:szCs w:val="20"/>
                <w:color w:val="auto"/>
              </w:rPr>
            </w:pPr>
            <w:r>
              <w:rPr>
                <w:rFonts w:ascii="Arial" w:cs="Arial" w:eastAsia="Arial" w:hAnsi="Arial"/>
                <w:sz w:val="17"/>
                <w:szCs w:val="17"/>
                <w:color w:val="0000FF"/>
                <w:w w:val="83"/>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520" w:type="dxa"/>
            <w:vAlign w:val="bottom"/>
            <w:tcBorders>
              <w:bottom w:val="single" w:sz="8" w:color="2C2C2C"/>
            </w:tcBorders>
            <w:gridSpan w:val="11"/>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93.33</w:t>
            </w:r>
          </w:p>
        </w:tc>
        <w:tc>
          <w:tcPr>
            <w:tcW w:w="1080" w:type="dxa"/>
            <w:vAlign w:val="bottom"/>
            <w:vMerge w:val="restart"/>
          </w:tcPr>
          <w:p>
            <w:pPr>
              <w:ind w:left="240"/>
              <w:spacing w:after="0"/>
              <w:rPr>
                <w:sz w:val="20"/>
                <w:szCs w:val="20"/>
                <w:color w:val="auto"/>
              </w:rPr>
            </w:pPr>
            <w:r>
              <w:rPr>
                <w:rFonts w:ascii="Arial" w:cs="Arial" w:eastAsia="Arial" w:hAnsi="Arial"/>
                <w:sz w:val="13"/>
                <w:szCs w:val="13"/>
                <w:color w:val="0000FF"/>
              </w:rPr>
              <w:t>12/17/2020</w:t>
            </w:r>
          </w:p>
        </w:tc>
        <w:tc>
          <w:tcPr>
            <w:tcW w:w="1100" w:type="dxa"/>
            <w:vAlign w:val="bottom"/>
          </w:tcPr>
          <w:p>
            <w:pPr>
              <w:spacing w:after="0"/>
              <w:rPr>
                <w:sz w:val="12"/>
                <w:szCs w:val="12"/>
                <w:color w:val="auto"/>
              </w:rPr>
            </w:pPr>
          </w:p>
        </w:tc>
        <w:tc>
          <w:tcPr>
            <w:tcW w:w="46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340" w:type="dxa"/>
            <w:vAlign w:val="bottom"/>
          </w:tcPr>
          <w:p>
            <w:pPr>
              <w:spacing w:after="0"/>
              <w:rPr>
                <w:sz w:val="12"/>
                <w:szCs w:val="12"/>
                <w:color w:val="auto"/>
              </w:rPr>
            </w:pPr>
          </w:p>
        </w:tc>
        <w:tc>
          <w:tcPr>
            <w:tcW w:w="480" w:type="dxa"/>
            <w:vAlign w:val="bottom"/>
            <w:vMerge w:val="restart"/>
          </w:tcPr>
          <w:p>
            <w:pPr>
              <w:ind w:left="80"/>
              <w:spacing w:after="0"/>
              <w:rPr>
                <w:sz w:val="20"/>
                <w:szCs w:val="20"/>
                <w:color w:val="auto"/>
              </w:rPr>
            </w:pPr>
            <w:r>
              <w:rPr>
                <w:rFonts w:ascii="Arial" w:cs="Arial" w:eastAsia="Arial" w:hAnsi="Arial"/>
                <w:sz w:val="13"/>
                <w:szCs w:val="13"/>
                <w:color w:val="0000FF"/>
              </w:rPr>
              <w:t>9,000</w:t>
            </w:r>
          </w:p>
        </w:tc>
        <w:tc>
          <w:tcPr>
            <w:tcW w:w="3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0000FF"/>
              </w:rPr>
              <w:t>12/17/2030</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9,000</w:t>
            </w:r>
          </w:p>
        </w:tc>
        <w:tc>
          <w:tcPr>
            <w:tcW w:w="72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ind w:left="300"/>
              <w:spacing w:after="0"/>
              <w:rPr>
                <w:sz w:val="20"/>
                <w:szCs w:val="20"/>
                <w:color w:val="auto"/>
              </w:rPr>
            </w:pPr>
            <w:r>
              <w:rPr>
                <w:rFonts w:ascii="Arial" w:cs="Arial" w:eastAsia="Arial" w:hAnsi="Arial"/>
                <w:sz w:val="13"/>
                <w:szCs w:val="13"/>
                <w:color w:val="0000FF"/>
              </w:rPr>
              <w:t>9,000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-2052955</wp:posOffset>
            </wp:positionV>
            <wp:extent cx="7033260" cy="2193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932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Option</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jc w:val="both"/>
        <w:ind w:left="40" w:right="240" w:firstLine="3"/>
        <w:spacing w:after="0" w:line="237"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2018 to Fiscal 2020 Performance Period under The Toro Company Amended and Restated 2010 Equity and Incentive Plan, as amended and restated (the "Amended and Restated 2010 Plan"), as approved by the Issuer's Compensation &amp; Human Resources Committee of its Board of Directors on December 1, 2020, and which was conditioned upon and subject to confirmation by the Issuer's Fiscal 2020 financial results that were released on December 16, 2020. Performance Share Awards are paid in shares of common stock under the Amended and Restated 2010 Plan.</w:t>
      </w:r>
    </w:p>
    <w:p>
      <w:pPr>
        <w:spacing w:after="0" w:line="32"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3.861 shares acquired by the reporting person since the date of his last report under a dividend reinvestment feature of the account in which the shares are held.</w:t>
      </w:r>
    </w:p>
    <w:p>
      <w:pPr>
        <w:spacing w:after="0" w:line="45" w:lineRule="exact"/>
        <w:rPr>
          <w:rFonts w:ascii="Arial" w:cs="Arial" w:eastAsia="Arial" w:hAnsi="Arial"/>
          <w:sz w:val="13"/>
          <w:szCs w:val="13"/>
          <w:color w:val="008000"/>
        </w:rPr>
      </w:pPr>
    </w:p>
    <w:p>
      <w:pPr>
        <w:ind w:left="40" w:right="7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27.471 net shares acquired by the reporting person since the date of his last under the dividend reinvestment feature of The Toro Company Retirement Plan less quarterly non-discretionary administrative fees.</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12/18/2020</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96389"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2020-12-18T16:12:37Z</dcterms:created>
  <dcterms:modified xsi:type="dcterms:W3CDTF">2020-12-18T16:12:37Z</dcterms:modified>
</cp:coreProperties>
</file>