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29,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280"/>
          </w:cols>
          <w:pgMar w:left="240" w:top="544" w:right="25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44"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line="288" w:lineRule="auto"/>
        <w:rPr>
          <w:sz w:val="20"/>
          <w:szCs w:val="20"/>
          <w:color w:val="auto"/>
        </w:rPr>
      </w:pPr>
      <w:r>
        <w:rPr>
          <w:rFonts w:ascii="Arial" w:cs="Arial" w:eastAsia="Arial" w:hAnsi="Arial"/>
          <w:sz w:val="16"/>
          <w:szCs w:val="16"/>
          <w:color w:val="auto"/>
        </w:rPr>
        <w:t>On November 29, 2016, The Toro Company, a Delaware corporation (“Toro”) (or one of Toro’s wholly owned subsidiaries), TCF Inventory Finance, Inc., a Minnesota corporation (“TCFIF”) (and/or one of TCFIF’s wholly owned subsidiaries or affiliates) and Red Iron Acceptance, LLC, a Delaware limited liability company and joint venture established between Toro and TCFIF (“Red Iron”) to provide inventory financing to certain distributors and dealers of products of Toro and certain of Toro’s affiliates (“Toro Products”), entered into amendments to certain agreements pertaining to the Red Iron joint venture, including a: (i) Second Amendment to Agreement to Form Joint Venture between Toro and TCFIF; (ii) Third Amendment to Limited Liability Company Agreement of Red Iron between Red Iron Holding Corporation, a Delaware corporation and a wholly owned subsidiary of Toro (“Red Iron Holding”), and TCFIF Joint Venture I, LLC, a Minnesota limited liability company and a wholly owned subsidiary of TCFIF (“TCFIF JV I”); (iii) Second Amendment to Credit and Security Agreement between TCFIF, as lender, and Red Iron, as borrower; and (iv) Fourth Amended and Restated Program and Repurchase Agreement between Toro and Red Iron (the “Fourth Amended Repurchase Agreement”). The Fourth Amended Repurchase Agreement amends and restates in its entirety that certain Third Amended and Restated Repurchase Agreement, dated as of June 30, 2016, by and between Toro and Red Iron.</w:t>
      </w:r>
    </w:p>
    <w:p>
      <w:pPr>
        <w:spacing w:after="0" w:line="169" w:lineRule="exact"/>
        <w:rPr>
          <w:sz w:val="24"/>
          <w:szCs w:val="24"/>
          <w:color w:val="auto"/>
        </w:rPr>
      </w:pPr>
    </w:p>
    <w:p>
      <w:pPr>
        <w:ind w:right="160"/>
        <w:spacing w:after="0" w:line="291" w:lineRule="auto"/>
        <w:rPr>
          <w:sz w:val="20"/>
          <w:szCs w:val="20"/>
          <w:color w:val="auto"/>
        </w:rPr>
      </w:pPr>
      <w:r>
        <w:rPr>
          <w:rFonts w:ascii="Arial" w:cs="Arial" w:eastAsia="Arial" w:hAnsi="Arial"/>
          <w:sz w:val="16"/>
          <w:szCs w:val="16"/>
          <w:color w:val="auto"/>
        </w:rPr>
        <w:t>The purpose of these amendments is, among other things, to: (i) revise the term of Red Iron from October 31, 2017 to October 31, 2024, subject to two-year extensions thereafter unless either party provides written notice to the other party of non-renewal at least one year prior to the end of the then-current term;</w:t>
      </w:r>
    </w:p>
    <w:p>
      <w:pPr>
        <w:ind w:right="60" w:firstLine="8"/>
        <w:spacing w:after="0" w:line="252"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for an additional exclusivity incentive payment by TCFIF to Toro; (iii) extend the maturity date of the revolving credit facility used by Red Iron primarily to finance the acquisition of inventory of Toro Products from Toro and its affiliates by its distributors and dealers in the United States from October 31, 2017 to October 31, 2024 and to increase the amount available under such revolving credit facility from $450 million to $550 million; (iv) refine the calculations related to the estimated reserve provided for in the Fourth Amended Repurchase Agreement with respect to the accounts of certain dealers and distributors; (v) adjust the percentages in the formula used to calculate the amount of the purchase option that Red Iron Holding has pursuant to the Limited Liability Company Agreement of Red Iron to acquire the equity interest of TCFIF JV I in Red Iron at the end of the applicable term or in certain termination events; (vi) expand the coverage of the Red Iron program to additional products of Toro and its affiliates; and (vii) certain other non-material amendments.</w:t>
      </w:r>
    </w:p>
    <w:p>
      <w:pPr>
        <w:spacing w:after="0" w:line="192" w:lineRule="exact"/>
        <w:rPr>
          <w:sz w:val="24"/>
          <w:szCs w:val="24"/>
          <w:color w:val="auto"/>
        </w:rPr>
      </w:pPr>
    </w:p>
    <w:p>
      <w:pPr>
        <w:ind w:left="20" w:right="100" w:hanging="15"/>
        <w:spacing w:after="0" w:line="342" w:lineRule="auto"/>
        <w:rPr>
          <w:sz w:val="20"/>
          <w:szCs w:val="20"/>
          <w:color w:val="auto"/>
        </w:rPr>
      </w:pPr>
      <w:r>
        <w:rPr>
          <w:rFonts w:ascii="Arial" w:cs="Arial" w:eastAsia="Arial" w:hAnsi="Arial"/>
          <w:sz w:val="16"/>
          <w:szCs w:val="16"/>
          <w:color w:val="auto"/>
        </w:rPr>
        <w:t>The foregoing description is a summary of the material terms of the amendments, does not purport to be complete and is qualified in its entirety by reference to the complete text of the amendments, copies of which are filed as Exhibits 2.1, 2.2, 2.3 and 10.1 to this Current Report on Form 8-K and are incorporated</w:t>
      </w:r>
    </w:p>
    <w:p>
      <w:pPr>
        <w:sectPr>
          <w:pgSz w:w="11900" w:h="16838" w:orient="portrait"/>
          <w:cols w:equalWidth="0" w:num="1">
            <w:col w:w="11400"/>
          </w:cols>
          <w:pgMar w:left="240" w:top="544" w:right="259" w:bottom="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color w:val="auto"/>
        </w:rPr>
        <w:t>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40" w:hanging="522"/>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48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4"/>
                <w:szCs w:val="14"/>
                <w:color w:val="auto"/>
              </w:rPr>
            </w:pPr>
          </w:p>
        </w:tc>
      </w:tr>
      <w:tr>
        <w:trPr>
          <w:trHeight w:val="411"/>
        </w:trPr>
        <w:tc>
          <w:tcPr>
            <w:tcW w:w="920" w:type="dxa"/>
            <w:vAlign w:val="bottom"/>
          </w:tcPr>
          <w:p>
            <w:pPr>
              <w:spacing w:after="0"/>
              <w:rPr>
                <w:sz w:val="24"/>
                <w:szCs w:val="24"/>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8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Second Amendment to Agreement to Form Joint Venture, dated November 29, 2016, by and between The Toro</w:t>
            </w:r>
          </w:p>
        </w:tc>
        <w:tc>
          <w:tcPr>
            <w:tcW w:w="28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Company and TCF Inventory Finance, Inc. (filed herewith).*</w:t>
            </w:r>
          </w:p>
        </w:tc>
        <w:tc>
          <w:tcPr>
            <w:tcW w:w="280" w:type="dxa"/>
            <w:vAlign w:val="bottom"/>
          </w:tcPr>
          <w:p>
            <w:pPr>
              <w:spacing w:after="0"/>
              <w:rPr>
                <w:sz w:val="20"/>
                <w:szCs w:val="20"/>
                <w:color w:val="auto"/>
              </w:rPr>
            </w:pPr>
          </w:p>
        </w:tc>
      </w:tr>
      <w:tr>
        <w:trPr>
          <w:trHeight w:val="418"/>
        </w:trPr>
        <w:tc>
          <w:tcPr>
            <w:tcW w:w="9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w w:val="96"/>
              </w:rPr>
              <w:t>Third Amendment to Limited Liability Company Agreement of Red Iron Acceptance, LLC, dated November 29,</w:t>
            </w:r>
          </w:p>
        </w:tc>
        <w:tc>
          <w:tcPr>
            <w:tcW w:w="28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2016, by and between Red Iron Holding Corporation and TCFIF Joint Venture I, LLC (filed herewith).*</w:t>
            </w:r>
          </w:p>
        </w:tc>
        <w:tc>
          <w:tcPr>
            <w:tcW w:w="280" w:type="dxa"/>
            <w:vAlign w:val="bottom"/>
          </w:tcPr>
          <w:p>
            <w:pPr>
              <w:spacing w:after="0"/>
              <w:rPr>
                <w:sz w:val="20"/>
                <w:szCs w:val="20"/>
                <w:color w:val="auto"/>
              </w:rPr>
            </w:pPr>
          </w:p>
        </w:tc>
      </w:tr>
      <w:tr>
        <w:trPr>
          <w:trHeight w:val="418"/>
        </w:trPr>
        <w:tc>
          <w:tcPr>
            <w:tcW w:w="9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w w:val="88"/>
              </w:rPr>
              <w:t>Fourth Amended and Restated Program and Repurchase Agreement, dated as of November 29, 2016, by and between</w:t>
            </w:r>
          </w:p>
        </w:tc>
        <w:tc>
          <w:tcPr>
            <w:tcW w:w="28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The Toro Company and Red Iron Acceptance, LLC (filed herewith).*</w:t>
            </w:r>
          </w:p>
        </w:tc>
        <w:tc>
          <w:tcPr>
            <w:tcW w:w="28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80" w:type="dxa"/>
            <w:vAlign w:val="bottom"/>
          </w:tcPr>
          <w:p>
            <w:pPr>
              <w:ind w:left="29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4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r>
      <w:tr>
        <w:trPr>
          <w:trHeight w:val="766"/>
        </w:trPr>
        <w:tc>
          <w:tcPr>
            <w:tcW w:w="9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w w:val="97"/>
              </w:rPr>
              <w:t>Second Amendment to Credit and Security Agreement, dated November 29, 2016, by and between Red Iron</w:t>
            </w:r>
          </w:p>
        </w:tc>
        <w:tc>
          <w:tcPr>
            <w:tcW w:w="28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Acceptance, LLC and TCF Inventory Finance, Inc. (filed herewith).</w:t>
            </w:r>
          </w:p>
        </w:tc>
        <w:tc>
          <w:tcPr>
            <w:tcW w:w="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80" w:hanging="482"/>
        <w:spacing w:after="0" w:line="264"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Portions of this exhibit have been redacted and are subject to a confidential treatment request filed with the Secretary of the Securities and Exchange Commission pursuant to Rule 24b-2 under the Securities Exchange Act of 1934, as amended. The redacted material is being filed separately with the Securities and Exchange Commission.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THE TORO COMPANY</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(Registrant)</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400" w:type="dxa"/>
            <w:vAlign w:val="bottom"/>
            <w:gridSpan w:val="3"/>
          </w:tcPr>
          <w:p>
            <w:pPr>
              <w:spacing w:after="0"/>
              <w:rPr>
                <w:sz w:val="20"/>
                <w:szCs w:val="20"/>
                <w:color w:val="auto"/>
              </w:rPr>
            </w:pPr>
            <w:r>
              <w:rPr>
                <w:rFonts w:ascii="Arial" w:cs="Arial" w:eastAsia="Arial" w:hAnsi="Arial"/>
                <w:sz w:val="18"/>
                <w:szCs w:val="18"/>
                <w:color w:val="auto"/>
              </w:rPr>
              <w:t>Date: December 2, 2016</w:t>
            </w:r>
          </w:p>
        </w:tc>
        <w:tc>
          <w:tcPr>
            <w:tcW w:w="6040" w:type="dxa"/>
            <w:vAlign w:val="bottom"/>
            <w:gridSpan w:val="2"/>
          </w:tcPr>
          <w:p>
            <w:pPr>
              <w:ind w:left="2380"/>
              <w:spacing w:after="0"/>
              <w:rPr>
                <w:sz w:val="20"/>
                <w:szCs w:val="20"/>
                <w:color w:val="auto"/>
              </w:rPr>
            </w:pPr>
            <w:r>
              <w:rPr>
                <w:rFonts w:ascii="Arial" w:cs="Arial" w:eastAsia="Arial" w:hAnsi="Arial"/>
                <w:sz w:val="18"/>
                <w:szCs w:val="18"/>
                <w:color w:val="auto"/>
              </w:rPr>
              <w:t>By  /s/ Renee J. Peterson</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Renee J. Peterson</w:t>
            </w:r>
          </w:p>
        </w:tc>
        <w:tc>
          <w:tcPr>
            <w:tcW w:w="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Vice President, Treasurer and Chief Financial Officer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0" w:type="dxa"/>
            <w:vAlign w:val="bottom"/>
          </w:tcPr>
          <w:p>
            <w:pPr>
              <w:jc w:val="right"/>
              <w:ind w:right="354"/>
              <w:spacing w:after="0"/>
              <w:rPr>
                <w:sz w:val="20"/>
                <w:szCs w:val="20"/>
                <w:color w:val="auto"/>
              </w:rPr>
            </w:pPr>
            <w:r>
              <w:rPr>
                <w:rFonts w:ascii="Arial" w:cs="Arial" w:eastAsia="Arial" w:hAnsi="Arial"/>
                <w:sz w:val="18"/>
                <w:szCs w:val="18"/>
                <w:color w:val="auto"/>
              </w:rPr>
              <w:t>4</w:t>
            </w: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6040" w:type="dxa"/>
            <w:vAlign w:val="bottom"/>
            <w:tcBorders>
              <w:bottom w:val="single" w:sz="8" w:color="808080"/>
            </w:tcBorders>
            <w:gridSpan w:val="2"/>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40" w:type="dxa"/>
            <w:vAlign w:val="bottom"/>
            <w:gridSpan w:val="2"/>
          </w:tcPr>
          <w:p>
            <w:pPr>
              <w:jc w:val="center"/>
              <w:ind w:right="1310"/>
              <w:spacing w:after="0"/>
              <w:rPr>
                <w:sz w:val="20"/>
                <w:szCs w:val="20"/>
                <w:color w:val="auto"/>
              </w:rPr>
            </w:pPr>
            <w:r>
              <w:rPr>
                <w:rFonts w:ascii="Arial" w:cs="Arial" w:eastAsia="Arial" w:hAnsi="Arial"/>
                <w:sz w:val="18"/>
                <w:szCs w:val="18"/>
                <w:b w:val="1"/>
                <w:bCs w:val="1"/>
                <w:color w:val="auto"/>
              </w:rPr>
              <w:t>EXHIBIT INDEX</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gridSpan w:val="2"/>
          </w:tcPr>
          <w:p>
            <w:pPr>
              <w:ind w:left="168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24"/>
                <w:szCs w:val="24"/>
                <w:color w:val="auto"/>
              </w:rPr>
            </w:pP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Method of Filing</w:t>
            </w:r>
          </w:p>
        </w:tc>
        <w:tc>
          <w:tcPr>
            <w:tcW w:w="40" w:type="dxa"/>
            <w:vAlign w:val="bottom"/>
          </w:tcPr>
          <w:p>
            <w:pPr>
              <w:spacing w:after="0"/>
              <w:rPr>
                <w:sz w:val="24"/>
                <w:szCs w:val="2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w w:val="94"/>
              </w:rPr>
              <w:t>Second Amendment to Agreement to Form Joint Venture, dated November 29, 2016, by and between The</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Filed herewith</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Toro Company and TCF Inventory Finance, Inc.*</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Third Amendment to Limited Liability Company Agreement of Red Iron Acceptance, LLC, dated</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Filed herewith</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w w:val="99"/>
              </w:rPr>
              <w:t>November 29, 2016, by and between Red Iron Holding Corporation and TCFIF Joint Venture I, LLC.*</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w w:val="90"/>
              </w:rPr>
              <w:t>Fourth Amended and Restated Program and Repurchase Agreement, dated as of November 29, 2016, by and</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Filed herewith</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between The Toro Company and Red Iron Acceptance, LLC.*</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w w:val="92"/>
              </w:rPr>
              <w:t>Second Amendment to Credit and Security Agreement, dated November 29, 2016, by and between Red Iron</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Filed herewith</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Acceptance, LLC and TCF Inventory Finance, Inc.</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-2411095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-2411095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205740</wp:posOffset>
            </wp:positionV>
            <wp:extent cx="17583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500" w:right="240" w:hanging="492"/>
        <w:spacing w:after="0" w:line="264" w:lineRule="auto"/>
        <w:tabs>
          <w:tab w:leader="none" w:pos="489"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Portions of this exhibit have been redacted and are subject to a confidential treatment request filed with the Secretary of the Securities and Exchange Commission pursuant to Rule 24b-2 under the Securities Exchange Act of 1934, as amended. The redacted material is being filed separately with the Securities and Exchange Commission.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248" w:gutter="0" w:footer="0" w:header="0"/>
        </w:sectPr>
      </w:pPr>
    </w:p>
    <w:bookmarkStart w:id="2" w:name="page3"/>
    <w:bookmarkEnd w:id="2"/>
    <w:p>
      <w:pPr>
        <w:ind w:left="10580"/>
        <w:spacing w:after="0"/>
        <w:rPr>
          <w:sz w:val="20"/>
          <w:szCs w:val="20"/>
          <w:color w:val="auto"/>
        </w:rPr>
      </w:pPr>
      <w:r>
        <w:rPr>
          <w:rFonts w:ascii="Arial" w:cs="Arial" w:eastAsia="Arial" w:hAnsi="Arial"/>
          <w:sz w:val="16"/>
          <w:szCs w:val="16"/>
          <w:b w:val="1"/>
          <w:bCs w:val="1"/>
          <w:color w:val="auto"/>
        </w:rPr>
        <w:t>Exhibit 2.1</w:t>
      </w:r>
    </w:p>
    <w:p>
      <w:pPr>
        <w:spacing w:after="0" w:line="25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[PORTIONS OF THIS EXHIBIT HAVE BEEN OMITTED PURSUANT TO A REQUEST FOR CONFIDENTIALITY UNDER RULE 24B-2 OF THE SECURITIES EXCHANGE ACT OF 1934, AS AMENDED. THE CONFIDENTIAL PORTIONS OF THIS EXHIBIT THAT HAVE BEEN OMITTED ARE MARKED WITH “[***].” A COPY OF THIS EXHIBIT WITH ALL SECTIONS INTACT HAS BEEN FILED SEPARATELY WITH THE SECURITIES AND EXCHANGE COMMISSION.]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TO FORM JOINT VENTURE</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THIS SECOND AMENDMENT TO AGREEMENT TO FORM JOINT VENTURE</w:t>
      </w:r>
      <w:r>
        <w:rPr>
          <w:rFonts w:ascii="Arial" w:cs="Arial" w:eastAsia="Arial" w:hAnsi="Arial"/>
          <w:sz w:val="18"/>
          <w:szCs w:val="18"/>
          <w:color w:val="auto"/>
        </w:rPr>
        <w:t>, dated as of November 29, 2016 (this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by and between THE TORO COMPANY, a Delaware corporation (“</w:t>
      </w:r>
      <w:r>
        <w:rPr>
          <w:rFonts w:ascii="Arial" w:cs="Arial" w:eastAsia="Arial" w:hAnsi="Arial"/>
          <w:sz w:val="17"/>
          <w:szCs w:val="17"/>
          <w:u w:val="single" w:color="auto"/>
          <w:color w:val="auto"/>
        </w:rPr>
        <w:t>Toro</w:t>
      </w:r>
      <w:r>
        <w:rPr>
          <w:rFonts w:ascii="Arial" w:cs="Arial" w:eastAsia="Arial" w:hAnsi="Arial"/>
          <w:sz w:val="17"/>
          <w:szCs w:val="17"/>
          <w:color w:val="auto"/>
        </w:rPr>
        <w:t>”), and TCF INVENTORY FINANCE, INC.,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Minnesota corporation (“</w:t>
      </w:r>
      <w:r>
        <w:rPr>
          <w:rFonts w:ascii="Arial" w:cs="Arial" w:eastAsia="Arial" w:hAnsi="Arial"/>
          <w:sz w:val="16"/>
          <w:szCs w:val="16"/>
          <w:u w:val="single" w:color="auto"/>
          <w:color w:val="auto"/>
        </w:rPr>
        <w:t>TCFIF</w:t>
      </w:r>
      <w:r>
        <w:rPr>
          <w:rFonts w:ascii="Arial" w:cs="Arial" w:eastAsia="Arial" w:hAnsi="Arial"/>
          <w:sz w:val="16"/>
          <w:szCs w:val="16"/>
          <w:color w:val="auto"/>
        </w:rPr>
        <w:t>”). Capitalized terms used herein and not otherwise defined shall have the meanings ascribed thereto in the JV Agreement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hereinafter defined).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60" w:firstLine="656"/>
        <w:spacing w:after="0" w:line="277" w:lineRule="auto"/>
        <w:tabs>
          <w:tab w:leader="none" w:pos="13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Toro and TCFIF are parties to that certain Agreement to Form Joint Venture, made and entered into as of August 12, 2009, as amended by the First Amendment to Agreement to Form Joint Venture dated as of June 6, 2012 (as so amended, the “</w:t>
      </w:r>
      <w:r>
        <w:rPr>
          <w:rFonts w:ascii="Arial" w:cs="Arial" w:eastAsia="Arial" w:hAnsi="Arial"/>
          <w:sz w:val="18"/>
          <w:szCs w:val="18"/>
          <w:u w:val="single" w:color="auto"/>
          <w:color w:val="auto"/>
        </w:rPr>
        <w:t>JV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hereto have agreed to amend the JV Agreement as provided herein.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Changes to 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right="20" w:hanging="647"/>
        <w:spacing w:after="0" w:line="277" w:lineRule="auto"/>
        <w:tabs>
          <w:tab w:leader="none" w:pos="2621"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Lawn and Garden Products</w:t>
      </w:r>
      <w:r>
        <w:rPr>
          <w:rFonts w:ascii="Arial" w:cs="Arial" w:eastAsia="Arial" w:hAnsi="Arial"/>
          <w:sz w:val="18"/>
          <w:szCs w:val="18"/>
          <w:color w:val="auto"/>
        </w:rPr>
        <w:t>” in Section 1.1 of the JV Agreement is amended and restated in its entirety as follows:</w:t>
      </w:r>
    </w:p>
    <w:p>
      <w:pPr>
        <w:spacing w:after="0" w:line="170" w:lineRule="exact"/>
        <w:rPr>
          <w:sz w:val="20"/>
          <w:szCs w:val="20"/>
          <w:color w:val="auto"/>
        </w:rPr>
      </w:pPr>
    </w:p>
    <w:p>
      <w:pPr>
        <w:ind w:left="2600" w:right="200"/>
        <w:spacing w:after="0" w:line="279"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Lawn and Garden Products</w:t>
      </w:r>
      <w:r>
        <w:rPr>
          <w:rFonts w:ascii="Arial" w:cs="Arial" w:eastAsia="Arial" w:hAnsi="Arial"/>
          <w:sz w:val="17"/>
          <w:szCs w:val="17"/>
          <w:i w:val="1"/>
          <w:iCs w:val="1"/>
          <w:color w:val="auto"/>
        </w:rPr>
        <w:t>’ means any one or more of the following: walk power mowers, lawn and garden tractors, zero-turn mowers, mid-size walk-behind and stand-on mowers, large reel and riding rotary mowers, riding and walk-behind mowers for putting greens, snow blowers, debris blowers, trimmers, tillers, sweepers and vacuums, aerators, walk-behind trenchers, turf cultivation equipment, turf sprayer equipment, compact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0" w:right="20"/>
        <w:spacing w:after="0" w:line="277" w:lineRule="auto"/>
        <w:rPr>
          <w:sz w:val="20"/>
          <w:szCs w:val="20"/>
          <w:color w:val="auto"/>
        </w:rPr>
      </w:pPr>
      <w:r>
        <w:rPr>
          <w:rFonts w:ascii="Arial" w:cs="Arial" w:eastAsia="Arial" w:hAnsi="Arial"/>
          <w:sz w:val="18"/>
          <w:szCs w:val="18"/>
          <w:i w:val="1"/>
          <w:iCs w:val="1"/>
          <w:color w:val="auto"/>
        </w:rPr>
        <w:t>loaders, golf course bunker maintenance equipment, irrigation systems, utility vehicles for golf courses, lighting products, snow and ice management products and parts and accessories for any of the foregoing.”</w:t>
      </w:r>
    </w:p>
    <w:p>
      <w:pPr>
        <w:spacing w:after="0" w:line="170" w:lineRule="exact"/>
        <w:rPr>
          <w:sz w:val="20"/>
          <w:szCs w:val="20"/>
          <w:color w:val="auto"/>
        </w:rPr>
      </w:pPr>
    </w:p>
    <w:p>
      <w:pPr>
        <w:ind w:left="2640" w:hanging="687"/>
        <w:spacing w:after="0"/>
        <w:tabs>
          <w:tab w:leader="none" w:pos="2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defined term is added to Section 1.1 of the JV Agreement so that it appears in alphabetical order:</w:t>
      </w: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Second Additional Exclusivity Incentive Payment</w:t>
      </w:r>
      <w:r>
        <w:rPr>
          <w:rFonts w:ascii="Arial" w:cs="Arial" w:eastAsia="Arial" w:hAnsi="Arial"/>
          <w:sz w:val="18"/>
          <w:szCs w:val="18"/>
          <w:i w:val="1"/>
          <w:iCs w:val="1"/>
          <w:color w:val="auto"/>
        </w:rPr>
        <w:t>” is defined in Section 2.15(c).”</w:t>
      </w:r>
    </w:p>
    <w:p>
      <w:pPr>
        <w:spacing w:after="0" w:line="225"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Section 2.4(b) of the JV Agreement is amended and restated in its entirety as follows:</w:t>
      </w:r>
    </w:p>
    <w:p>
      <w:pPr>
        <w:spacing w:after="0" w:line="225" w:lineRule="exact"/>
        <w:rPr>
          <w:sz w:val="20"/>
          <w:szCs w:val="20"/>
          <w:color w:val="auto"/>
        </w:rPr>
      </w:pPr>
    </w:p>
    <w:p>
      <w:pPr>
        <w:ind w:left="1960" w:right="120"/>
        <w:spacing w:after="0" w:line="264" w:lineRule="auto"/>
        <w:rPr>
          <w:sz w:val="20"/>
          <w:szCs w:val="20"/>
          <w:color w:val="auto"/>
        </w:rPr>
      </w:pPr>
      <w:r>
        <w:rPr>
          <w:rFonts w:ascii="Arial" w:cs="Arial" w:eastAsia="Arial" w:hAnsi="Arial"/>
          <w:sz w:val="18"/>
          <w:szCs w:val="18"/>
          <w:i w:val="1"/>
          <w:iCs w:val="1"/>
          <w:color w:val="auto"/>
        </w:rPr>
        <w:t>“(b) If TCFIF has single interest insurance coverage, TCFIF shall arrange for the extension of such single interest insurance coverage to Red Iron’s business. The costs for the extension of TCFIF’s single interest insurance, if any, to Red Iron’s business shall be charged to Red Iron.”</w:t>
      </w:r>
    </w:p>
    <w:p>
      <w:pPr>
        <w:spacing w:after="0" w:line="181" w:lineRule="exact"/>
        <w:rPr>
          <w:sz w:val="20"/>
          <w:szCs w:val="20"/>
          <w:color w:val="auto"/>
        </w:rPr>
      </w:pPr>
    </w:p>
    <w:p>
      <w:pPr>
        <w:ind w:left="660" w:right="100" w:firstLine="645"/>
        <w:spacing w:after="0" w:line="277" w:lineRule="auto"/>
        <w:tabs>
          <w:tab w:leader="none" w:pos="196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Additional Exclusivity Incentive Payment</w:t>
      </w:r>
      <w:r>
        <w:rPr>
          <w:rFonts w:ascii="Arial" w:cs="Arial" w:eastAsia="Arial" w:hAnsi="Arial"/>
          <w:sz w:val="18"/>
          <w:szCs w:val="18"/>
          <w:i w:val="1"/>
          <w:iCs w:val="1"/>
          <w:color w:val="auto"/>
        </w:rPr>
        <w:t>.</w:t>
      </w:r>
      <w:r>
        <w:rPr>
          <w:rFonts w:ascii="Arial" w:cs="Arial" w:eastAsia="Arial" w:hAnsi="Arial"/>
          <w:sz w:val="18"/>
          <w:szCs w:val="18"/>
          <w:color w:val="auto"/>
        </w:rPr>
        <w:t xml:space="preserve"> The last paragraph of Section 2.15(b) of the JV Agreement is amended and restated in its entirety as follows:</w:t>
      </w:r>
    </w:p>
    <w:p>
      <w:pPr>
        <w:spacing w:after="0" w:line="170" w:lineRule="exact"/>
        <w:rPr>
          <w:sz w:val="20"/>
          <w:szCs w:val="20"/>
          <w:color w:val="auto"/>
        </w:rPr>
      </w:pPr>
    </w:p>
    <w:p>
      <w:pPr>
        <w:ind w:left="1960"/>
        <w:spacing w:after="0" w:line="259" w:lineRule="auto"/>
        <w:rPr>
          <w:sz w:val="20"/>
          <w:szCs w:val="20"/>
          <w:color w:val="auto"/>
        </w:rPr>
      </w:pPr>
      <w:r>
        <w:rPr>
          <w:rFonts w:ascii="Arial" w:cs="Arial" w:eastAsia="Arial" w:hAnsi="Arial"/>
          <w:sz w:val="18"/>
          <w:szCs w:val="18"/>
          <w:i w:val="1"/>
          <w:iCs w:val="1"/>
          <w:color w:val="auto"/>
        </w:rPr>
        <w:t>“Such Additional Exclusivity Incentive Payment will be payable in consideration of the continued exclusive relationships among TCFIF, Toro and Red Iron, as described in Section 2.8 hereof, from which TCFIF will continue to derive substantial benefit. The parties agree that the Additional Exclusivity Incentive Payment is between TCFIF and Toro and shall not be charged as an expense to Red Iron.”</w:t>
      </w:r>
    </w:p>
    <w:p>
      <w:pPr>
        <w:spacing w:after="0" w:line="187" w:lineRule="exact"/>
        <w:rPr>
          <w:sz w:val="20"/>
          <w:szCs w:val="20"/>
          <w:color w:val="auto"/>
        </w:rPr>
      </w:pPr>
    </w:p>
    <w:p>
      <w:pPr>
        <w:ind w:left="1960" w:hanging="655"/>
        <w:spacing w:after="0"/>
        <w:tabs>
          <w:tab w:leader="none" w:pos="196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Second Additional Exclusivity Incentive Payment</w:t>
      </w:r>
      <w:r>
        <w:rPr>
          <w:rFonts w:ascii="Arial" w:cs="Arial" w:eastAsia="Arial" w:hAnsi="Arial"/>
          <w:sz w:val="17"/>
          <w:szCs w:val="17"/>
          <w:color w:val="auto"/>
        </w:rPr>
        <w:t>. The following is added as a new Section 2.15(c) of the JV Agreement:</w:t>
      </w:r>
    </w:p>
    <w:p>
      <w:pPr>
        <w:spacing w:after="0" w:line="236" w:lineRule="exact"/>
        <w:rPr>
          <w:rFonts w:ascii="Arial" w:cs="Arial" w:eastAsia="Arial" w:hAnsi="Arial"/>
          <w:sz w:val="17"/>
          <w:szCs w:val="17"/>
          <w:color w:val="auto"/>
        </w:rPr>
      </w:pPr>
    </w:p>
    <w:p>
      <w:pPr>
        <w:jc w:val="both"/>
        <w:ind w:left="1960" w:right="380"/>
        <w:spacing w:after="0" w:line="264" w:lineRule="auto"/>
        <w:rPr>
          <w:rFonts w:ascii="Arial" w:cs="Arial" w:eastAsia="Arial" w:hAnsi="Arial"/>
          <w:sz w:val="17"/>
          <w:szCs w:val="17"/>
          <w:color w:val="auto"/>
        </w:rPr>
      </w:pPr>
      <w:r>
        <w:rPr>
          <w:rFonts w:ascii="Arial" w:cs="Arial" w:eastAsia="Arial" w:hAnsi="Arial"/>
          <w:sz w:val="18"/>
          <w:szCs w:val="18"/>
          <w:i w:val="1"/>
          <w:iCs w:val="1"/>
          <w:color w:val="auto"/>
        </w:rPr>
        <w:t xml:space="preserve">“(c) </w:t>
      </w:r>
      <w:r>
        <w:rPr>
          <w:rFonts w:ascii="Arial" w:cs="Arial" w:eastAsia="Arial" w:hAnsi="Arial"/>
          <w:sz w:val="18"/>
          <w:szCs w:val="18"/>
          <w:i w:val="1"/>
          <w:iCs w:val="1"/>
          <w:u w:val="single" w:color="auto"/>
          <w:color w:val="auto"/>
        </w:rPr>
        <w:t>Second Additional Exclusivity Incentive Payment</w:t>
      </w:r>
      <w:r>
        <w:rPr>
          <w:rFonts w:ascii="Arial" w:cs="Arial" w:eastAsia="Arial" w:hAnsi="Arial"/>
          <w:sz w:val="18"/>
          <w:szCs w:val="18"/>
          <w:i w:val="1"/>
          <w:iCs w:val="1"/>
          <w:color w:val="auto"/>
        </w:rPr>
        <w:t>. On November 30, 2016, TCFIF shall pay to Toro a Second Additional Exclusivity Incentive Payment (as defined herein). “Second Additional Exclusivity Incentive Payment” shall mean an amount equal to [***].</w:t>
      </w:r>
    </w:p>
    <w:p>
      <w:pPr>
        <w:spacing w:after="0" w:line="181" w:lineRule="exact"/>
        <w:rPr>
          <w:rFonts w:ascii="Arial" w:cs="Arial" w:eastAsia="Arial" w:hAnsi="Arial"/>
          <w:sz w:val="17"/>
          <w:szCs w:val="17"/>
          <w:color w:val="auto"/>
        </w:rPr>
      </w:pPr>
    </w:p>
    <w:p>
      <w:pPr>
        <w:ind w:left="1960" w:right="120"/>
        <w:spacing w:after="0" w:line="257" w:lineRule="auto"/>
        <w:rPr>
          <w:rFonts w:ascii="Arial" w:cs="Arial" w:eastAsia="Arial" w:hAnsi="Arial"/>
          <w:sz w:val="17"/>
          <w:szCs w:val="17"/>
          <w:color w:val="auto"/>
        </w:rPr>
      </w:pPr>
      <w:r>
        <w:rPr>
          <w:rFonts w:ascii="Arial" w:cs="Arial" w:eastAsia="Arial" w:hAnsi="Arial"/>
          <w:sz w:val="18"/>
          <w:szCs w:val="18"/>
          <w:i w:val="1"/>
          <w:iCs w:val="1"/>
          <w:color w:val="auto"/>
        </w:rPr>
        <w:t>Such Second Additional Exclusivity Incentive Payment will be payable in consideration of the continued exclusive relationships among TCFIF, Toro and Red Iron, as described in Section 2.8 hereof, from which TCFIF will continue to derive substantial benefit. If Red Iron shall be dissolved prior to October 31, 2024 pursuant to Section 10.01(a) of the LLC Agreement (with respect to Toro) or pursuant to TCFIF Sub’s election pursuant to Sections 10.01(c), (d), (e), (i), or (j) of the LLC Agreement, then Toro shall remit to TCFIF an amount equal to the product of (i) the</w:t>
      </w:r>
    </w:p>
    <w:p>
      <w:pPr>
        <w:sectPr>
          <w:pgSz w:w="11900" w:h="16838" w:orient="portrait"/>
          <w:cols w:equalWidth="0" w:num="1">
            <w:col w:w="11420"/>
          </w:cols>
          <w:pgMar w:left="240" w:top="121" w:right="239" w:bottom="0" w:gutter="0" w:footer="0" w:header="0"/>
        </w:sectPr>
      </w:pPr>
    </w:p>
    <w:bookmarkStart w:id="3" w:name="page4"/>
    <w:bookmarkEnd w:id="3"/>
    <w:p>
      <w:pPr>
        <w:ind w:right="360" w:firstLine="8"/>
        <w:spacing w:after="0" w:line="277" w:lineRule="auto"/>
        <w:tabs>
          <w:tab w:leader="none" w:pos="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60"/>
        <w:spacing w:after="0" w:line="259" w:lineRule="auto"/>
        <w:rPr>
          <w:sz w:val="20"/>
          <w:szCs w:val="20"/>
          <w:color w:val="auto"/>
        </w:rPr>
      </w:pPr>
      <w:r>
        <w:rPr>
          <w:rFonts w:ascii="Arial" w:cs="Arial" w:eastAsia="Arial" w:hAnsi="Arial"/>
          <w:sz w:val="18"/>
          <w:szCs w:val="18"/>
          <w:i w:val="1"/>
          <w:iCs w:val="1"/>
          <w:color w:val="auto"/>
        </w:rPr>
        <w:t>Second Additional Exclusivity Incentive Payment multiplied by (ii) a fraction, the numerator of which shall be the number of days from the date of dissolution through October 31, 2024, and the denominator of which shall be the total number of days from November 1, 2016 through October 31, 2024. The parties agree that the Second Additional Exclusivity Incentive Payment is between TCFIF and Toro and shall not be charged as an expense to Red Iron.”</w:t>
      </w:r>
    </w:p>
    <w:p>
      <w:pPr>
        <w:spacing w:after="0" w:line="187" w:lineRule="exact"/>
        <w:rPr>
          <w:sz w:val="20"/>
          <w:szCs w:val="20"/>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Section 7.2 of the JV Agreement is amended and restated in its entirety as follows:</w:t>
      </w:r>
    </w:p>
    <w:p>
      <w:pPr>
        <w:spacing w:after="0" w:line="225" w:lineRule="exact"/>
        <w:rPr>
          <w:sz w:val="20"/>
          <w:szCs w:val="20"/>
          <w:color w:val="auto"/>
        </w:rPr>
      </w:pPr>
    </w:p>
    <w:p>
      <w:pPr>
        <w:ind w:left="1960" w:right="300"/>
        <w:spacing w:after="0" w:line="264" w:lineRule="auto"/>
        <w:rPr>
          <w:sz w:val="20"/>
          <w:szCs w:val="20"/>
          <w:color w:val="auto"/>
        </w:rPr>
      </w:pPr>
      <w:r>
        <w:rPr>
          <w:rFonts w:ascii="Arial" w:cs="Arial" w:eastAsia="Arial" w:hAnsi="Arial"/>
          <w:sz w:val="18"/>
          <w:szCs w:val="18"/>
          <w:i w:val="1"/>
          <w:iCs w:val="1"/>
          <w:color w:val="auto"/>
        </w:rPr>
        <w:t xml:space="preserve">“7.2 </w:t>
      </w:r>
      <w:r>
        <w:rPr>
          <w:rFonts w:ascii="Arial" w:cs="Arial" w:eastAsia="Arial" w:hAnsi="Arial"/>
          <w:sz w:val="18"/>
          <w:szCs w:val="18"/>
          <w:i w:val="1"/>
          <w:iCs w:val="1"/>
          <w:u w:val="single" w:color="auto"/>
          <w:color w:val="auto"/>
        </w:rPr>
        <w:t>Notices</w:t>
      </w:r>
      <w:r>
        <w:rPr>
          <w:rFonts w:ascii="Arial" w:cs="Arial" w:eastAsia="Arial" w:hAnsi="Arial"/>
          <w:sz w:val="18"/>
          <w:szCs w:val="18"/>
          <w:i w:val="1"/>
          <w:iCs w:val="1"/>
          <w:color w:val="auto"/>
        </w:rPr>
        <w:t>. Notices and all other communication provided for herein shall be in writing and shall be deemed to have been given to a Party at the earlier of (a) when personally delivered or (b) one business day after deposit with a national overnight courier service; in each case addressed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2600"/>
              <w:spacing w:after="0"/>
              <w:rPr>
                <w:sz w:val="20"/>
                <w:szCs w:val="20"/>
                <w:color w:val="auto"/>
              </w:rPr>
            </w:pPr>
            <w:r>
              <w:rPr>
                <w:rFonts w:ascii="Arial" w:cs="Arial" w:eastAsia="Arial" w:hAnsi="Arial"/>
                <w:sz w:val="18"/>
                <w:szCs w:val="18"/>
                <w:i w:val="1"/>
                <w:iCs w:val="1"/>
                <w:color w:val="auto"/>
              </w:rPr>
              <w:t>If to TCFIF:</w:t>
            </w:r>
          </w:p>
        </w:tc>
        <w:tc>
          <w:tcPr>
            <w:tcW w:w="7440" w:type="dxa"/>
            <w:vAlign w:val="bottom"/>
          </w:tcPr>
          <w:p>
            <w:pPr>
              <w:ind w:left="540"/>
              <w:spacing w:after="0"/>
              <w:rPr>
                <w:sz w:val="20"/>
                <w:szCs w:val="20"/>
                <w:color w:val="auto"/>
              </w:rPr>
            </w:pPr>
            <w:r>
              <w:rPr>
                <w:rFonts w:ascii="Arial" w:cs="Arial" w:eastAsia="Arial" w:hAnsi="Arial"/>
                <w:sz w:val="18"/>
                <w:szCs w:val="18"/>
                <w:i w:val="1"/>
                <w:iCs w:val="1"/>
                <w:color w:val="auto"/>
              </w:rPr>
              <w:t>TCF Inventory Finance, Inc.</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1475 E. Woodfield Road, Suite 1100</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Schaumburg, IL 60173</w:t>
            </w:r>
          </w:p>
        </w:tc>
      </w:tr>
      <w:tr>
        <w:trPr>
          <w:trHeight w:val="230"/>
        </w:trPr>
        <w:tc>
          <w:tcPr>
            <w:tcW w:w="40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Attention: Chief Legal Counsel</w:t>
            </w:r>
          </w:p>
        </w:tc>
      </w:tr>
      <w:tr>
        <w:trPr>
          <w:trHeight w:val="432"/>
        </w:trPr>
        <w:tc>
          <w:tcPr>
            <w:tcW w:w="4020" w:type="dxa"/>
            <w:vAlign w:val="bottom"/>
          </w:tcPr>
          <w:p>
            <w:pPr>
              <w:spacing w:after="0"/>
              <w:rPr>
                <w:sz w:val="24"/>
                <w:szCs w:val="24"/>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With copies to:</w:t>
            </w:r>
          </w:p>
        </w:tc>
      </w:tr>
      <w:tr>
        <w:trPr>
          <w:trHeight w:val="418"/>
        </w:trPr>
        <w:tc>
          <w:tcPr>
            <w:tcW w:w="4020" w:type="dxa"/>
            <w:vAlign w:val="bottom"/>
          </w:tcPr>
          <w:p>
            <w:pPr>
              <w:spacing w:after="0"/>
              <w:rPr>
                <w:sz w:val="24"/>
                <w:szCs w:val="24"/>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TCF National Bank</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200 E. Lake Street</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Wayzata, MN 55391</w:t>
            </w:r>
          </w:p>
        </w:tc>
      </w:tr>
      <w:tr>
        <w:trPr>
          <w:trHeight w:val="230"/>
        </w:trPr>
        <w:tc>
          <w:tcPr>
            <w:tcW w:w="40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Attention: General Counsel</w:t>
            </w:r>
          </w:p>
        </w:tc>
      </w:tr>
      <w:tr>
        <w:trPr>
          <w:trHeight w:val="432"/>
        </w:trPr>
        <w:tc>
          <w:tcPr>
            <w:tcW w:w="4020" w:type="dxa"/>
            <w:vAlign w:val="bottom"/>
          </w:tcPr>
          <w:p>
            <w:pPr>
              <w:spacing w:after="0"/>
              <w:rPr>
                <w:sz w:val="24"/>
                <w:szCs w:val="24"/>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and</w:t>
            </w:r>
          </w:p>
        </w:tc>
      </w:tr>
      <w:tr>
        <w:trPr>
          <w:trHeight w:val="418"/>
        </w:trPr>
        <w:tc>
          <w:tcPr>
            <w:tcW w:w="4020" w:type="dxa"/>
            <w:vAlign w:val="bottom"/>
          </w:tcPr>
          <w:p>
            <w:pPr>
              <w:spacing w:after="0"/>
              <w:rPr>
                <w:sz w:val="24"/>
                <w:szCs w:val="24"/>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Faegre Baker Daniels LLP</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2200 Wells Fargo Center</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90 South Seventh Street</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Minneapolis, MN 55402</w:t>
            </w:r>
          </w:p>
        </w:tc>
      </w:tr>
      <w:tr>
        <w:trPr>
          <w:trHeight w:val="230"/>
        </w:trPr>
        <w:tc>
          <w:tcPr>
            <w:tcW w:w="40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Attention: Kate Sherburne</w:t>
            </w:r>
          </w:p>
        </w:tc>
      </w:tr>
      <w:tr>
        <w:trPr>
          <w:trHeight w:val="418"/>
        </w:trPr>
        <w:tc>
          <w:tcPr>
            <w:tcW w:w="4020" w:type="dxa"/>
            <w:vAlign w:val="bottom"/>
          </w:tcPr>
          <w:p>
            <w:pPr>
              <w:ind w:left="2600"/>
              <w:spacing w:after="0"/>
              <w:rPr>
                <w:sz w:val="20"/>
                <w:szCs w:val="20"/>
                <w:color w:val="auto"/>
              </w:rPr>
            </w:pPr>
            <w:r>
              <w:rPr>
                <w:rFonts w:ascii="Arial" w:cs="Arial" w:eastAsia="Arial" w:hAnsi="Arial"/>
                <w:sz w:val="18"/>
                <w:szCs w:val="18"/>
                <w:i w:val="1"/>
                <w:iCs w:val="1"/>
                <w:color w:val="auto"/>
              </w:rPr>
              <w:t>If to Toro:</w:t>
            </w:r>
          </w:p>
        </w:tc>
        <w:tc>
          <w:tcPr>
            <w:tcW w:w="7440" w:type="dxa"/>
            <w:vAlign w:val="bottom"/>
          </w:tcPr>
          <w:p>
            <w:pPr>
              <w:ind w:left="500"/>
              <w:spacing w:after="0"/>
              <w:rPr>
                <w:sz w:val="20"/>
                <w:szCs w:val="20"/>
                <w:color w:val="auto"/>
              </w:rPr>
            </w:pPr>
            <w:r>
              <w:rPr>
                <w:rFonts w:ascii="Arial" w:cs="Arial" w:eastAsia="Arial" w:hAnsi="Arial"/>
                <w:sz w:val="18"/>
                <w:szCs w:val="18"/>
                <w:i w:val="1"/>
                <w:iCs w:val="1"/>
                <w:color w:val="auto"/>
              </w:rPr>
              <w:t>The Toro Company</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8111 Lyndale Avenue South</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Bloomington, MN 55420</w:t>
            </w:r>
          </w:p>
        </w:tc>
      </w:tr>
      <w:tr>
        <w:trPr>
          <w:trHeight w:val="230"/>
        </w:trPr>
        <w:tc>
          <w:tcPr>
            <w:tcW w:w="40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Attention: Treasurer</w:t>
            </w:r>
          </w:p>
        </w:tc>
      </w:tr>
      <w:tr>
        <w:trPr>
          <w:trHeight w:val="432"/>
        </w:trPr>
        <w:tc>
          <w:tcPr>
            <w:tcW w:w="4020" w:type="dxa"/>
            <w:vAlign w:val="bottom"/>
          </w:tcPr>
          <w:p>
            <w:pPr>
              <w:spacing w:after="0"/>
              <w:rPr>
                <w:sz w:val="24"/>
                <w:szCs w:val="24"/>
                <w:color w:val="auto"/>
              </w:rPr>
            </w:pPr>
          </w:p>
        </w:tc>
        <w:tc>
          <w:tcPr>
            <w:tcW w:w="7440" w:type="dxa"/>
            <w:vAlign w:val="bottom"/>
          </w:tcPr>
          <w:p>
            <w:pPr>
              <w:ind w:left="1640"/>
              <w:spacing w:after="0"/>
              <w:rPr>
                <w:sz w:val="20"/>
                <w:szCs w:val="20"/>
                <w:color w:val="auto"/>
              </w:rPr>
            </w:pPr>
            <w:r>
              <w:rPr>
                <w:rFonts w:ascii="Arial" w:cs="Arial" w:eastAsia="Arial" w:hAnsi="Arial"/>
                <w:sz w:val="18"/>
                <w:szCs w:val="18"/>
                <w:color w:val="auto"/>
              </w:rPr>
              <w:t>3</w:t>
            </w:r>
          </w:p>
        </w:tc>
      </w:tr>
      <w:tr>
        <w:trPr>
          <w:trHeight w:val="132"/>
        </w:trPr>
        <w:tc>
          <w:tcPr>
            <w:tcW w:w="4020" w:type="dxa"/>
            <w:vAlign w:val="bottom"/>
            <w:tcBorders>
              <w:bottom w:val="single" w:sz="8" w:color="808080"/>
            </w:tcBorders>
          </w:tcPr>
          <w:p>
            <w:pPr>
              <w:spacing w:after="0"/>
              <w:rPr>
                <w:sz w:val="11"/>
                <w:szCs w:val="11"/>
                <w:color w:val="auto"/>
              </w:rPr>
            </w:pPr>
          </w:p>
        </w:tc>
        <w:tc>
          <w:tcPr>
            <w:tcW w:w="7440" w:type="dxa"/>
            <w:vAlign w:val="bottom"/>
            <w:tcBorders>
              <w:bottom w:val="single" w:sz="8" w:color="808080"/>
            </w:tcBorders>
          </w:tcPr>
          <w:p>
            <w:pPr>
              <w:spacing w:after="0"/>
              <w:rPr>
                <w:sz w:val="11"/>
                <w:szCs w:val="11"/>
                <w:color w:val="auto"/>
              </w:rPr>
            </w:pPr>
          </w:p>
        </w:tc>
      </w:tr>
      <w:tr>
        <w:trPr>
          <w:trHeight w:val="780"/>
        </w:trPr>
        <w:tc>
          <w:tcPr>
            <w:tcW w:w="4020" w:type="dxa"/>
            <w:vAlign w:val="bottom"/>
          </w:tcPr>
          <w:p>
            <w:pPr>
              <w:spacing w:after="0"/>
              <w:rPr>
                <w:sz w:val="24"/>
                <w:szCs w:val="24"/>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With copies to:</w:t>
            </w:r>
          </w:p>
        </w:tc>
      </w:tr>
      <w:tr>
        <w:trPr>
          <w:trHeight w:val="418"/>
        </w:trPr>
        <w:tc>
          <w:tcPr>
            <w:tcW w:w="4020" w:type="dxa"/>
            <w:vAlign w:val="bottom"/>
          </w:tcPr>
          <w:p>
            <w:pPr>
              <w:spacing w:after="0"/>
              <w:rPr>
                <w:sz w:val="24"/>
                <w:szCs w:val="24"/>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The Toro Company</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8111 Lyndale Avenue South</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Bloomington, MN 55420</w:t>
            </w:r>
          </w:p>
        </w:tc>
      </w:tr>
      <w:tr>
        <w:trPr>
          <w:trHeight w:val="230"/>
        </w:trPr>
        <w:tc>
          <w:tcPr>
            <w:tcW w:w="40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Attention: General Counsel</w:t>
            </w:r>
          </w:p>
        </w:tc>
      </w:tr>
      <w:tr>
        <w:trPr>
          <w:trHeight w:val="432"/>
        </w:trPr>
        <w:tc>
          <w:tcPr>
            <w:tcW w:w="4020" w:type="dxa"/>
            <w:vAlign w:val="bottom"/>
          </w:tcPr>
          <w:p>
            <w:pPr>
              <w:spacing w:after="0"/>
              <w:rPr>
                <w:sz w:val="24"/>
                <w:szCs w:val="24"/>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and</w:t>
            </w:r>
          </w:p>
        </w:tc>
      </w:tr>
      <w:tr>
        <w:trPr>
          <w:trHeight w:val="418"/>
        </w:trPr>
        <w:tc>
          <w:tcPr>
            <w:tcW w:w="4020" w:type="dxa"/>
            <w:vAlign w:val="bottom"/>
          </w:tcPr>
          <w:p>
            <w:pPr>
              <w:spacing w:after="0"/>
              <w:rPr>
                <w:sz w:val="24"/>
                <w:szCs w:val="24"/>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Fox Rothschild LLP</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Campbell Mithun Tower – Suite 2000</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222 South Ninth St.</w:t>
            </w:r>
          </w:p>
        </w:tc>
      </w:tr>
      <w:tr>
        <w:trPr>
          <w:trHeight w:val="216"/>
        </w:trPr>
        <w:tc>
          <w:tcPr>
            <w:tcW w:w="40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Minneapolis, MN 55402</w:t>
            </w:r>
          </w:p>
        </w:tc>
      </w:tr>
      <w:tr>
        <w:trPr>
          <w:trHeight w:val="230"/>
        </w:trPr>
        <w:tc>
          <w:tcPr>
            <w:tcW w:w="40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i w:val="1"/>
                <w:iCs w:val="1"/>
                <w:color w:val="auto"/>
              </w:rPr>
              <w:t>Attention: C. Robert Beattie, Esq.</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-2308225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-2308225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1960" w:right="360"/>
        <w:spacing w:after="0" w:line="277" w:lineRule="auto"/>
        <w:rPr>
          <w:sz w:val="20"/>
          <w:szCs w:val="20"/>
          <w:color w:val="auto"/>
        </w:rPr>
      </w:pPr>
      <w:r>
        <w:rPr>
          <w:rFonts w:ascii="Arial" w:cs="Arial" w:eastAsia="Arial" w:hAnsi="Arial"/>
          <w:sz w:val="18"/>
          <w:szCs w:val="18"/>
          <w:i w:val="1"/>
          <w:iCs w:val="1"/>
          <w:color w:val="auto"/>
        </w:rPr>
        <w:t>or to such other address as either Party hereto may have furnished to the other Party hereto in writing in accordance herewith, except that notices of change of address shall be effective only upon receipt.”</w:t>
      </w:r>
    </w:p>
    <w:p>
      <w:pPr>
        <w:spacing w:after="0" w:line="170" w:lineRule="exact"/>
        <w:rPr>
          <w:sz w:val="20"/>
          <w:szCs w:val="20"/>
          <w:color w:val="auto"/>
        </w:rPr>
      </w:pPr>
    </w:p>
    <w:p>
      <w:pPr>
        <w:ind w:right="60" w:firstLine="656"/>
        <w:spacing w:after="0" w:line="279" w:lineRule="auto"/>
        <w:tabs>
          <w:tab w:leader="none" w:pos="129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Affirmation of JV Agreement; Further References</w:t>
      </w:r>
      <w:r>
        <w:rPr>
          <w:rFonts w:ascii="Arial" w:cs="Arial" w:eastAsia="Arial" w:hAnsi="Arial"/>
          <w:sz w:val="17"/>
          <w:szCs w:val="17"/>
          <w:color w:val="auto"/>
        </w:rPr>
        <w:t>. The parties hereto each acknowledge and affirm that the JV Agreement, as hereby amended, is hereby ratified and confirmed in all respects, and all terms, conditions and provisions of the JV Agreement, except as amended by this Amendment, shall remain unmodified and in full force and effect. All references in any document or instrument to the JV Agreement (including references in the JV Agreement to the terms thereof) are hereby amended to refer to the JV Agreement as amended through this Amendment.</w:t>
      </w:r>
    </w:p>
    <w:p>
      <w:pPr>
        <w:spacing w:after="0" w:line="171" w:lineRule="exact"/>
        <w:rPr>
          <w:rFonts w:ascii="Arial" w:cs="Arial" w:eastAsia="Arial" w:hAnsi="Arial"/>
          <w:sz w:val="17"/>
          <w:szCs w:val="17"/>
          <w:color w:val="auto"/>
        </w:rPr>
      </w:pPr>
    </w:p>
    <w:p>
      <w:pPr>
        <w:ind w:right="60" w:firstLine="656"/>
        <w:spacing w:after="0" w:line="259"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ectPr>
          <w:pgSz w:w="11900" w:h="16838" w:orient="portrait"/>
          <w:cols w:equalWidth="0" w:num="1">
            <w:col w:w="11460"/>
          </w:cols>
          <w:pgMar w:left="240" w:top="247" w:right="199" w:bottom="0" w:gutter="0" w:footer="0" w:header="0"/>
        </w:sectPr>
      </w:pPr>
    </w:p>
    <w:bookmarkStart w:id="4" w:name="page5"/>
    <w:bookmarkEnd w:id="4"/>
    <w:p>
      <w:pPr>
        <w:ind w:left="-40" w:firstLine="656"/>
        <w:spacing w:after="0" w:line="286" w:lineRule="auto"/>
        <w:tabs>
          <w:tab w:leader="none" w:pos="125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parties hereto have duly executed this Amendment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41" w:lineRule="exact"/>
        <w:rPr>
          <w:sz w:val="20"/>
          <w:szCs w:val="20"/>
          <w:color w:val="auto"/>
        </w:rPr>
      </w:pPr>
    </w:p>
    <w:p>
      <w:pPr>
        <w:ind w:left="5900"/>
        <w:spacing w:after="0"/>
        <w:tabs>
          <w:tab w:leader="none" w:pos="6380" w:val="left"/>
        </w:tabs>
        <w:rPr>
          <w:sz w:val="20"/>
          <w:szCs w:val="20"/>
          <w:color w:val="auto"/>
        </w:rPr>
      </w:pPr>
      <w:r>
        <w:rPr>
          <w:rFonts w:ascii="Arial" w:cs="Arial" w:eastAsia="Arial" w:hAnsi="Arial"/>
          <w:sz w:val="18"/>
          <w:szCs w:val="18"/>
          <w:color w:val="auto"/>
        </w:rPr>
        <w:t>By:</w:t>
        <w:tab/>
        <w:t>/s/ Renee J. Peterson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4062095</wp:posOffset>
            </wp:positionH>
            <wp:positionV relativeFrom="paragraph">
              <wp:posOffset>-130810</wp:posOffset>
            </wp:positionV>
            <wp:extent cx="31642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Its: Vice President, Treasurer and Chief Financial Officer</w:t>
      </w:r>
    </w:p>
    <w:p>
      <w:pPr>
        <w:spacing w:after="0" w:line="200" w:lineRule="exact"/>
        <w:rPr>
          <w:sz w:val="20"/>
          <w:szCs w:val="20"/>
          <w:color w:val="auto"/>
        </w:rPr>
      </w:pPr>
    </w:p>
    <w:p>
      <w:pPr>
        <w:spacing w:after="0" w:line="22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TCF INVENTORY FINANCE, INC.</w:t>
      </w:r>
    </w:p>
    <w:p>
      <w:pPr>
        <w:spacing w:after="0" w:line="200" w:lineRule="exact"/>
        <w:rPr>
          <w:sz w:val="20"/>
          <w:szCs w:val="20"/>
          <w:color w:val="auto"/>
        </w:rPr>
      </w:pPr>
    </w:p>
    <w:p>
      <w:pPr>
        <w:spacing w:after="0" w:line="241" w:lineRule="exact"/>
        <w:rPr>
          <w:sz w:val="20"/>
          <w:szCs w:val="20"/>
          <w:color w:val="auto"/>
        </w:rPr>
      </w:pPr>
    </w:p>
    <w:p>
      <w:pPr>
        <w:ind w:left="5900"/>
        <w:spacing w:after="0"/>
        <w:tabs>
          <w:tab w:leader="none" w:pos="6380" w:val="left"/>
        </w:tabs>
        <w:rPr>
          <w:sz w:val="20"/>
          <w:szCs w:val="20"/>
          <w:color w:val="auto"/>
        </w:rPr>
      </w:pPr>
      <w:r>
        <w:rPr>
          <w:rFonts w:ascii="Arial" w:cs="Arial" w:eastAsia="Arial" w:hAnsi="Arial"/>
          <w:sz w:val="18"/>
          <w:szCs w:val="18"/>
          <w:color w:val="auto"/>
        </w:rPr>
        <w:t>By:</w:t>
        <w:tab/>
        <w:t>/s/ Rosario A. Perrelli</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4062095</wp:posOffset>
            </wp:positionH>
            <wp:positionV relativeFrom="paragraph">
              <wp:posOffset>-130810</wp:posOffset>
            </wp:positionV>
            <wp:extent cx="31642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Its: Chief Executive Officer and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Second Amendment to Agreement to Form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5" w:name="page6"/>
    <w:bookmarkEnd w:id="5"/>
    <w:p>
      <w:pPr>
        <w:spacing w:after="0" w:line="12" w:lineRule="exact"/>
        <w:rPr>
          <w:sz w:val="20"/>
          <w:szCs w:val="20"/>
          <w:color w:val="auto"/>
        </w:rPr>
      </w:pPr>
    </w:p>
    <w:p>
      <w:pPr>
        <w:ind w:left="10580"/>
        <w:spacing w:after="0"/>
        <w:rPr>
          <w:sz w:val="20"/>
          <w:szCs w:val="20"/>
          <w:color w:val="auto"/>
        </w:rPr>
      </w:pPr>
      <w:r>
        <w:rPr>
          <w:rFonts w:ascii="Arial" w:cs="Arial" w:eastAsia="Arial" w:hAnsi="Arial"/>
          <w:sz w:val="16"/>
          <w:szCs w:val="16"/>
          <w:b w:val="1"/>
          <w:bCs w:val="1"/>
          <w:color w:val="auto"/>
        </w:rPr>
        <w:t>Exhibit 2.2</w:t>
      </w:r>
    </w:p>
    <w:p>
      <w:pPr>
        <w:spacing w:after="0" w:line="248"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b w:val="1"/>
          <w:bCs w:val="1"/>
          <w:color w:val="auto"/>
        </w:rPr>
        <w:t>[PORTIONS OF THIS EXHIBIT HAVE BEEN OMITTED PURSUANT TO A REQUEST FOR CONFIDENTIALITY UNDER RULE 24B-2 OF THE SECURITIES EXCHANGE ACT OF 1934, AS AMENDED. THE CONFIDENTIAL PORTIONS OF THIS EXHIBIT THAT HAVE BEEN OMITTED ARE MARKED WITH “[***].” A COPY OF THIS EXHIBIT WITH ALL SECTIONS INTACT HAS BEEN FILED SEPARATELY WITH THE SECURITIES AND EXCHANGE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IRON ACCEPTANCE, LLC</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THIS THIRD AMENDMENT TO LIMITED LIABILITY COMPANY AGREEMENT OF RED IRON ACCEPTANCE, LLC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dated as of November 29, 2016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by and between RED IRON HOLDING CORPORATION, 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Toro Sub</w:t>
      </w:r>
      <w:r>
        <w:rPr>
          <w:rFonts w:ascii="Arial" w:cs="Arial" w:eastAsia="Arial" w:hAnsi="Arial"/>
          <w:sz w:val="16"/>
          <w:szCs w:val="16"/>
          <w:color w:val="auto"/>
        </w:rPr>
        <w:t>”), and TCFIF JOINT VENTURE I, LLC, a Minnesota limited liability company (“</w:t>
      </w:r>
      <w:r>
        <w:rPr>
          <w:rFonts w:ascii="Arial" w:cs="Arial" w:eastAsia="Arial" w:hAnsi="Arial"/>
          <w:sz w:val="16"/>
          <w:szCs w:val="16"/>
          <w:u w:val="single" w:color="auto"/>
          <w:color w:val="auto"/>
        </w:rPr>
        <w:t>TCFIF Sub</w:t>
      </w:r>
      <w:r>
        <w:rPr>
          <w:rFonts w:ascii="Arial" w:cs="Arial" w:eastAsia="Arial" w:hAnsi="Arial"/>
          <w:sz w:val="16"/>
          <w:szCs w:val="16"/>
          <w:color w:val="auto"/>
        </w:rPr>
        <w:t>”). Capitalized terms used herein and not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shall have the meanings ascribed thereto in the LLC Agreement (as hereinafter defined).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00" w:firstLine="656"/>
        <w:spacing w:after="0" w:line="259" w:lineRule="auto"/>
        <w:tabs>
          <w:tab w:leader="none" w:pos="13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Toro Sub and TCFIF Sub are parties to that certain Limited Liability Company Agreement of Red Iron Acceptance, LLC, dated as of August 12, 2009, as amended by the Amendment No. 1 to Limited Liability Company Agreement of Red Iron Acceptance, LLC, made as of May 31, 2011 and by the Second Amendment to Limited Liability Company Agreement of Red Iron Acceptance, LLC dated as of June 6, 2012 (as so amended, the “</w:t>
      </w:r>
      <w:r>
        <w:rPr>
          <w:rFonts w:ascii="Arial" w:cs="Arial" w:eastAsia="Arial" w:hAnsi="Arial"/>
          <w:sz w:val="18"/>
          <w:szCs w:val="18"/>
          <w:u w:val="single" w:color="auto"/>
          <w:color w:val="auto"/>
        </w:rPr>
        <w:t>LLC</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parties hereto have agreed to amend the LLC Agreement as provided herein.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Amendments.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Extension of Initial Term</w:t>
      </w:r>
      <w:r>
        <w:rPr>
          <w:rFonts w:ascii="Arial" w:cs="Arial" w:eastAsia="Arial" w:hAnsi="Arial"/>
          <w:sz w:val="18"/>
          <w:szCs w:val="18"/>
          <w:color w:val="auto"/>
        </w:rPr>
        <w:t>. Section 1.04 of the LLC Agreement is amended and restated in its entirety to read as follows:</w:t>
      </w:r>
    </w:p>
    <w:p>
      <w:pPr>
        <w:spacing w:after="0" w:line="225"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i w:val="1"/>
          <w:iCs w:val="1"/>
          <w:color w:val="auto"/>
        </w:rPr>
        <w:t xml:space="preserve">“1.04 </w:t>
      </w:r>
      <w:r>
        <w:rPr>
          <w:rFonts w:ascii="Arial" w:cs="Arial" w:eastAsia="Arial" w:hAnsi="Arial"/>
          <w:sz w:val="18"/>
          <w:szCs w:val="18"/>
          <w:i w:val="1"/>
          <w:iCs w:val="1"/>
          <w:u w:val="single" w:color="auto"/>
          <w:color w:val="auto"/>
        </w:rPr>
        <w:t>Term</w:t>
      </w:r>
      <w:r>
        <w:rPr>
          <w:rFonts w:ascii="Arial" w:cs="Arial" w:eastAsia="Arial" w:hAnsi="Arial"/>
          <w:sz w:val="18"/>
          <w:szCs w:val="18"/>
          <w:i w:val="1"/>
          <w:iCs w:val="1"/>
          <w:color w:val="auto"/>
        </w:rPr>
        <w:t>. Subject to the provisions of Article X below, the initial term of the Company shall commence on the date first written above (the “Formation Date”), shall continue until October 31, 2024 (the “Initial Term”), and thereafter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right="240"/>
        <w:spacing w:after="0" w:line="286" w:lineRule="auto"/>
        <w:rPr>
          <w:sz w:val="20"/>
          <w:szCs w:val="20"/>
          <w:color w:val="auto"/>
        </w:rPr>
      </w:pPr>
      <w:r>
        <w:rPr>
          <w:rFonts w:ascii="Arial" w:cs="Arial" w:eastAsia="Arial" w:hAnsi="Arial"/>
          <w:sz w:val="17"/>
          <w:szCs w:val="17"/>
          <w:i w:val="1"/>
          <w:iCs w:val="1"/>
          <w:color w:val="auto"/>
        </w:rPr>
        <w:t>extended automatically for additional two-year terms (each, an “Additional Term”) unless at least one year prior to the expiration of the Initial Term or Additional Term (as applicable) either Member gives notice to the other Member of its intention not to extend the term, in which event the Company shall dissolve and be wound-up in accordance with the provisions of said Article X.”</w:t>
      </w:r>
    </w:p>
    <w:p>
      <w:pPr>
        <w:spacing w:after="0" w:line="166" w:lineRule="exact"/>
        <w:rPr>
          <w:sz w:val="20"/>
          <w:szCs w:val="20"/>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Required Approvals</w:t>
      </w:r>
      <w:r>
        <w:rPr>
          <w:rFonts w:ascii="Arial" w:cs="Arial" w:eastAsia="Arial" w:hAnsi="Arial"/>
          <w:sz w:val="18"/>
          <w:szCs w:val="18"/>
          <w:color w:val="auto"/>
        </w:rPr>
        <w:t>. The “</w:t>
      </w:r>
      <w:r>
        <w:rPr>
          <w:rFonts w:ascii="Arial" w:cs="Arial" w:eastAsia="Arial" w:hAnsi="Arial"/>
          <w:sz w:val="18"/>
          <w:szCs w:val="18"/>
          <w:i w:val="1"/>
          <w:iCs w:val="1"/>
          <w:color w:val="auto"/>
        </w:rPr>
        <w:t>or</w:t>
      </w:r>
      <w:r>
        <w:rPr>
          <w:rFonts w:ascii="Arial" w:cs="Arial" w:eastAsia="Arial" w:hAnsi="Arial"/>
          <w:sz w:val="18"/>
          <w:szCs w:val="18"/>
          <w:color w:val="auto"/>
        </w:rPr>
        <w:t>” at the end of Section 6.04(bb) of the LLC Agreement is deleted, the period at the end of</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6.04(cc) is changed to a semi-colon and the word “</w:t>
      </w:r>
      <w:r>
        <w:rPr>
          <w:rFonts w:ascii="Arial" w:cs="Arial" w:eastAsia="Arial" w:hAnsi="Arial"/>
          <w:sz w:val="16"/>
          <w:szCs w:val="16"/>
          <w:i w:val="1"/>
          <w:iCs w:val="1"/>
          <w:color w:val="auto"/>
        </w:rPr>
        <w:t>or</w:t>
      </w:r>
      <w:r>
        <w:rPr>
          <w:rFonts w:ascii="Arial" w:cs="Arial" w:eastAsia="Arial" w:hAnsi="Arial"/>
          <w:sz w:val="16"/>
          <w:szCs w:val="16"/>
          <w:color w:val="auto"/>
        </w:rPr>
        <w:t>” is added after such semi-colon, and the following is added as a new Section 6.04(dd):</w:t>
      </w:r>
    </w:p>
    <w:p>
      <w:pPr>
        <w:spacing w:after="0" w:line="234"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i w:val="1"/>
          <w:iCs w:val="1"/>
          <w:color w:val="auto"/>
        </w:rPr>
        <w:t>“(dd) establish or amend service level agreements (SLAs) applicable to the services provided under either of the Services Agreements, which service level agreements (if any) the Members will endeavor to re-evaluate on a periodic basis.”</w:t>
      </w:r>
    </w:p>
    <w:p>
      <w:pPr>
        <w:spacing w:after="0" w:line="170" w:lineRule="exact"/>
        <w:rPr>
          <w:sz w:val="20"/>
          <w:szCs w:val="20"/>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Extension of Dates Referred to in the Toro Sub Purchase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Sections 9.03(a)(i)(A) — (C) of the LLC Agreement are amended and restated in their entirety to read as follows:</w:t>
      </w:r>
    </w:p>
    <w:p>
      <w:pPr>
        <w:spacing w:after="0" w:line="237" w:lineRule="exact"/>
        <w:rPr>
          <w:sz w:val="20"/>
          <w:szCs w:val="20"/>
          <w:color w:val="auto"/>
        </w:rPr>
      </w:pPr>
    </w:p>
    <w:p>
      <w:pPr>
        <w:ind w:left="1960" w:right="560"/>
        <w:spacing w:after="0" w:line="277" w:lineRule="auto"/>
        <w:rPr>
          <w:sz w:val="20"/>
          <w:szCs w:val="20"/>
          <w:color w:val="auto"/>
        </w:rPr>
      </w:pPr>
      <w:r>
        <w:rPr>
          <w:rFonts w:ascii="Arial" w:cs="Arial" w:eastAsia="Arial" w:hAnsi="Arial"/>
          <w:sz w:val="18"/>
          <w:szCs w:val="18"/>
          <w:i w:val="1"/>
          <w:iCs w:val="1"/>
          <w:color w:val="auto"/>
        </w:rPr>
        <w:t>“(A) if the Closing Date occurs at the expiration date of the Initial Term, an amount equal to the greater of (y) [***] or (z) [***];</w:t>
      </w:r>
    </w:p>
    <w:p>
      <w:pPr>
        <w:spacing w:after="0" w:line="170" w:lineRule="exact"/>
        <w:rPr>
          <w:sz w:val="20"/>
          <w:szCs w:val="20"/>
          <w:color w:val="auto"/>
        </w:rPr>
      </w:pPr>
    </w:p>
    <w:p>
      <w:pPr>
        <w:ind w:left="2620" w:hanging="667"/>
        <w:spacing w:after="0"/>
        <w:tabs>
          <w:tab w:leader="none" w:pos="26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if the Closing Date occurs at the expiration date of the first Additional Term, an amount equal to [***]; or</w:t>
      </w:r>
    </w:p>
    <w:p>
      <w:pPr>
        <w:spacing w:after="0" w:line="225" w:lineRule="exact"/>
        <w:rPr>
          <w:rFonts w:ascii="Arial" w:cs="Arial" w:eastAsia="Arial" w:hAnsi="Arial"/>
          <w:sz w:val="18"/>
          <w:szCs w:val="18"/>
          <w:i w:val="1"/>
          <w:iCs w:val="1"/>
          <w:color w:val="auto"/>
        </w:rPr>
      </w:pPr>
    </w:p>
    <w:p>
      <w:pPr>
        <w:ind w:left="1960" w:right="40" w:hanging="7"/>
        <w:spacing w:after="0" w:line="277" w:lineRule="auto"/>
        <w:tabs>
          <w:tab w:leader="none" w:pos="2619"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if the Closing Date occurs at the expiration date of the second Additional Term or at any time thereafter, an amount equal to [***].”</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paragraph following clause (C) of Section 9.03(a)(i) of the LLC Agreement shall remain without change.</w:t>
      </w:r>
    </w:p>
    <w:p>
      <w:pPr>
        <w:spacing w:after="0" w:line="225" w:lineRule="exact"/>
        <w:rPr>
          <w:sz w:val="20"/>
          <w:szCs w:val="20"/>
          <w:color w:val="auto"/>
        </w:rPr>
      </w:pPr>
    </w:p>
    <w:p>
      <w:pPr>
        <w:ind w:left="2640" w:hanging="687"/>
        <w:spacing w:after="0"/>
        <w:tabs>
          <w:tab w:leader="none" w:pos="2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9.03(b)(i)(i) of the LLC Agreement is amended and restated in its entirety to read as follows:</w:t>
      </w:r>
    </w:p>
    <w:p>
      <w:pPr>
        <w:spacing w:after="0" w:line="225" w:lineRule="exact"/>
        <w:rPr>
          <w:sz w:val="20"/>
          <w:szCs w:val="20"/>
          <w:color w:val="auto"/>
        </w:rPr>
      </w:pPr>
    </w:p>
    <w:p>
      <w:pPr>
        <w:ind w:left="1960" w:right="500"/>
        <w:spacing w:after="0" w:line="277" w:lineRule="auto"/>
        <w:rPr>
          <w:sz w:val="20"/>
          <w:szCs w:val="20"/>
          <w:color w:val="auto"/>
        </w:rPr>
      </w:pPr>
      <w:r>
        <w:rPr>
          <w:rFonts w:ascii="Arial" w:cs="Arial" w:eastAsia="Arial" w:hAnsi="Arial"/>
          <w:sz w:val="18"/>
          <w:szCs w:val="18"/>
          <w:i w:val="1"/>
          <w:iCs w:val="1"/>
          <w:color w:val="auto"/>
        </w:rPr>
        <w:t>“(i) during the 31-day period commencing on October 1 of the year prior to the calendar year in which the Initial Term expires, or”</w:t>
      </w:r>
    </w:p>
    <w:p>
      <w:pPr>
        <w:spacing w:after="0" w:line="170" w:lineRule="exact"/>
        <w:rPr>
          <w:sz w:val="20"/>
          <w:szCs w:val="20"/>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 Section 10.01(h) of the LLC Agreement is amended and restated in its entirety as follows:</w:t>
      </w:r>
    </w:p>
    <w:p>
      <w:pPr>
        <w:sectPr>
          <w:pgSz w:w="11900" w:h="16850" w:orient="portrait"/>
          <w:cols w:equalWidth="0" w:num="1">
            <w:col w:w="11420"/>
          </w:cols>
          <w:pgMar w:left="240" w:top="121" w:right="239" w:bottom="0" w:gutter="0" w:footer="0" w:header="0"/>
        </w:sectPr>
      </w:pPr>
    </w:p>
    <w:p>
      <w:pPr>
        <w:spacing w:after="0" w:line="225" w:lineRule="exact"/>
        <w:rPr>
          <w:sz w:val="20"/>
          <w:szCs w:val="20"/>
          <w:color w:val="auto"/>
        </w:rPr>
      </w:pPr>
    </w:p>
    <w:p>
      <w:pPr>
        <w:ind w:left="1960" w:right="20"/>
        <w:spacing w:after="0" w:line="264" w:lineRule="auto"/>
        <w:rPr>
          <w:sz w:val="20"/>
          <w:szCs w:val="20"/>
          <w:color w:val="auto"/>
        </w:rPr>
      </w:pPr>
      <w:r>
        <w:rPr>
          <w:rFonts w:ascii="Arial" w:cs="Arial" w:eastAsia="Arial" w:hAnsi="Arial"/>
          <w:sz w:val="18"/>
          <w:szCs w:val="18"/>
          <w:i w:val="1"/>
          <w:iCs w:val="1"/>
          <w:color w:val="auto"/>
        </w:rPr>
        <w:t>“(h) upon election of a Member to dissolve due to non-viability of the Company, as described below, provided that notice of such election may not be given prior to the second anniversary of the initial closing by the Company of a purchase under the initial Receivable Purchase Agreement.</w:t>
      </w:r>
    </w:p>
    <w:p>
      <w:pPr>
        <w:sectPr>
          <w:pgSz w:w="11900" w:h="16850" w:orient="portrait"/>
          <w:cols w:equalWidth="0" w:num="1">
            <w:col w:w="11420"/>
          </w:cols>
          <w:pgMar w:left="240" w:top="121" w:right="239" w:bottom="0" w:gutter="0" w:footer="0" w:header="0"/>
          <w:type w:val="continuous"/>
        </w:sectPr>
      </w:pPr>
    </w:p>
    <w:bookmarkStart w:id="6" w:name="page7"/>
    <w:bookmarkEnd w:id="6"/>
    <w:p>
      <w:pPr>
        <w:ind w:left="-8" w:right="320" w:firstLine="8"/>
        <w:spacing w:after="0" w:line="277" w:lineRule="auto"/>
        <w:tabs>
          <w:tab w:leader="none" w:pos="427"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spacing w:after="0" w:line="253" w:lineRule="auto"/>
        <w:rPr>
          <w:sz w:val="20"/>
          <w:szCs w:val="20"/>
          <w:color w:val="auto"/>
        </w:rPr>
      </w:pPr>
      <w:r>
        <w:rPr>
          <w:rFonts w:ascii="Arial" w:cs="Arial" w:eastAsia="Arial" w:hAnsi="Arial"/>
          <w:sz w:val="18"/>
          <w:szCs w:val="18"/>
          <w:i w:val="1"/>
          <w:iCs w:val="1"/>
          <w:color w:val="auto"/>
        </w:rPr>
        <w:t>(For purposes of this Agreement, (i) “non-viability shall mean (A) failure of the Company to achieve a minimum four quarter rolling return average for each four-quarter period ending after the second anniversary of the initial closing of a purchase by the Company under the initial Receivable Purchase Agreement of [***] of pre-tax return on assets or such other return as may hereafter be agreed upon in writing by the Members or (B) agreement of the Members to the effect that the equity requirements of the Company exceed the sum of [***]; and (ii) “pre-tax return on assets” shall mean a quotient, (A) the numerator of which is equal to the product of (x) the pre-tax income of the Company from the first day of the first calendar month covered by such calculation, divided by the number of calendar months included in the period covered by such calculation, multiplied by (y) 12, and (B) the denominator of which is equal to (x) the sum of the monthly Average Net Receivables for each calendar month included in the period covered by such calculation, divided by (y) the number of calendar months included in the period covered by such calculation.)”</w:t>
      </w:r>
    </w:p>
    <w:p>
      <w:pPr>
        <w:spacing w:after="0" w:line="195" w:lineRule="exact"/>
        <w:rPr>
          <w:sz w:val="20"/>
          <w:szCs w:val="20"/>
          <w:color w:val="auto"/>
        </w:rPr>
      </w:pPr>
    </w:p>
    <w:p>
      <w:pPr>
        <w:ind w:left="1952" w:hanging="655"/>
        <w:spacing w:after="0"/>
        <w:tabs>
          <w:tab w:leader="none" w:pos="19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Section 11.03 of the LLC Agreement is amended and restated in its entirety as follows:</w:t>
      </w:r>
    </w:p>
    <w:p>
      <w:pPr>
        <w:spacing w:after="0" w:line="225" w:lineRule="exact"/>
        <w:rPr>
          <w:rFonts w:ascii="Arial" w:cs="Arial" w:eastAsia="Arial" w:hAnsi="Arial"/>
          <w:sz w:val="18"/>
          <w:szCs w:val="18"/>
          <w:color w:val="auto"/>
        </w:rPr>
      </w:pPr>
    </w:p>
    <w:p>
      <w:pPr>
        <w:jc w:val="both"/>
        <w:ind w:left="1952" w:right="22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“11.03 </w:t>
      </w:r>
      <w:r>
        <w:rPr>
          <w:rFonts w:ascii="Arial" w:cs="Arial" w:eastAsia="Arial" w:hAnsi="Arial"/>
          <w:sz w:val="18"/>
          <w:szCs w:val="18"/>
          <w:i w:val="1"/>
          <w:iCs w:val="1"/>
          <w:u w:val="single" w:color="auto"/>
          <w:color w:val="auto"/>
        </w:rPr>
        <w:t>Notices</w:t>
      </w:r>
      <w:r>
        <w:rPr>
          <w:rFonts w:ascii="Arial" w:cs="Arial" w:eastAsia="Arial" w:hAnsi="Arial"/>
          <w:sz w:val="18"/>
          <w:szCs w:val="18"/>
          <w:i w:val="1"/>
          <w:iCs w:val="1"/>
          <w:color w:val="auto"/>
        </w:rPr>
        <w:t>. Notices and all other communication provided for herein shall be in writing and shall be deemed to have been given to a Member at the earlier of (a) when personally delivered to (b) one business day after deposit with a national overnight courier services; in each case addressed as follows:</w:t>
      </w:r>
    </w:p>
    <w:p>
      <w:pPr>
        <w:sectPr>
          <w:pgSz w:w="11900" w:h="16838" w:orient="portrait"/>
          <w:cols w:equalWidth="0" w:num="1">
            <w:col w:w="11412"/>
          </w:cols>
          <w:pgMar w:left="248" w:top="571" w:right="239" w:bottom="0" w:gutter="0" w:footer="0" w:header="0"/>
        </w:sectPr>
      </w:pPr>
    </w:p>
    <w:p>
      <w:pPr>
        <w:spacing w:after="0" w:line="181" w:lineRule="exact"/>
        <w:rPr>
          <w:sz w:val="20"/>
          <w:szCs w:val="20"/>
          <w:color w:val="auto"/>
        </w:rPr>
      </w:pPr>
    </w:p>
    <w:p>
      <w:pPr>
        <w:ind w:left="2592"/>
        <w:spacing w:after="0"/>
        <w:rPr>
          <w:sz w:val="20"/>
          <w:szCs w:val="20"/>
          <w:color w:val="auto"/>
        </w:rPr>
      </w:pPr>
      <w:r>
        <w:rPr>
          <w:rFonts w:ascii="Arial" w:cs="Arial" w:eastAsia="Arial" w:hAnsi="Arial"/>
          <w:sz w:val="17"/>
          <w:szCs w:val="17"/>
          <w:i w:val="1"/>
          <w:iCs w:val="1"/>
          <w:color w:val="auto"/>
        </w:rPr>
        <w:t>If to TCFIF Sub:</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TCFIF Joint Venture I,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1475 E. Woodfield Road, Suite 1100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Schaumburg, IL 60173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Attention: Chief Legal Counsel</w:t>
      </w:r>
    </w:p>
    <w:p>
      <w:pPr>
        <w:spacing w:after="0" w:line="200" w:lineRule="exact"/>
        <w:rPr>
          <w:sz w:val="20"/>
          <w:szCs w:val="20"/>
          <w:color w:val="auto"/>
        </w:rPr>
      </w:pPr>
    </w:p>
    <w:p>
      <w:pPr>
        <w:sectPr>
          <w:pgSz w:w="11900" w:h="16838" w:orient="portrait"/>
          <w:cols w:equalWidth="0" w:num="2">
            <w:col w:w="3812" w:space="720"/>
            <w:col w:w="6880"/>
          </w:cols>
          <w:pgMar w:left="248" w:top="571" w:right="239" w:bottom="0" w:gutter="0" w:footer="0" w:header="0"/>
          <w:type w:val="continuous"/>
        </w:sectPr>
      </w:pPr>
    </w:p>
    <w:p>
      <w:pPr>
        <w:spacing w:after="0" w:line="11"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With copies to:</w:t>
      </w:r>
    </w:p>
    <w:p>
      <w:pPr>
        <w:spacing w:after="0" w:line="225"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TCF National Bank</w:t>
      </w:r>
    </w:p>
    <w:p>
      <w:pPr>
        <w:spacing w:after="0" w:line="23"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200 E. Lake Street</w:t>
      </w:r>
    </w:p>
    <w:p>
      <w:pPr>
        <w:spacing w:after="0" w:line="9"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Wayzata, MN 55391</w:t>
      </w:r>
    </w:p>
    <w:p>
      <w:pPr>
        <w:spacing w:after="0" w:line="9" w:lineRule="exact"/>
        <w:rPr>
          <w:sz w:val="20"/>
          <w:szCs w:val="20"/>
          <w:color w:val="auto"/>
        </w:rPr>
      </w:pPr>
    </w:p>
    <w:p>
      <w:pPr>
        <w:ind w:left="4532"/>
        <w:spacing w:after="0"/>
        <w:rPr>
          <w:sz w:val="20"/>
          <w:szCs w:val="20"/>
          <w:color w:val="auto"/>
        </w:rPr>
      </w:pPr>
      <w:r>
        <w:rPr>
          <w:rFonts w:ascii="Arial" w:cs="Arial" w:eastAsia="Arial" w:hAnsi="Arial"/>
          <w:sz w:val="16"/>
          <w:szCs w:val="16"/>
          <w:i w:val="1"/>
          <w:iCs w:val="1"/>
          <w:color w:val="auto"/>
        </w:rPr>
        <w:t>Attention: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12"/>
          </w:cols>
          <w:pgMar w:left="248" w:top="571" w:right="239" w:bottom="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left="-8" w:right="320" w:firstLine="8"/>
        <w:spacing w:after="0" w:line="277" w:lineRule="auto"/>
        <w:tabs>
          <w:tab w:leader="none" w:pos="4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and</w:t>
      </w:r>
    </w:p>
    <w:p>
      <w:pPr>
        <w:spacing w:after="0" w:line="225"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Faegre Baker Daniels LLP</w:t>
      </w:r>
    </w:p>
    <w:p>
      <w:pPr>
        <w:spacing w:after="0" w:line="23"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2200 Wells Fargo Center</w:t>
      </w:r>
    </w:p>
    <w:p>
      <w:pPr>
        <w:spacing w:after="0" w:line="9"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90 South Seventh Street</w:t>
      </w:r>
    </w:p>
    <w:p>
      <w:pPr>
        <w:spacing w:after="0" w:line="9"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Minneapolis, MN 55402</w:t>
      </w:r>
    </w:p>
    <w:p>
      <w:pPr>
        <w:spacing w:after="0" w:line="9"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Attention: Kate Sherburne</w:t>
      </w:r>
    </w:p>
    <w:p>
      <w:pPr>
        <w:sectPr>
          <w:pgSz w:w="11900" w:h="16838" w:orient="portrait"/>
          <w:cols w:equalWidth="0" w:num="1">
            <w:col w:w="11412"/>
          </w:cols>
          <w:pgMar w:left="248" w:top="571" w:right="239" w:bottom="0" w:gutter="0" w:footer="0" w:header="0"/>
          <w:type w:val="continuous"/>
        </w:sectPr>
      </w:pPr>
    </w:p>
    <w:p>
      <w:pPr>
        <w:spacing w:after="0" w:line="211" w:lineRule="exact"/>
        <w:rPr>
          <w:sz w:val="20"/>
          <w:szCs w:val="20"/>
          <w:color w:val="auto"/>
        </w:rPr>
      </w:pPr>
    </w:p>
    <w:p>
      <w:pPr>
        <w:ind w:left="2592"/>
        <w:spacing w:after="0"/>
        <w:rPr>
          <w:sz w:val="20"/>
          <w:szCs w:val="20"/>
          <w:color w:val="auto"/>
        </w:rPr>
      </w:pPr>
      <w:r>
        <w:rPr>
          <w:rFonts w:ascii="Arial" w:cs="Arial" w:eastAsia="Arial" w:hAnsi="Arial"/>
          <w:sz w:val="16"/>
          <w:szCs w:val="16"/>
          <w:i w:val="1"/>
          <w:iCs w:val="1"/>
          <w:color w:val="auto"/>
        </w:rPr>
        <w:t>If to Toro Sub:</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 Iron Holding Corporation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 The Toro Company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8111 Lyndale Avenue South</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Bloomington, MN 55420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Attention: Treasurer</w:t>
      </w:r>
    </w:p>
    <w:p>
      <w:pPr>
        <w:spacing w:after="0" w:line="200" w:lineRule="exact"/>
        <w:rPr>
          <w:sz w:val="20"/>
          <w:szCs w:val="20"/>
          <w:color w:val="auto"/>
        </w:rPr>
      </w:pPr>
    </w:p>
    <w:p>
      <w:pPr>
        <w:sectPr>
          <w:pgSz w:w="11900" w:h="16838" w:orient="portrait"/>
          <w:cols w:equalWidth="0" w:num="2">
            <w:col w:w="3792" w:space="720"/>
            <w:col w:w="6900"/>
          </w:cols>
          <w:pgMar w:left="248" w:top="571" w:right="239" w:bottom="0" w:gutter="0" w:footer="0" w:header="0"/>
          <w:type w:val="continuous"/>
        </w:sectPr>
      </w:pPr>
    </w:p>
    <w:p>
      <w:pPr>
        <w:spacing w:after="0" w:line="11"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With copies to:</w:t>
      </w:r>
    </w:p>
    <w:p>
      <w:pPr>
        <w:spacing w:after="0" w:line="225"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The Toro Company</w:t>
      </w:r>
    </w:p>
    <w:p>
      <w:pPr>
        <w:spacing w:after="0" w:line="23"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8111 Lyndale Avenue South</w:t>
      </w:r>
    </w:p>
    <w:p>
      <w:pPr>
        <w:spacing w:after="0" w:line="9"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Bloomington, MN 55420</w:t>
      </w:r>
    </w:p>
    <w:p>
      <w:pPr>
        <w:spacing w:after="0" w:line="9"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Attention: General Counsel</w:t>
      </w:r>
    </w:p>
    <w:p>
      <w:pPr>
        <w:spacing w:after="0" w:line="211"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and</w:t>
      </w:r>
    </w:p>
    <w:p>
      <w:pPr>
        <w:spacing w:after="0" w:line="225"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Fox Rothschild LLP</w:t>
      </w:r>
    </w:p>
    <w:p>
      <w:pPr>
        <w:spacing w:after="0" w:line="23" w:lineRule="exact"/>
        <w:rPr>
          <w:sz w:val="20"/>
          <w:szCs w:val="20"/>
          <w:color w:val="auto"/>
        </w:rPr>
      </w:pPr>
    </w:p>
    <w:p>
      <w:pPr>
        <w:ind w:left="4532"/>
        <w:spacing w:after="0"/>
        <w:rPr>
          <w:sz w:val="20"/>
          <w:szCs w:val="20"/>
          <w:color w:val="auto"/>
        </w:rPr>
      </w:pPr>
      <w:r>
        <w:rPr>
          <w:rFonts w:ascii="Arial" w:cs="Arial" w:eastAsia="Arial" w:hAnsi="Arial"/>
          <w:sz w:val="16"/>
          <w:szCs w:val="16"/>
          <w:i w:val="1"/>
          <w:iCs w:val="1"/>
          <w:color w:val="auto"/>
        </w:rPr>
        <w:t>Campbell Mithun Tower — Suite 2000</w:t>
      </w:r>
    </w:p>
    <w:p>
      <w:pPr>
        <w:spacing w:after="0" w:line="32"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222 South Ninth St.</w:t>
      </w:r>
    </w:p>
    <w:p>
      <w:pPr>
        <w:spacing w:after="0" w:line="9"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Minneapolis, MN 55402</w:t>
      </w:r>
    </w:p>
    <w:p>
      <w:pPr>
        <w:spacing w:after="0" w:line="9" w:lineRule="exact"/>
        <w:rPr>
          <w:sz w:val="20"/>
          <w:szCs w:val="20"/>
          <w:color w:val="auto"/>
        </w:rPr>
      </w:pPr>
    </w:p>
    <w:p>
      <w:pPr>
        <w:ind w:left="4532"/>
        <w:spacing w:after="0"/>
        <w:rPr>
          <w:sz w:val="20"/>
          <w:szCs w:val="20"/>
          <w:color w:val="auto"/>
        </w:rPr>
      </w:pPr>
      <w:r>
        <w:rPr>
          <w:rFonts w:ascii="Arial" w:cs="Arial" w:eastAsia="Arial" w:hAnsi="Arial"/>
          <w:sz w:val="18"/>
          <w:szCs w:val="18"/>
          <w:i w:val="1"/>
          <w:iCs w:val="1"/>
          <w:color w:val="auto"/>
        </w:rPr>
        <w:t>Attention: C. Robert Beattie, Esq.</w:t>
      </w:r>
    </w:p>
    <w:p>
      <w:pPr>
        <w:sectPr>
          <w:pgSz w:w="11900" w:h="16838" w:orient="portrait"/>
          <w:cols w:equalWidth="0" w:num="1">
            <w:col w:w="11412"/>
          </w:cols>
          <w:pgMar w:left="248" w:top="571" w:right="239" w:bottom="0" w:gutter="0" w:footer="0" w:header="0"/>
          <w:type w:val="continuous"/>
        </w:sectPr>
      </w:pPr>
    </w:p>
    <w:bookmarkStart w:id="7" w:name="page8"/>
    <w:bookmarkEnd w:id="7"/>
    <w:p>
      <w:pPr>
        <w:ind w:left="1920" w:right="600"/>
        <w:spacing w:after="0" w:line="277" w:lineRule="auto"/>
        <w:rPr>
          <w:sz w:val="20"/>
          <w:szCs w:val="20"/>
          <w:color w:val="auto"/>
        </w:rPr>
      </w:pPr>
      <w:r>
        <w:rPr>
          <w:rFonts w:ascii="Arial" w:cs="Arial" w:eastAsia="Arial" w:hAnsi="Arial"/>
          <w:sz w:val="18"/>
          <w:szCs w:val="18"/>
          <w:i w:val="1"/>
          <w:iCs w:val="1"/>
          <w:color w:val="auto"/>
        </w:rPr>
        <w:t>or to such other address as either Member hereto may have furnished to the other Member hereto in writing in accordance herewith, except that notice of change of address shall be effective only upon receipt.”</w:t>
      </w:r>
    </w:p>
    <w:p>
      <w:pPr>
        <w:spacing w:after="0" w:line="170" w:lineRule="exact"/>
        <w:rPr>
          <w:sz w:val="20"/>
          <w:szCs w:val="20"/>
          <w:color w:val="auto"/>
        </w:rPr>
      </w:pPr>
    </w:p>
    <w:p>
      <w:pPr>
        <w:ind w:left="-40" w:firstLine="656"/>
        <w:spacing w:after="0" w:line="286" w:lineRule="auto"/>
        <w:tabs>
          <w:tab w:leader="none" w:pos="125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Change in Title of General Manager</w:t>
      </w:r>
      <w:r>
        <w:rPr>
          <w:rFonts w:ascii="Arial" w:cs="Arial" w:eastAsia="Arial" w:hAnsi="Arial"/>
          <w:sz w:val="17"/>
          <w:szCs w:val="17"/>
          <w:color w:val="auto"/>
        </w:rPr>
        <w:t>. The General Manager of the Company shall, from and after the date of this Amendment, be referred to as the Director of Operations. All references to “</w:t>
      </w:r>
      <w:r>
        <w:rPr>
          <w:rFonts w:ascii="Arial" w:cs="Arial" w:eastAsia="Arial" w:hAnsi="Arial"/>
          <w:sz w:val="17"/>
          <w:szCs w:val="17"/>
          <w:i w:val="1"/>
          <w:iCs w:val="1"/>
          <w:color w:val="auto"/>
        </w:rPr>
        <w:t>General Manager</w:t>
      </w:r>
      <w:r>
        <w:rPr>
          <w:rFonts w:ascii="Arial" w:cs="Arial" w:eastAsia="Arial" w:hAnsi="Arial"/>
          <w:sz w:val="17"/>
          <w:szCs w:val="17"/>
          <w:color w:val="auto"/>
        </w:rPr>
        <w:t>” in the LLC Agreement and in any other document or instrument entered into prior to the date hereof by the parties hereto or their respective Affiliates are hereby amended to refer to the “</w:t>
      </w:r>
      <w:r>
        <w:rPr>
          <w:rFonts w:ascii="Arial" w:cs="Arial" w:eastAsia="Arial" w:hAnsi="Arial"/>
          <w:sz w:val="17"/>
          <w:szCs w:val="17"/>
          <w:i w:val="1"/>
          <w:iCs w:val="1"/>
          <w:color w:val="auto"/>
        </w:rPr>
        <w:t>Director of Operations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0" w:right="40" w:firstLine="656"/>
        <w:spacing w:after="0" w:line="279" w:lineRule="auto"/>
        <w:tabs>
          <w:tab w:leader="none" w:pos="125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Affirmation of LLC Agreement; Further References</w:t>
      </w:r>
      <w:r>
        <w:rPr>
          <w:rFonts w:ascii="Arial" w:cs="Arial" w:eastAsia="Arial" w:hAnsi="Arial"/>
          <w:sz w:val="17"/>
          <w:szCs w:val="17"/>
          <w:color w:val="auto"/>
        </w:rPr>
        <w:t>. The parties hereto each acknowledge and affirm that the LLC Agreement, as hereby amended, is hereby ratified and confirmed in all respects, and all terms, conditions and provisions of the LLC Agreement, except as amended by this Amendment, shall remain unmodified and in full force and effect. All references in any document or instrument to the LLC Agreement (including references in the LLC Agreement to the terms thereof) are hereby amended to refer to the LLC Agreement as amended through this Amendment.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firstLine="656"/>
        <w:spacing w:after="0" w:line="259" w:lineRule="auto"/>
        <w:tabs>
          <w:tab w:leader="none" w:pos="125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86" w:lineRule="exact"/>
        <w:rPr>
          <w:rFonts w:ascii="Arial" w:cs="Arial" w:eastAsia="Arial" w:hAnsi="Arial"/>
          <w:sz w:val="18"/>
          <w:szCs w:val="18"/>
          <w:color w:val="auto"/>
        </w:rPr>
      </w:pPr>
    </w:p>
    <w:p>
      <w:pPr>
        <w:ind w:left="-40" w:firstLine="656"/>
        <w:spacing w:after="0" w:line="286" w:lineRule="auto"/>
        <w:tabs>
          <w:tab w:leader="none" w:pos="125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RED IRON HOLDING CORPORATION</w:t>
      </w:r>
    </w:p>
    <w:p>
      <w:pPr>
        <w:spacing w:after="0" w:line="200" w:lineRule="exact"/>
        <w:rPr>
          <w:sz w:val="20"/>
          <w:szCs w:val="20"/>
          <w:color w:val="auto"/>
        </w:rPr>
      </w:pPr>
    </w:p>
    <w:p>
      <w:pPr>
        <w:spacing w:after="0" w:line="241"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18"/>
          <w:szCs w:val="18"/>
          <w:color w:val="auto"/>
        </w:rPr>
        <w:t>By:</w:t>
        <w:tab/>
        <w:t>/s/ Renee J. Peterson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-130810</wp:posOffset>
            </wp:positionV>
            <wp:extent cx="3147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Its: President</w:t>
      </w:r>
    </w:p>
    <w:p>
      <w:pPr>
        <w:spacing w:after="0" w:line="200" w:lineRule="exact"/>
        <w:rPr>
          <w:sz w:val="20"/>
          <w:szCs w:val="20"/>
          <w:color w:val="auto"/>
        </w:rPr>
      </w:pPr>
    </w:p>
    <w:p>
      <w:pPr>
        <w:spacing w:after="0" w:line="22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TCFIF JOINT VENTURE I, LLC</w:t>
      </w:r>
    </w:p>
    <w:p>
      <w:pPr>
        <w:spacing w:after="0" w:line="200" w:lineRule="exact"/>
        <w:rPr>
          <w:sz w:val="20"/>
          <w:szCs w:val="20"/>
          <w:color w:val="auto"/>
        </w:rPr>
      </w:pPr>
    </w:p>
    <w:p>
      <w:pPr>
        <w:spacing w:after="0" w:line="241"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18"/>
          <w:szCs w:val="18"/>
          <w:color w:val="auto"/>
        </w:rPr>
        <w:t>By:</w:t>
        <w:tab/>
        <w:t>/s/ Rosario A. Perrelli</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-130810</wp:posOffset>
            </wp:positionV>
            <wp:extent cx="3147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Its: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Third Amendment to Limited Liability Company Agreement of Red Iron Acceptance,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8" w:name="page9"/>
    <w:bookmarkEnd w:id="8"/>
    <w:p>
      <w:pPr>
        <w:ind w:left="10580"/>
        <w:spacing w:after="0"/>
        <w:rPr>
          <w:sz w:val="20"/>
          <w:szCs w:val="20"/>
          <w:color w:val="auto"/>
        </w:rPr>
      </w:pPr>
      <w:r>
        <w:rPr>
          <w:rFonts w:ascii="Arial" w:cs="Arial" w:eastAsia="Arial" w:hAnsi="Arial"/>
          <w:sz w:val="16"/>
          <w:szCs w:val="16"/>
          <w:b w:val="1"/>
          <w:bCs w:val="1"/>
          <w:color w:val="auto"/>
        </w:rPr>
        <w:t>Exhibit 2.3</w:t>
      </w:r>
    </w:p>
    <w:p>
      <w:pPr>
        <w:spacing w:after="0" w:line="248"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b w:val="1"/>
          <w:bCs w:val="1"/>
          <w:color w:val="auto"/>
        </w:rPr>
        <w:t>[PORTIONS OF THIS EXHIBIT HAVE BEEN OMITTED PURSUANT TO A REQUEST FOR CONFIDENTIALITY UNDER RULE 24B-2 OF THE SECURITIES EXCHANGE ACT OF 1934, AS AMENDED. THE CONFIDENTIAL PORTIONS OF THIS EXHIBIT THAT HAVE BEEN OMITTED ARE MARKED WITH “[***].” A COPY OF THIS EXHIBIT WITH ALL SECTIONS INTACT HAS BEEN FILED SEPARATELY WITH THE SECURITIES AND EXCHANGE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AMENDED AND RESTATED PROGRAM AND REPURCHASE AGREEMENT</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This Fourth Amended and Restated Program and Repurchase Agreement (“</w:t>
      </w:r>
      <w:r>
        <w:rPr>
          <w:rFonts w:ascii="Arial" w:cs="Arial" w:eastAsia="Arial" w:hAnsi="Arial"/>
          <w:sz w:val="16"/>
          <w:szCs w:val="16"/>
          <w:b w:val="1"/>
          <w:bCs w:val="1"/>
          <w:color w:val="auto"/>
        </w:rPr>
        <w:t>Agreement</w:t>
      </w:r>
      <w:r>
        <w:rPr>
          <w:rFonts w:ascii="Arial" w:cs="Arial" w:eastAsia="Arial" w:hAnsi="Arial"/>
          <w:sz w:val="16"/>
          <w:szCs w:val="16"/>
          <w:color w:val="auto"/>
        </w:rPr>
        <w:t>”), dated as of November 29, 2016, is entered into by and between THE TORO COMPANY, a Delaware corporation (hereinafter “</w:t>
      </w:r>
      <w:r>
        <w:rPr>
          <w:rFonts w:ascii="Arial" w:cs="Arial" w:eastAsia="Arial" w:hAnsi="Arial"/>
          <w:sz w:val="16"/>
          <w:szCs w:val="16"/>
          <w:b w:val="1"/>
          <w:bCs w:val="1"/>
          <w:color w:val="auto"/>
        </w:rPr>
        <w:t>Seller</w:t>
      </w:r>
      <w:r>
        <w:rPr>
          <w:rFonts w:ascii="Arial" w:cs="Arial" w:eastAsia="Arial" w:hAnsi="Arial"/>
          <w:sz w:val="16"/>
          <w:szCs w:val="16"/>
          <w:color w:val="auto"/>
        </w:rPr>
        <w:t>”), and RED IRON ACCEPTANCE, LLC, a Delaware limited liability company (“</w:t>
      </w:r>
      <w:r>
        <w:rPr>
          <w:rFonts w:ascii="Arial" w:cs="Arial" w:eastAsia="Arial" w:hAnsi="Arial"/>
          <w:sz w:val="16"/>
          <w:szCs w:val="16"/>
          <w:b w:val="1"/>
          <w:bCs w:val="1"/>
          <w:color w:val="auto"/>
        </w:rPr>
        <w:t>Red</w:t>
      </w:r>
      <w:r>
        <w:rPr>
          <w:rFonts w:ascii="Arial" w:cs="Arial" w:eastAsia="Arial" w:hAnsi="Arial"/>
          <w:sz w:val="16"/>
          <w:szCs w:val="16"/>
          <w:color w:val="auto"/>
        </w:rPr>
        <w:t xml:space="preserve"> </w:t>
      </w:r>
      <w:r>
        <w:rPr>
          <w:rFonts w:ascii="Arial" w:cs="Arial" w:eastAsia="Arial" w:hAnsi="Arial"/>
          <w:sz w:val="16"/>
          <w:szCs w:val="16"/>
          <w:b w:val="1"/>
          <w:bCs w:val="1"/>
          <w:color w:val="auto"/>
        </w:rPr>
        <w:t>Iron</w:t>
      </w:r>
      <w:r>
        <w:rPr>
          <w:rFonts w:ascii="Arial" w:cs="Arial" w:eastAsia="Arial" w:hAnsi="Arial"/>
          <w:sz w:val="16"/>
          <w:szCs w:val="16"/>
          <w:color w:val="auto"/>
        </w:rPr>
        <w:t>”), to set forth the terms and conditions under which Red Iron will continue to provide financing for certain dealers and distributors as set forth below.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amends and restates in its entirety that certain Third Amended and Restated Program and Repurchase Agreement dated as of June 30, 2016 and between Seller and Red Iron. In consideration of the matters and mutual agreements herein contained, Red Iron and Seller agree as follows:</w:t>
      </w:r>
    </w:p>
    <w:p>
      <w:pPr>
        <w:spacing w:after="0" w:line="15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Term</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8(a)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3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herein shall mean a payment made or the making of a payment to Seller by Red Iron with respect to an Invoice pursuant to a finance program made available by Red Iron to a Dealer or a Distributor, as appropriate.</w:t>
      </w:r>
    </w:p>
    <w:p>
      <w:pPr>
        <w:spacing w:after="0" w:line="161" w:lineRule="exact"/>
        <w:rPr>
          <w:rFonts w:ascii="Arial" w:cs="Arial" w:eastAsia="Arial" w:hAnsi="Arial"/>
          <w:sz w:val="18"/>
          <w:szCs w:val="18"/>
          <w:color w:val="auto"/>
        </w:rPr>
      </w:pPr>
    </w:p>
    <w:p>
      <w:pPr>
        <w:ind w:left="660" w:right="2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Agreement</w:t>
      </w:r>
      <w:r>
        <w:rPr>
          <w:rFonts w:ascii="Arial" w:cs="Arial" w:eastAsia="Arial" w:hAnsi="Arial"/>
          <w:sz w:val="18"/>
          <w:szCs w:val="18"/>
          <w:color w:val="auto"/>
        </w:rPr>
        <w:t>” herein shall mean that certain Amended and Restated Repurchase Agreement entered into as of October 29, 2010 by and between Seller and TCFCF (as amended and restated from time to time).</w:t>
      </w:r>
    </w:p>
    <w:p>
      <w:pPr>
        <w:spacing w:after="0" w:line="16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w:t>
      </w:r>
    </w:p>
    <w:p>
      <w:pPr>
        <w:spacing w:after="0" w:line="225" w:lineRule="exact"/>
        <w:rPr>
          <w:rFonts w:ascii="Arial" w:cs="Arial" w:eastAsia="Arial" w:hAnsi="Arial"/>
          <w:sz w:val="18"/>
          <w:szCs w:val="18"/>
          <w:color w:val="auto"/>
        </w:rPr>
      </w:pPr>
    </w:p>
    <w:p>
      <w:pPr>
        <w:ind w:left="660" w:right="60"/>
        <w:spacing w:after="0" w:line="25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ANR-Program Year</w:t>
      </w:r>
      <w:r>
        <w:rPr>
          <w:rFonts w:ascii="Arial" w:cs="Arial" w:eastAsia="Arial" w:hAnsi="Arial"/>
          <w:sz w:val="18"/>
          <w:szCs w:val="18"/>
          <w:color w:val="auto"/>
        </w:rPr>
        <w:t>” herein shall mean, with respect to a Program Year, the average outstanding principal balance of all Wholesale Instruments due Red Iron from all Dealers and Distributors, determined by aggregating the “</w:t>
      </w:r>
      <w:r>
        <w:rPr>
          <w:rFonts w:ascii="Arial" w:cs="Arial" w:eastAsia="Arial" w:hAnsi="Arial"/>
          <w:sz w:val="18"/>
          <w:szCs w:val="18"/>
          <w:b w:val="1"/>
          <w:bCs w:val="1"/>
          <w:color w:val="auto"/>
        </w:rPr>
        <w:t>Monthly ADB-Program Year</w:t>
      </w:r>
      <w:r>
        <w:rPr>
          <w:rFonts w:ascii="Arial" w:cs="Arial" w:eastAsia="Arial" w:hAnsi="Arial"/>
          <w:sz w:val="18"/>
          <w:szCs w:val="18"/>
          <w:color w:val="auto"/>
        </w:rPr>
        <w:t>” (which shall mean, with respect to any month, the aggregate outstanding principal balance of all Wholesale Instruments due Red Iron from all Dealers and Distributors each day during such calendar month divided by the number of days in such calendar month) for each month in such Program Year and dividing such aggregated amount by 12.</w:t>
      </w:r>
    </w:p>
    <w:p>
      <w:pPr>
        <w:spacing w:after="0" w:line="183" w:lineRule="exact"/>
        <w:rPr>
          <w:rFonts w:ascii="Arial" w:cs="Arial" w:eastAsia="Arial" w:hAnsi="Arial"/>
          <w:sz w:val="18"/>
          <w:szCs w:val="18"/>
          <w:color w:val="auto"/>
        </w:rPr>
      </w:pPr>
    </w:p>
    <w:p>
      <w:pPr>
        <w:ind w:left="660" w:right="6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w:t>
      </w:r>
      <w:r>
        <w:rPr>
          <w:rFonts w:ascii="Arial" w:cs="Arial" w:eastAsia="Arial" w:hAnsi="Arial"/>
          <w:sz w:val="18"/>
          <w:szCs w:val="18"/>
          <w:color w:val="auto"/>
        </w:rPr>
        <w:t>” herein shall mean Red Iron’s agreement, whether in writing, by electronic transmission or orally (provided, however, that such oral agreement be promptly confirmed in writing), to provide floorplan inventory financing for the sale of Inventory by Seller or an affiliate of Seller to a Dealer or Distributor, which agreement shall be in effect for a period of sixty (60) days from the date issued.</w:t>
      </w:r>
    </w:p>
    <w:p>
      <w:pPr>
        <w:spacing w:after="0" w:line="1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CAR Target</w:t>
      </w:r>
      <w:r>
        <w:rPr>
          <w:rFonts w:ascii="Arial" w:cs="Arial" w:eastAsia="Arial" w:hAnsi="Arial"/>
          <w:sz w:val="17"/>
          <w:szCs w:val="17"/>
          <w:color w:val="auto"/>
        </w:rPr>
        <w:t>” herein shall mean (a) [***] for Program Year 2016, and (b) for Program Year 2017 and each Program Year thereafter, [***].</w:t>
      </w:r>
    </w:p>
    <w:p>
      <w:pPr>
        <w:spacing w:after="0" w:line="236" w:lineRule="exact"/>
        <w:rPr>
          <w:rFonts w:ascii="Arial" w:cs="Arial" w:eastAsia="Arial" w:hAnsi="Arial"/>
          <w:sz w:val="18"/>
          <w:szCs w:val="18"/>
          <w:color w:val="auto"/>
        </w:rPr>
      </w:pPr>
    </w:p>
    <w:p>
      <w:pPr>
        <w:ind w:left="660" w:right="72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Dealer</w:t>
      </w:r>
      <w:r>
        <w:rPr>
          <w:rFonts w:ascii="Arial" w:cs="Arial" w:eastAsia="Arial" w:hAnsi="Arial"/>
          <w:sz w:val="18"/>
          <w:szCs w:val="18"/>
          <w:color w:val="auto"/>
        </w:rPr>
        <w:t>” herein shall mean any person, firm or corporation which buys Inventory at wholesale from Seller or an affiliate of Seller and sells Inventory at retail.</w:t>
      </w:r>
    </w:p>
    <w:p>
      <w:pPr>
        <w:spacing w:after="0" w:line="161" w:lineRule="exact"/>
        <w:rPr>
          <w:rFonts w:ascii="Arial" w:cs="Arial" w:eastAsia="Arial" w:hAnsi="Arial"/>
          <w:sz w:val="18"/>
          <w:szCs w:val="18"/>
          <w:color w:val="auto"/>
        </w:rPr>
      </w:pPr>
    </w:p>
    <w:p>
      <w:pPr>
        <w:ind w:left="660" w:right="38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Dealer/Distributor Demo/Rental Inventory</w:t>
      </w:r>
      <w:r>
        <w:rPr>
          <w:rFonts w:ascii="Arial" w:cs="Arial" w:eastAsia="Arial" w:hAnsi="Arial"/>
          <w:sz w:val="18"/>
          <w:szCs w:val="18"/>
          <w:color w:val="auto"/>
        </w:rPr>
        <w:t>” herein shall mean Inventory covered by a Dealer Invoice, Distributor Invoice or a Distributor to Dealer Invoice, which indicates (either by a terms code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5" w:lineRule="exact"/>
        <w:rPr>
          <w:sz w:val="20"/>
          <w:szCs w:val="20"/>
          <w:color w:val="auto"/>
        </w:rPr>
      </w:pPr>
    </w:p>
    <w:p>
      <w:pPr>
        <w:ind w:right="320" w:firstLine="8"/>
        <w:spacing w:after="0" w:line="277" w:lineRule="auto"/>
        <w:tabs>
          <w:tab w:leader="none" w:pos="4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means) that such Inventory is eligible to be used by a Dealer or Distributor for rental or extended demonstration purposes.</w:t>
      </w:r>
    </w:p>
    <w:p>
      <w:pPr>
        <w:spacing w:after="0" w:line="221" w:lineRule="exact"/>
        <w:rPr>
          <w:sz w:val="20"/>
          <w:szCs w:val="20"/>
          <w:color w:val="auto"/>
        </w:rPr>
      </w:pPr>
    </w:p>
    <w:p>
      <w:pPr>
        <w:ind w:left="66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Dealer Invoice</w:t>
      </w:r>
      <w:r>
        <w:rPr>
          <w:rFonts w:ascii="Arial" w:cs="Arial" w:eastAsia="Arial" w:hAnsi="Arial"/>
          <w:sz w:val="18"/>
          <w:szCs w:val="18"/>
          <w:color w:val="auto"/>
        </w:rPr>
        <w:t>” herein shall mean an invoice, bill of sale or other evidence, whether in writing or electronically transmitted, of the sale or delivery of Inventory by Seller or an affiliate of Seller to a Dealer.</w:t>
      </w:r>
    </w:p>
    <w:p>
      <w:pPr>
        <w:spacing w:after="0" w:line="162" w:lineRule="exact"/>
        <w:rPr>
          <w:sz w:val="20"/>
          <w:szCs w:val="20"/>
          <w:color w:val="auto"/>
        </w:rPr>
      </w:pPr>
    </w:p>
    <w:p>
      <w:pPr>
        <w:ind w:left="66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Distributor</w:t>
      </w:r>
      <w:r>
        <w:rPr>
          <w:rFonts w:ascii="Arial" w:cs="Arial" w:eastAsia="Arial" w:hAnsi="Arial"/>
          <w:sz w:val="18"/>
          <w:szCs w:val="18"/>
          <w:color w:val="auto"/>
        </w:rPr>
        <w:t>” herein shall mean any person, firm, corporation or buying group which buys Inventory from Seller or an affiliate of Seller and sells Inventory at wholesale.</w:t>
      </w:r>
    </w:p>
    <w:p>
      <w:pPr>
        <w:spacing w:after="0" w:line="162" w:lineRule="exact"/>
        <w:rPr>
          <w:sz w:val="20"/>
          <w:szCs w:val="20"/>
          <w:color w:val="auto"/>
        </w:rPr>
      </w:pPr>
    </w:p>
    <w:p>
      <w:pPr>
        <w:ind w:left="66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Distributor Dealer</w:t>
      </w:r>
      <w:r>
        <w:rPr>
          <w:rFonts w:ascii="Arial" w:cs="Arial" w:eastAsia="Arial" w:hAnsi="Arial"/>
          <w:sz w:val="18"/>
          <w:szCs w:val="18"/>
          <w:color w:val="auto"/>
        </w:rPr>
        <w:t>” herein shall mean any person, firm or corporation which buys Inventory at wholesale from a Distributor and sells Inventory at retail.</w:t>
      </w:r>
    </w:p>
    <w:p>
      <w:pPr>
        <w:spacing w:after="0" w:line="162" w:lineRule="exact"/>
        <w:rPr>
          <w:sz w:val="20"/>
          <w:szCs w:val="20"/>
          <w:color w:val="auto"/>
        </w:rPr>
      </w:pPr>
    </w:p>
    <w:p>
      <w:pPr>
        <w:ind w:left="660"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Distributor Invoice</w:t>
      </w:r>
      <w:r>
        <w:rPr>
          <w:rFonts w:ascii="Arial" w:cs="Arial" w:eastAsia="Arial" w:hAnsi="Arial"/>
          <w:sz w:val="18"/>
          <w:szCs w:val="18"/>
          <w:color w:val="auto"/>
        </w:rPr>
        <w:t>” herein shall mean an invoice, bill of sale or other evidence, whether in writing or electronically transmitted, of the sale or delivery of Inventory by Seller or an affiliate of Seller to a Distributor.</w:t>
      </w:r>
    </w:p>
    <w:p>
      <w:pPr>
        <w:spacing w:after="0" w:line="162" w:lineRule="exact"/>
        <w:rPr>
          <w:sz w:val="20"/>
          <w:szCs w:val="20"/>
          <w:color w:val="auto"/>
        </w:rPr>
      </w:pPr>
    </w:p>
    <w:p>
      <w:pPr>
        <w:ind w:left="66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Distributor to Dealer Invoice</w:t>
      </w:r>
      <w:r>
        <w:rPr>
          <w:rFonts w:ascii="Arial" w:cs="Arial" w:eastAsia="Arial" w:hAnsi="Arial"/>
          <w:sz w:val="18"/>
          <w:szCs w:val="18"/>
          <w:color w:val="auto"/>
        </w:rPr>
        <w:t>” herein shall mean an invoice, bill of sale or other evidence, whether in writing or electronically transmitted, of the sale or delivery of Inventory by a Distributor to a Dealer or a Distributor Dealer.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FLR Account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9(a)</w:t>
      </w:r>
      <w:r>
        <w:rPr>
          <w:rFonts w:ascii="Arial" w:cs="Arial" w:eastAsia="Arial" w:hAnsi="Arial"/>
          <w:sz w:val="18"/>
          <w:szCs w:val="18"/>
          <w:color w:val="auto"/>
        </w:rPr>
        <w:t>.</w:t>
      </w:r>
    </w:p>
    <w:p>
      <w:pPr>
        <w:spacing w:after="0" w:line="225" w:lineRule="exact"/>
        <w:rPr>
          <w:sz w:val="20"/>
          <w:szCs w:val="20"/>
          <w:color w:val="auto"/>
        </w:rPr>
      </w:pPr>
    </w:p>
    <w:p>
      <w:pPr>
        <w:jc w:val="both"/>
        <w:ind w:left="660"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FLR Reliant Account</w:t>
      </w:r>
      <w:r>
        <w:rPr>
          <w:rFonts w:ascii="Arial" w:cs="Arial" w:eastAsia="Arial" w:hAnsi="Arial"/>
          <w:sz w:val="18"/>
          <w:szCs w:val="18"/>
          <w:color w:val="auto"/>
        </w:rPr>
        <w:t xml:space="preserve">” herein shall mean a Dealer or a Distributor that has requested financing from Red Iron, does not meet the criteria set by the credit </w:t>
      </w:r>
      <w:r>
        <w:rPr>
          <w:rFonts w:ascii="Arial" w:cs="Arial" w:eastAsia="Arial" w:hAnsi="Arial"/>
          <w:sz w:val="17"/>
          <w:szCs w:val="17"/>
          <w:color w:val="auto"/>
        </w:rPr>
        <w:t>and operational policies of Red Iron</w:t>
      </w:r>
      <w:r>
        <w:rPr>
          <w:rFonts w:ascii="Arial" w:cs="Arial" w:eastAsia="Arial" w:hAnsi="Arial"/>
          <w:sz w:val="18"/>
          <w:szCs w:val="18"/>
          <w:color w:val="auto"/>
        </w:rPr>
        <w:t xml:space="preserve">, but nevertheless is approved by Red Iron for financing in reliance on the FLR Account in accordance with the provisions of </w:t>
      </w:r>
      <w:r>
        <w:rPr>
          <w:rFonts w:ascii="Arial" w:cs="Arial" w:eastAsia="Arial" w:hAnsi="Arial"/>
          <w:sz w:val="18"/>
          <w:szCs w:val="18"/>
          <w:b w:val="1"/>
          <w:bCs w:val="1"/>
          <w:color w:val="auto"/>
        </w:rPr>
        <w:t>Section 9(b)</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FLR Reliant Account Net Reliance</w:t>
      </w:r>
      <w:r>
        <w:rPr>
          <w:rFonts w:ascii="Arial" w:cs="Arial" w:eastAsia="Arial" w:hAnsi="Arial"/>
          <w:sz w:val="18"/>
          <w:szCs w:val="18"/>
          <w:color w:val="auto"/>
        </w:rPr>
        <w:t>” herein shall mean [***].</w:t>
      </w:r>
    </w:p>
    <w:p>
      <w:pPr>
        <w:sectPr>
          <w:pgSz w:w="11900" w:h="16838" w:orient="portrait"/>
          <w:cols w:equalWidth="0" w:num="1">
            <w:col w:w="11420"/>
          </w:cols>
          <w:pgMar w:left="240" w:top="121" w:right="239" w:bottom="0" w:gutter="0" w:footer="0" w:header="0"/>
        </w:sectPr>
      </w:pPr>
    </w:p>
    <w:bookmarkStart w:id="9" w:name="page10"/>
    <w:bookmarkEnd w:id="9"/>
    <w:p>
      <w:pPr>
        <w:ind w:left="652"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FLR Reliant Accounts Limitation</w:t>
      </w:r>
      <w:r>
        <w:rPr>
          <w:rFonts w:ascii="Arial" w:cs="Arial" w:eastAsia="Arial" w:hAnsi="Arial"/>
          <w:sz w:val="18"/>
          <w:szCs w:val="18"/>
          <w:color w:val="auto"/>
        </w:rPr>
        <w:t>” shall occur if (i) the prospective designation of a Dealer or a Distributor as an FLR Reliant Account would [***], or (ii) the projected FLR Reliant Account Net Reliance for such prospective FLR Reliant Account is [***].</w:t>
      </w:r>
    </w:p>
    <w:p>
      <w:pPr>
        <w:spacing w:after="0" w:line="162" w:lineRule="exact"/>
        <w:rPr>
          <w:sz w:val="20"/>
          <w:szCs w:val="20"/>
          <w:color w:val="auto"/>
        </w:rPr>
      </w:pPr>
    </w:p>
    <w:p>
      <w:pPr>
        <w:ind w:left="652"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FLR Reliant Accounts Net Reliance Total</w:t>
      </w:r>
      <w:r>
        <w:rPr>
          <w:rFonts w:ascii="Arial" w:cs="Arial" w:eastAsia="Arial" w:hAnsi="Arial"/>
          <w:sz w:val="18"/>
          <w:szCs w:val="18"/>
          <w:color w:val="auto"/>
        </w:rPr>
        <w:t>” herein shall mean the sum of the FLR Reliant Account Net Reliance for each of the FLR Reliant Accounts including the prospective FLR Reliant Account under consideration at the time such calculation is made.</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8(a)</w:t>
      </w:r>
      <w:r>
        <w:rPr>
          <w:rFonts w:ascii="Arial" w:cs="Arial" w:eastAsia="Arial" w:hAnsi="Arial"/>
          <w:sz w:val="18"/>
          <w:szCs w:val="18"/>
          <w:color w:val="auto"/>
        </w:rPr>
        <w:t>.</w:t>
      </w:r>
    </w:p>
    <w:p>
      <w:pPr>
        <w:spacing w:after="0" w:line="225" w:lineRule="exact"/>
        <w:rPr>
          <w:sz w:val="20"/>
          <w:szCs w:val="20"/>
          <w:color w:val="auto"/>
        </w:rPr>
      </w:pPr>
    </w:p>
    <w:p>
      <w:pPr>
        <w:ind w:left="652"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herein shall mean any and all products, including parts and accessories, software and related services manufactured, distributed or sold at wholesale by Seller or an affiliate of Seller.</w:t>
      </w:r>
    </w:p>
    <w:p>
      <w:pPr>
        <w:spacing w:after="0" w:line="162" w:lineRule="exact"/>
        <w:rPr>
          <w:sz w:val="20"/>
          <w:szCs w:val="20"/>
          <w:color w:val="auto"/>
        </w:rPr>
      </w:pPr>
    </w:p>
    <w:p>
      <w:pPr>
        <w:ind w:left="652" w:right="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Invoice</w:t>
      </w:r>
      <w:r>
        <w:rPr>
          <w:rFonts w:ascii="Arial" w:cs="Arial" w:eastAsia="Arial" w:hAnsi="Arial"/>
          <w:sz w:val="16"/>
          <w:szCs w:val="16"/>
          <w:color w:val="auto"/>
        </w:rPr>
        <w:t>” herein shall mean (i) a Dealer Invoice, (ii) a Distributor Invoice, (iii) a Distributor to Dealer Invoice, (iv) evidence of Red Iron’s financing of used Inventory which used Inventory was owned by an end-user customer and sold by such end-user customer to a Dealer or Distributor as full or partial payment by such end-user customer for the purchase by such end-user customer of a new item of Inventory from such Dealer or Distributor (“</w:t>
      </w:r>
      <w:r>
        <w:rPr>
          <w:rFonts w:ascii="Arial" w:cs="Arial" w:eastAsia="Arial" w:hAnsi="Arial"/>
          <w:sz w:val="16"/>
          <w:szCs w:val="16"/>
          <w:b w:val="1"/>
          <w:bCs w:val="1"/>
          <w:color w:val="auto"/>
        </w:rPr>
        <w:t>Trade-In Invoice</w:t>
      </w:r>
      <w:r>
        <w:rPr>
          <w:rFonts w:ascii="Arial" w:cs="Arial" w:eastAsia="Arial" w:hAnsi="Arial"/>
          <w:sz w:val="16"/>
          <w:szCs w:val="16"/>
          <w:color w:val="auto"/>
        </w:rPr>
        <w:t>”) or (v) evidence of Red Iron’s financing of used Inventory which used Inventory was owned by a lessor and sold, when it came off lease, by such lessor to a Dealer or Distributor (“</w:t>
      </w:r>
      <w:r>
        <w:rPr>
          <w:rFonts w:ascii="Arial" w:cs="Arial" w:eastAsia="Arial" w:hAnsi="Arial"/>
          <w:sz w:val="16"/>
          <w:szCs w:val="16"/>
          <w:b w:val="1"/>
          <w:bCs w:val="1"/>
          <w:color w:val="auto"/>
        </w:rPr>
        <w:t>Off-Lease Invoice</w:t>
      </w:r>
      <w:r>
        <w:rPr>
          <w:rFonts w:ascii="Arial" w:cs="Arial" w:eastAsia="Arial" w:hAnsi="Arial"/>
          <w:sz w:val="16"/>
          <w:szCs w:val="16"/>
          <w:color w:val="auto"/>
        </w:rPr>
        <w:t>”), either collectively or individually,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178435</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8" w:right="280" w:firstLine="8"/>
        <w:spacing w:after="0" w:line="277" w:lineRule="auto"/>
        <w:tabs>
          <w:tab w:leader="none" w:pos="4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herein shall mean for any Program Year beginning with Program Year 2016 and each Program Year thereafter: (i) (A) the total unpaid balance of all Wholesale Instruments due to Red Iron from all Dealers and Distributors during such Program Year (including without limitation for Inventory sold out of trust) which are charged-off in accordance with Red Iron’s accounting policies; plus (B) interest and other charges related to such Wholesale Instruments; plus (C) all costs and expenses incurred by Red Iron with respect to the collection of such Wholesale Instruments including without limitation all attorneys’ fees, bankruptcy and other court costs, less (ii) the amount of any recoveries received by Red Iron for any Wholesale Instruments [***]. For the avoidance of doubt, Red Iron shall not credit any recoveries received by Red Iron related to losses which were incurred by Red Iron prior to Program Year 2016 [***].</w:t>
      </w:r>
    </w:p>
    <w:p>
      <w:pPr>
        <w:spacing w:after="0" w:line="17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Repurchase Limit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4(a)</w:t>
      </w:r>
      <w:r>
        <w:rPr>
          <w:rFonts w:ascii="Arial" w:cs="Arial" w:eastAsia="Arial" w:hAnsi="Arial"/>
          <w:sz w:val="18"/>
          <w:szCs w:val="18"/>
          <w:color w:val="auto"/>
        </w:rPr>
        <w:t>.</w:t>
      </w:r>
    </w:p>
    <w:p>
      <w:pPr>
        <w:spacing w:after="0" w:line="225" w:lineRule="exact"/>
        <w:rPr>
          <w:sz w:val="20"/>
          <w:szCs w:val="20"/>
          <w:color w:val="auto"/>
        </w:rPr>
      </w:pPr>
    </w:p>
    <w:p>
      <w:pPr>
        <w:ind w:left="652"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Off-Lease Inventory</w:t>
      </w:r>
      <w:r>
        <w:rPr>
          <w:rFonts w:ascii="Arial" w:cs="Arial" w:eastAsia="Arial" w:hAnsi="Arial"/>
          <w:sz w:val="18"/>
          <w:szCs w:val="18"/>
          <w:color w:val="auto"/>
        </w:rPr>
        <w:t>” herein shall mean Inventory covered by an Off Lease Invoice, which indicates (either by a terms code or other means) that such Invoice is eligible as an Off-Lease Invoice.</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Off-Lease Invoice</w:t>
      </w:r>
      <w:r>
        <w:rPr>
          <w:rFonts w:ascii="Arial" w:cs="Arial" w:eastAsia="Arial" w:hAnsi="Arial"/>
          <w:sz w:val="18"/>
          <w:szCs w:val="18"/>
          <w:color w:val="auto"/>
        </w:rPr>
        <w:t>” herein shall have the meaning provided in the definition of “</w:t>
      </w:r>
      <w:r>
        <w:rPr>
          <w:rFonts w:ascii="Arial" w:cs="Arial" w:eastAsia="Arial" w:hAnsi="Arial"/>
          <w:sz w:val="18"/>
          <w:szCs w:val="18"/>
          <w:b w:val="1"/>
          <w:bCs w:val="1"/>
          <w:color w:val="auto"/>
        </w:rPr>
        <w:t>Invoice</w:t>
      </w:r>
      <w:r>
        <w:rPr>
          <w:rFonts w:ascii="Arial" w:cs="Arial" w:eastAsia="Arial" w:hAnsi="Arial"/>
          <w:sz w:val="18"/>
          <w:szCs w:val="18"/>
          <w:color w:val="auto"/>
        </w:rPr>
        <w:t>”, subsection (v).</w:t>
      </w:r>
    </w:p>
    <w:p>
      <w:pPr>
        <w:spacing w:after="0" w:line="225" w:lineRule="exact"/>
        <w:rPr>
          <w:sz w:val="20"/>
          <w:szCs w:val="20"/>
          <w:color w:val="auto"/>
        </w:rPr>
      </w:pPr>
    </w:p>
    <w:p>
      <w:pPr>
        <w:ind w:left="652" w:right="12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 Year</w:t>
      </w:r>
      <w:r>
        <w:rPr>
          <w:rFonts w:ascii="Arial" w:cs="Arial" w:eastAsia="Arial" w:hAnsi="Arial"/>
          <w:sz w:val="18"/>
          <w:szCs w:val="18"/>
          <w:color w:val="auto"/>
        </w:rPr>
        <w:t>” herein (except as otherwise provided for Program Year 2016) shall mean the period between each November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a year through October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following year (</w:t>
      </w:r>
      <w:r>
        <w:rPr>
          <w:rFonts w:ascii="Arial" w:cs="Arial" w:eastAsia="Arial" w:hAnsi="Arial"/>
          <w:sz w:val="18"/>
          <w:szCs w:val="18"/>
          <w:i w:val="1"/>
          <w:iCs w:val="1"/>
          <w:color w:val="auto"/>
        </w:rPr>
        <w:t>see</w:t>
      </w:r>
      <w:r>
        <w:rPr>
          <w:rFonts w:ascii="Arial" w:cs="Arial" w:eastAsia="Arial" w:hAnsi="Arial"/>
          <w:sz w:val="18"/>
          <w:szCs w:val="18"/>
          <w:color w:val="auto"/>
        </w:rPr>
        <w:t xml:space="preserve"> “Program Year 2017” below).</w:t>
      </w:r>
    </w:p>
    <w:p>
      <w:pPr>
        <w:spacing w:after="0" w:line="11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 Year 2016</w:t>
      </w:r>
      <w:r>
        <w:rPr>
          <w:rFonts w:ascii="Arial" w:cs="Arial" w:eastAsia="Arial" w:hAnsi="Arial"/>
          <w:sz w:val="18"/>
          <w:szCs w:val="18"/>
          <w:color w:val="auto"/>
        </w:rPr>
        <w:t>” herein shall mean January 1, 2016 through October 31, 2016.</w:t>
      </w:r>
    </w:p>
    <w:p>
      <w:pPr>
        <w:spacing w:after="0" w:line="225" w:lineRule="exact"/>
        <w:rPr>
          <w:sz w:val="20"/>
          <w:szCs w:val="20"/>
          <w:color w:val="auto"/>
        </w:rPr>
      </w:pPr>
    </w:p>
    <w:p>
      <w:pPr>
        <w:ind w:left="652"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 Year 2017</w:t>
      </w:r>
      <w:r>
        <w:rPr>
          <w:rFonts w:ascii="Arial" w:cs="Arial" w:eastAsia="Arial" w:hAnsi="Arial"/>
          <w:sz w:val="18"/>
          <w:szCs w:val="18"/>
          <w:color w:val="auto"/>
        </w:rPr>
        <w:t>” herein shall mean November 1, 2016 through October 31, 2017, and each successive Program Year shall be successively numbered.</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 Iron</w:t>
      </w:r>
      <w:r>
        <w:rPr>
          <w:rFonts w:ascii="Arial" w:cs="Arial" w:eastAsia="Arial" w:hAnsi="Arial"/>
          <w:sz w:val="18"/>
          <w:szCs w:val="18"/>
          <w:color w:val="auto"/>
        </w:rPr>
        <w:t>” is defined in the preamble.</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is defined in the preamble.</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TCFCF</w:t>
      </w:r>
      <w:r>
        <w:rPr>
          <w:rFonts w:ascii="Arial" w:cs="Arial" w:eastAsia="Arial" w:hAnsi="Arial"/>
          <w:sz w:val="18"/>
          <w:szCs w:val="18"/>
          <w:color w:val="auto"/>
        </w:rPr>
        <w:t>” shall mean TCF Commercial Finance Canada, Inc., a corporation incorporated pursuant to the federal laws of Canada.</w:t>
      </w:r>
    </w:p>
    <w:p>
      <w:pPr>
        <w:spacing w:after="0" w:line="225" w:lineRule="exact"/>
        <w:rPr>
          <w:sz w:val="20"/>
          <w:szCs w:val="20"/>
          <w:color w:val="auto"/>
        </w:rPr>
      </w:pPr>
    </w:p>
    <w:p>
      <w:pPr>
        <w:ind w:left="652"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Trade-In Inventory</w:t>
      </w:r>
      <w:r>
        <w:rPr>
          <w:rFonts w:ascii="Arial" w:cs="Arial" w:eastAsia="Arial" w:hAnsi="Arial"/>
          <w:sz w:val="18"/>
          <w:szCs w:val="18"/>
          <w:color w:val="auto"/>
        </w:rPr>
        <w:t>” herein shall mean Inventory covered by a Trade-In Invoice, which indicates (either by a terms code or other means) that such Invoice is eligible as a Trade-Invoice.</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Trade-In Invoice</w:t>
      </w:r>
      <w:r>
        <w:rPr>
          <w:rFonts w:ascii="Arial" w:cs="Arial" w:eastAsia="Arial" w:hAnsi="Arial"/>
          <w:sz w:val="18"/>
          <w:szCs w:val="18"/>
          <w:color w:val="auto"/>
        </w:rPr>
        <w:t>” herein shall have the meaning provided in the definition of “</w:t>
      </w:r>
      <w:r>
        <w:rPr>
          <w:rFonts w:ascii="Arial" w:cs="Arial" w:eastAsia="Arial" w:hAnsi="Arial"/>
          <w:sz w:val="18"/>
          <w:szCs w:val="18"/>
          <w:b w:val="1"/>
          <w:bCs w:val="1"/>
          <w:color w:val="auto"/>
        </w:rPr>
        <w:t>Invoice</w:t>
      </w:r>
      <w:r>
        <w:rPr>
          <w:rFonts w:ascii="Arial" w:cs="Arial" w:eastAsia="Arial" w:hAnsi="Arial"/>
          <w:sz w:val="18"/>
          <w:szCs w:val="18"/>
          <w:color w:val="auto"/>
        </w:rPr>
        <w:t>”, subsection (iv).</w:t>
      </w:r>
    </w:p>
    <w:p>
      <w:pPr>
        <w:spacing w:after="0" w:line="225" w:lineRule="exact"/>
        <w:rPr>
          <w:sz w:val="20"/>
          <w:szCs w:val="20"/>
          <w:color w:val="auto"/>
        </w:rPr>
      </w:pPr>
    </w:p>
    <w:p>
      <w:pPr>
        <w:ind w:left="652"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Wholesale Instrument</w:t>
      </w:r>
      <w:r>
        <w:rPr>
          <w:rFonts w:ascii="Arial" w:cs="Arial" w:eastAsia="Arial" w:hAnsi="Arial"/>
          <w:sz w:val="18"/>
          <w:szCs w:val="18"/>
          <w:color w:val="auto"/>
        </w:rPr>
        <w:t>” herein shall mean an invoice, billing statement, inventory schedule or other evidence of indebtedness, including the books and records of Red Iron, arising out of the financing by Red Iron of an Invoice.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5" w:lineRule="exact"/>
        <w:rPr>
          <w:sz w:val="20"/>
          <w:szCs w:val="20"/>
          <w:color w:val="auto"/>
        </w:rPr>
      </w:pPr>
    </w:p>
    <w:p>
      <w:pPr>
        <w:ind w:left="-8" w:right="280" w:firstLine="8"/>
        <w:spacing w:after="0" w:line="277" w:lineRule="auto"/>
        <w:tabs>
          <w:tab w:leader="none" w:pos="4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52" w:hanging="652"/>
        <w:spacing w:after="0"/>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Financing Program</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292" w:right="140" w:hanging="644"/>
        <w:spacing w:after="0" w:line="342" w:lineRule="auto"/>
        <w:tabs>
          <w:tab w:leader="none" w:pos="1289"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Inventory Financing Approvals</w:t>
      </w:r>
      <w:r>
        <w:rPr>
          <w:rFonts w:ascii="Arial" w:cs="Arial" w:eastAsia="Arial" w:hAnsi="Arial"/>
          <w:sz w:val="16"/>
          <w:szCs w:val="16"/>
          <w:color w:val="auto"/>
        </w:rPr>
        <w:t>. If Seller or an affiliate of Seller requests an Approval or sends to Red Iron an Invoice, and the Dealer or Distributor related to such Approval or Invoice is eligible for inventory financing in accordance with the credit and operational policies of</w:t>
      </w:r>
    </w:p>
    <w:p>
      <w:pPr>
        <w:sectPr>
          <w:pgSz w:w="11900" w:h="16838" w:orient="portrait"/>
          <w:cols w:equalWidth="0" w:num="1">
            <w:col w:w="11372"/>
          </w:cols>
          <w:pgMar w:left="248" w:top="337" w:right="279" w:bottom="0" w:gutter="0" w:footer="0" w:header="0"/>
        </w:sectPr>
      </w:pPr>
    </w:p>
    <w:bookmarkStart w:id="10" w:name="page11"/>
    <w:bookmarkEnd w:id="10"/>
    <w:p>
      <w:pPr>
        <w:ind w:left="1292" w:right="40"/>
        <w:spacing w:after="0" w:line="268" w:lineRule="auto"/>
        <w:rPr>
          <w:sz w:val="20"/>
          <w:szCs w:val="20"/>
          <w:color w:val="auto"/>
        </w:rPr>
      </w:pPr>
      <w:r>
        <w:rPr>
          <w:rFonts w:ascii="Arial" w:cs="Arial" w:eastAsia="Arial" w:hAnsi="Arial"/>
          <w:sz w:val="17"/>
          <w:szCs w:val="17"/>
          <w:color w:val="auto"/>
        </w:rPr>
        <w:t xml:space="preserve">Red Iron or has been designated as an FLR Reliant Account in accordance with the provisions of </w:t>
      </w:r>
      <w:r>
        <w:rPr>
          <w:rFonts w:ascii="Arial" w:cs="Arial" w:eastAsia="Arial" w:hAnsi="Arial"/>
          <w:sz w:val="17"/>
          <w:szCs w:val="17"/>
          <w:b w:val="1"/>
          <w:bCs w:val="1"/>
          <w:color w:val="auto"/>
        </w:rPr>
        <w:t>Section 9(b)</w:t>
      </w:r>
      <w:r>
        <w:rPr>
          <w:rFonts w:ascii="Arial" w:cs="Arial" w:eastAsia="Arial" w:hAnsi="Arial"/>
          <w:sz w:val="17"/>
          <w:szCs w:val="17"/>
          <w:color w:val="auto"/>
        </w:rPr>
        <w:t>, then Red Iron shall, from time to time in its commercially reasonable discretion consistent with such credit and operational policies, issue such Approvals and Advances against such Invoices, all under the terms of this Agreement. Upon issuance of an Approval by Red Iron, Seller shall (or, as applicable, shall cause its affiliate to) deliver an original Invoice to Red Iron. Provided Red Iron receives the Invoice within 60 days of the date Red Iron issued the Approval and within 30 days of the ship date referred to in the Invoice, Red Iron shall Advance to Seller or its affiliate, as applicable, the amount of the Invoice, subject to the terms of the financing program then in effect between Seller and Red Iron. If the Invoice is not received within said 60- and 30-day periods, or is not acceptable in form or content once received, Red Iron has the right, without notice to Seller or its affiliate, as applicable, to cancel the Approval related to said Invoice. Prior to funding any Approval, Red Iron has the right to cancel said Approval upon oral or written notice (provided, however, that oral notice be promptly confirmed in writing) to Seller or its affiliate, as applicable, should Dealer or Distributor be in default of any of its obligations to Red Iron and provided that Seller or its affiliate, as applicable, has not shipped Inventory in reliance on Red Iron’s Approval. Advances with respect to Invoices and Approvals issued by Red Iron as provided hereunder shall constitute an acceptance of the terms and conditions hereof by Seller (for itself or on behalf of its affiliate, as applicable) and Red Iron, and no other act or notice shall be required on the part of Red Iron or Seller or its affiliate, as applicable, to entitle such Advances and Approvals to the benefits of this Agreement. Red Iron may deduct, set-off, withhold or apply any sums from payments due to Seller (either on behalf of itself or its affiliate, as applicable) from Red Iron under this Agreement any sums or payments due to Red Iron from Seller or its affiliates in respect of any Advance to be made by Red Iron with respect to any Invoice. Seller and Red Iron may from time to time enter into written agreements for any Seller sponsored special financing program for Dealers or Distributors.</w:t>
      </w:r>
    </w:p>
    <w:p>
      <w:pPr>
        <w:spacing w:after="0" w:line="181" w:lineRule="exact"/>
        <w:rPr>
          <w:sz w:val="20"/>
          <w:szCs w:val="20"/>
          <w:color w:val="auto"/>
        </w:rPr>
      </w:pPr>
    </w:p>
    <w:p>
      <w:pPr>
        <w:ind w:left="1292" w:right="40" w:hanging="644"/>
        <w:spacing w:after="0" w:line="264" w:lineRule="auto"/>
        <w:tabs>
          <w:tab w:leader="none" w:pos="1299"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Effect of Payment</w:t>
      </w:r>
      <w:r>
        <w:rPr>
          <w:rFonts w:ascii="Arial" w:cs="Arial" w:eastAsia="Arial" w:hAnsi="Arial"/>
          <w:sz w:val="18"/>
          <w:szCs w:val="18"/>
          <w:color w:val="auto"/>
        </w:rPr>
        <w:t xml:space="preserve">. Upon Red Iron’s Advance to Seller or an affiliate of Seller of the amount of an Invoice pursuant to the terms of the preceding </w:t>
      </w:r>
      <w:r>
        <w:rPr>
          <w:rFonts w:ascii="Arial" w:cs="Arial" w:eastAsia="Arial" w:hAnsi="Arial"/>
          <w:sz w:val="18"/>
          <w:szCs w:val="18"/>
          <w:b w:val="1"/>
          <w:bCs w:val="1"/>
          <w:color w:val="auto"/>
        </w:rPr>
        <w:t>Section 2(a)</w:t>
      </w:r>
      <w:r>
        <w:rPr>
          <w:rFonts w:ascii="Arial" w:cs="Arial" w:eastAsia="Arial" w:hAnsi="Arial"/>
          <w:sz w:val="18"/>
          <w:szCs w:val="18"/>
          <w:color w:val="auto"/>
        </w:rPr>
        <w:t>, the obligation of the Dealer or Distributor, as applicable, to make payment under the terms of such Invoice to Seller or Seller’s affiliate, as applicable, shall be extinguished.</w:t>
      </w:r>
    </w:p>
    <w:p>
      <w:pPr>
        <w:spacing w:after="0" w:line="181" w:lineRule="exact"/>
        <w:rPr>
          <w:rFonts w:ascii="Arial" w:cs="Arial" w:eastAsia="Arial" w:hAnsi="Arial"/>
          <w:sz w:val="18"/>
          <w:szCs w:val="18"/>
          <w:color w:val="auto"/>
        </w:rPr>
      </w:pPr>
    </w:p>
    <w:p>
      <w:pPr>
        <w:ind w:left="1292" w:right="120" w:hanging="644"/>
        <w:spacing w:after="0" w:line="264" w:lineRule="auto"/>
        <w:tabs>
          <w:tab w:leader="none" w:pos="130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Limited Power of Attorney</w:t>
      </w:r>
      <w:r>
        <w:rPr>
          <w:rFonts w:ascii="Arial" w:cs="Arial" w:eastAsia="Arial" w:hAnsi="Arial"/>
          <w:sz w:val="18"/>
          <w:szCs w:val="18"/>
          <w:color w:val="auto"/>
        </w:rPr>
        <w:t>. Seller (on behalf of itself and its affiliates) hereby grants to Red Iron a limited power of attorney for the sole purpose of endorsing checks, drafts and other instruments received by Red Iron payable to the order of Seller and its affiliates and relating, in whole or in part, to receivables held by Red Iron.</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Repurchase of Inventory; Extended Service Contract Recourse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20" w:hanging="644"/>
        <w:spacing w:after="0" w:line="284" w:lineRule="auto"/>
        <w:tabs>
          <w:tab w:leader="none" w:pos="1289"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Seller’s Repurchase of Inventory Sold by Seller or its Affiliates Directly to a Dealer or Distributor or otherwise financed by Red Iron</w:t>
      </w:r>
      <w:r>
        <w:rPr>
          <w:rFonts w:ascii="Arial" w:cs="Arial" w:eastAsia="Arial" w:hAnsi="Arial"/>
          <w:sz w:val="16"/>
          <w:szCs w:val="16"/>
          <w:color w:val="auto"/>
        </w:rPr>
        <w:t xml:space="preserve">. Subject to </w:t>
      </w:r>
      <w:r>
        <w:rPr>
          <w:rFonts w:ascii="Arial" w:cs="Arial" w:eastAsia="Arial" w:hAnsi="Arial"/>
          <w:sz w:val="16"/>
          <w:szCs w:val="16"/>
          <w:b w:val="1"/>
          <w:bCs w:val="1"/>
          <w:color w:val="auto"/>
        </w:rPr>
        <w:t>Section 4</w:t>
      </w:r>
      <w:r>
        <w:rPr>
          <w:rFonts w:ascii="Arial" w:cs="Arial" w:eastAsia="Arial" w:hAnsi="Arial"/>
          <w:sz w:val="16"/>
          <w:szCs w:val="16"/>
          <w:color w:val="auto"/>
        </w:rPr>
        <w:t>, if Red Iron shall repossess or come into possession of any Inventory, or any part thereof, covered by any Invoice, Seller agrees to repurchase such Inventory from Red Iron in a condition that is new and unused, subject to normal wear and tear resulting from display or demonstration, or in the case of an item of Inventory that is Dealer/Distributor Demo/Rental Inventory, Off-Lease Inventory or Trade-In Inventory, in any condition, and in all cases, and wherever located. Seller shall pay Red Iron, within 30 days of request therefor and in good funds, the outstanding balance (including accrued but unpaid interest) remaining unpaid under the Wholesale</w:t>
      </w:r>
    </w:p>
    <w:p>
      <w:pPr>
        <w:spacing w:after="0" w:line="4" w:lineRule="exact"/>
        <w:rPr>
          <w:rFonts w:ascii="Arial" w:cs="Arial" w:eastAsia="Arial" w:hAnsi="Arial"/>
          <w:sz w:val="16"/>
          <w:szCs w:val="16"/>
          <w:color w:val="auto"/>
        </w:rPr>
      </w:pPr>
    </w:p>
    <w:p>
      <w:pPr>
        <w:ind w:left="1292" w:right="80"/>
        <w:spacing w:after="0" w:line="255" w:lineRule="auto"/>
        <w:rPr>
          <w:rFonts w:ascii="Arial" w:cs="Arial" w:eastAsia="Arial" w:hAnsi="Arial"/>
          <w:sz w:val="16"/>
          <w:szCs w:val="16"/>
          <w:color w:val="auto"/>
        </w:rPr>
      </w:pPr>
      <w:r>
        <w:rPr>
          <w:rFonts w:ascii="Arial" w:cs="Arial" w:eastAsia="Arial" w:hAnsi="Arial"/>
          <w:sz w:val="18"/>
          <w:szCs w:val="18"/>
          <w:color w:val="auto"/>
        </w:rPr>
        <w:t>Instrument(s) related to such Invoice. In addition, Seller shall pay Red Iron for all costs and expenses actually incurred by Red Iron in taking possession or in the repossession of such Inventory, including shipping and storage costs (not to exceed 10% of the original Invoice) plus reasonable attorneys’ fees and court costs actually</w:t>
      </w:r>
    </w:p>
    <w:p>
      <w:pPr>
        <w:spacing w:after="0" w:line="1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incurred. Seller shall not assert any interest in or title to such Inventory until it has paid Red Iron all amounts as specified herein in full.</w:t>
      </w:r>
    </w:p>
    <w:p>
      <w:pPr>
        <w:spacing w:after="0" w:line="233" w:lineRule="exact"/>
        <w:rPr>
          <w:sz w:val="20"/>
          <w:szCs w:val="20"/>
          <w:color w:val="auto"/>
        </w:rPr>
      </w:pPr>
    </w:p>
    <w:p>
      <w:pPr>
        <w:ind w:left="1292" w:hanging="644"/>
        <w:spacing w:after="0" w:line="288" w:lineRule="auto"/>
        <w:tabs>
          <w:tab w:leader="none" w:pos="129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Seller’s Repurchase of Inventory Sold by a Distributor to a Dealer or otherwise financed by Red Iron.</w:t>
      </w:r>
      <w:r>
        <w:rPr>
          <w:rFonts w:ascii="Arial" w:cs="Arial" w:eastAsia="Arial" w:hAnsi="Arial"/>
          <w:sz w:val="16"/>
          <w:szCs w:val="16"/>
          <w:color w:val="auto"/>
        </w:rPr>
        <w:t xml:space="preserve"> Subject to </w:t>
      </w:r>
      <w:r>
        <w:rPr>
          <w:rFonts w:ascii="Arial" w:cs="Arial" w:eastAsia="Arial" w:hAnsi="Arial"/>
          <w:sz w:val="16"/>
          <w:szCs w:val="16"/>
          <w:b w:val="1"/>
          <w:bCs w:val="1"/>
          <w:color w:val="auto"/>
        </w:rPr>
        <w:t>Section 4</w:t>
      </w:r>
      <w:r>
        <w:rPr>
          <w:rFonts w:ascii="Arial" w:cs="Arial" w:eastAsia="Arial" w:hAnsi="Arial"/>
          <w:sz w:val="16"/>
          <w:szCs w:val="16"/>
          <w:color w:val="auto"/>
        </w:rPr>
        <w:t xml:space="preserve">, if Red Iron shall repossess or come into possession of any Inventory, or any part thereof, covered by any Distributor to Dealer Invoice, Off-Lease Invoice or Trade-In Invoice, and Distributor fails to repurchase such Inventory from Red Iron within 30 days of Red Iron’s demand therefor, Seller agrees to repurchase such Inventory from Red Iron in a condition that is new and unused, subject to normal wear and tear resulting from display or demonstration, or in the case of an item of Inventory that is Dealer/Distributor Demo/Rental Inventory, Off-Lease Inventory or Trade-In Inventory, in any condition, and in all cases, wherever located. Subject to </w:t>
      </w:r>
      <w:r>
        <w:rPr>
          <w:rFonts w:ascii="Arial" w:cs="Arial" w:eastAsia="Arial" w:hAnsi="Arial"/>
          <w:sz w:val="16"/>
          <w:szCs w:val="16"/>
          <w:b w:val="1"/>
          <w:bCs w:val="1"/>
          <w:color w:val="auto"/>
        </w:rPr>
        <w:t>Section 3(h)</w:t>
      </w:r>
      <w:r>
        <w:rPr>
          <w:rFonts w:ascii="Arial" w:cs="Arial" w:eastAsia="Arial" w:hAnsi="Arial"/>
          <w:sz w:val="16"/>
          <w:szCs w:val="16"/>
          <w:color w:val="auto"/>
        </w:rPr>
        <w:t>, Seller shall pay Red Iron, within 30 days of request therefor and in good funds, the outstanding balance (including accrued but unpaid interest) amount remaining unpaid under the Wholesale Instrument(s) related to such Distributor to Dealer Invoice. In addition, Seller shall pay Red Iron for all costs and expenses actually incurred by Red Iron in taking possession or in the repossession of such Inventory, including shipping and storage costs (not to exceed 10% of the original Invoice) plus reasonable attorneys’ fees and court costs actually incurred. Seller shall not assert any interest in or title to such Inventory until it has paid Red Iron all amounts as specified herein in full.</w:t>
      </w:r>
    </w:p>
    <w:p>
      <w:pPr>
        <w:spacing w:after="0" w:line="168" w:lineRule="exact"/>
        <w:rPr>
          <w:rFonts w:ascii="Arial" w:cs="Arial" w:eastAsia="Arial" w:hAnsi="Arial"/>
          <w:sz w:val="16"/>
          <w:szCs w:val="16"/>
          <w:color w:val="auto"/>
        </w:rPr>
      </w:pPr>
    </w:p>
    <w:p>
      <w:pPr>
        <w:ind w:left="1292" w:right="20" w:hanging="644"/>
        <w:spacing w:after="0" w:line="264" w:lineRule="auto"/>
        <w:tabs>
          <w:tab w:leader="none" w:pos="130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Treatment Under Uniform Commercial Code</w:t>
      </w:r>
      <w:r>
        <w:rPr>
          <w:rFonts w:ascii="Arial" w:cs="Arial" w:eastAsia="Arial" w:hAnsi="Arial"/>
          <w:sz w:val="18"/>
          <w:szCs w:val="18"/>
          <w:color w:val="auto"/>
        </w:rPr>
        <w:t>. Seller and Red Iron agree that the repurchase of Inventory hereunder shall not be deemed to be a transfer subject to Sections 9-615(f) or 9-618 of the Illinois Uniform Commercial Code or any similar provision of any other applicable law.</w:t>
      </w:r>
    </w:p>
    <w:p>
      <w:pPr>
        <w:spacing w:after="0" w:line="181" w:lineRule="exact"/>
        <w:rPr>
          <w:rFonts w:ascii="Arial" w:cs="Arial" w:eastAsia="Arial" w:hAnsi="Arial"/>
          <w:sz w:val="18"/>
          <w:szCs w:val="18"/>
          <w:color w:val="auto"/>
        </w:rPr>
      </w:pPr>
    </w:p>
    <w:p>
      <w:pPr>
        <w:ind w:left="1292" w:right="60" w:hanging="644"/>
        <w:spacing w:after="0" w:line="302" w:lineRule="auto"/>
        <w:tabs>
          <w:tab w:leader="none" w:pos="129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Unidentified Inventory</w:t>
      </w:r>
      <w:r>
        <w:rPr>
          <w:rFonts w:ascii="Arial" w:cs="Arial" w:eastAsia="Arial" w:hAnsi="Arial"/>
          <w:sz w:val="16"/>
          <w:szCs w:val="16"/>
          <w:color w:val="auto"/>
        </w:rPr>
        <w:t>. If an Invoice delivered to Red Iron by Seller does not identify the covered Inventory by serial number, but only by model number, and Seller cannot prove to Red Iron’s reasonable satisfaction that an item of Inventory is covered by a particular Invoice, then for purposes of determining the age or price of an item of Inventory under this Agreement, the item of Inventory shall be deemed to be covered by the most recent Invoice which has an item with the same model number as the item of Inventory tendered for repurchase.</w:t>
      </w:r>
    </w:p>
    <w:p>
      <w:pPr>
        <w:spacing w:after="0" w:line="154" w:lineRule="exact"/>
        <w:rPr>
          <w:rFonts w:ascii="Arial" w:cs="Arial" w:eastAsia="Arial" w:hAnsi="Arial"/>
          <w:sz w:val="16"/>
          <w:szCs w:val="16"/>
          <w:color w:val="auto"/>
        </w:rPr>
      </w:pPr>
    </w:p>
    <w:p>
      <w:pPr>
        <w:ind w:left="1292" w:right="40" w:hanging="644"/>
        <w:spacing w:after="0" w:line="264" w:lineRule="auto"/>
        <w:tabs>
          <w:tab w:leader="none" w:pos="130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Refinanced Inventory</w:t>
      </w:r>
      <w:r>
        <w:rPr>
          <w:rFonts w:ascii="Arial" w:cs="Arial" w:eastAsia="Arial" w:hAnsi="Arial"/>
          <w:sz w:val="18"/>
          <w:szCs w:val="18"/>
          <w:color w:val="auto"/>
        </w:rPr>
        <w:t xml:space="preserve">. Seller further agrees that in the event Red Iron refinances Inventory pursuant to a buyout of debt from another financing source or otherwise, such Inventory will be subject to repurchase by Seller under this </w:t>
      </w:r>
      <w:r>
        <w:rPr>
          <w:rFonts w:ascii="Arial" w:cs="Arial" w:eastAsia="Arial" w:hAnsi="Arial"/>
          <w:sz w:val="18"/>
          <w:szCs w:val="18"/>
          <w:b w:val="1"/>
          <w:bCs w:val="1"/>
          <w:color w:val="auto"/>
        </w:rPr>
        <w:t>Section 3</w:t>
      </w:r>
      <w:r>
        <w:rPr>
          <w:rFonts w:ascii="Arial" w:cs="Arial" w:eastAsia="Arial" w:hAnsi="Arial"/>
          <w:sz w:val="18"/>
          <w:szCs w:val="18"/>
          <w:color w:val="auto"/>
        </w:rPr>
        <w:t>, notwithstanding the fact that Red Iron did not finance the initial purchase of such Inventory from Seller.</w:t>
      </w:r>
    </w:p>
    <w:p>
      <w:pPr>
        <w:spacing w:after="0" w:line="181" w:lineRule="exact"/>
        <w:rPr>
          <w:rFonts w:ascii="Arial" w:cs="Arial" w:eastAsia="Arial" w:hAnsi="Arial"/>
          <w:sz w:val="18"/>
          <w:szCs w:val="18"/>
          <w:color w:val="auto"/>
        </w:rPr>
      </w:pPr>
    </w:p>
    <w:p>
      <w:pPr>
        <w:ind w:left="1292" w:right="140" w:hanging="644"/>
        <w:spacing w:after="0" w:line="308" w:lineRule="auto"/>
        <w:tabs>
          <w:tab w:leader="none" w:pos="129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Seller agrees (and Seller will cause its affiliates, as applicable) to execute any additional agreements, instruments, and documents which Red Iron may reasonably require to maintain Red Iron’s rights and interests in any Inventory.</w:t>
      </w:r>
    </w:p>
    <w:p>
      <w:pPr>
        <w:spacing w:after="0" w:line="146" w:lineRule="exact"/>
        <w:rPr>
          <w:rFonts w:ascii="Arial" w:cs="Arial" w:eastAsia="Arial" w:hAnsi="Arial"/>
          <w:sz w:val="17"/>
          <w:szCs w:val="17"/>
          <w:color w:val="auto"/>
        </w:rPr>
      </w:pPr>
    </w:p>
    <w:p>
      <w:pPr>
        <w:ind w:left="1292" w:right="20" w:hanging="644"/>
        <w:spacing w:after="0" w:line="277" w:lineRule="auto"/>
        <w:tabs>
          <w:tab w:leader="none" w:pos="131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To the extent reasonably feasible, and without prejudicing Red Iron’s rights, Red Iron shall provide Seller prior written notice of Red Iron’s intent to commence litigation against a Dealer or Distributor.</w:t>
      </w:r>
    </w:p>
    <w:p>
      <w:pPr>
        <w:sectPr>
          <w:pgSz w:w="11900" w:h="16838" w:orient="portrait"/>
          <w:cols w:equalWidth="0" w:num="1">
            <w:col w:w="11412"/>
          </w:cols>
          <w:pgMar w:left="248" w:top="121" w:right="239" w:bottom="0" w:gutter="0" w:footer="0" w:header="0"/>
        </w:sectPr>
      </w:pPr>
    </w:p>
    <w:bookmarkStart w:id="11" w:name="page12"/>
    <w:bookmarkEnd w:id="11"/>
    <w:p>
      <w:pPr>
        <w:ind w:left="1292" w:right="20" w:hanging="644"/>
        <w:spacing w:after="0" w:line="257" w:lineRule="auto"/>
        <w:tabs>
          <w:tab w:leader="none" w:pos="129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Notice of Action Against a Dealer or Distributor</w:t>
      </w:r>
      <w:r>
        <w:rPr>
          <w:rFonts w:ascii="Arial" w:cs="Arial" w:eastAsia="Arial" w:hAnsi="Arial"/>
          <w:sz w:val="18"/>
          <w:szCs w:val="18"/>
          <w:color w:val="auto"/>
        </w:rPr>
        <w:t xml:space="preserve">. Red Iron shall provide Seller contemporaneous written notice of any action by Red Iron against a Dealer or Distributor with respect to any amounts unpaid under Wholesale Instrument(s) associated with a Distributor to Dealer Invoice. Red Iron shall not make a demand on Seller to perform its obligations under </w:t>
      </w:r>
      <w:r>
        <w:rPr>
          <w:rFonts w:ascii="Arial" w:cs="Arial" w:eastAsia="Arial" w:hAnsi="Arial"/>
          <w:sz w:val="18"/>
          <w:szCs w:val="18"/>
          <w:b w:val="1"/>
          <w:bCs w:val="1"/>
          <w:color w:val="auto"/>
        </w:rPr>
        <w:t>Section 3(b)</w:t>
      </w:r>
      <w:r>
        <w:rPr>
          <w:rFonts w:ascii="Arial" w:cs="Arial" w:eastAsia="Arial" w:hAnsi="Arial"/>
          <w:sz w:val="18"/>
          <w:szCs w:val="18"/>
          <w:color w:val="auto"/>
        </w:rPr>
        <w:t xml:space="preserve"> until at least ten (10) days after providing such notice to Seller or, in the case where the Dealer or Distributor disputes such amounts in good faith, until at least 30 days after providing such notice to Seller.</w:t>
      </w:r>
    </w:p>
    <w:p>
      <w:pPr>
        <w:spacing w:after="0" w:line="188" w:lineRule="exact"/>
        <w:rPr>
          <w:rFonts w:ascii="Arial" w:cs="Arial" w:eastAsia="Arial" w:hAnsi="Arial"/>
          <w:sz w:val="18"/>
          <w:szCs w:val="18"/>
          <w:color w:val="auto"/>
        </w:rPr>
      </w:pPr>
    </w:p>
    <w:p>
      <w:pPr>
        <w:ind w:left="1292" w:right="140" w:hanging="644"/>
        <w:spacing w:after="0" w:line="264" w:lineRule="auto"/>
        <w:tabs>
          <w:tab w:leader="none" w:pos="131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Extended Service Contracts</w:t>
      </w:r>
      <w:r>
        <w:rPr>
          <w:rFonts w:ascii="Arial" w:cs="Arial" w:eastAsia="Arial" w:hAnsi="Arial"/>
          <w:sz w:val="18"/>
          <w:szCs w:val="18"/>
          <w:color w:val="auto"/>
        </w:rPr>
        <w:t>. If a Wholesale Instrument associated with an Invoice for an extended service contract is not paid when due, then Red Iron shall have the benefit of recourse to Seller with respect to the Wholesale Instrument(s) related to such Invoice on such terms as Red Iron and Seller shall mutually agree from time to time.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Net Repurchase Limit; Remarketing</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left="1292" w:right="40" w:hanging="644"/>
        <w:spacing w:after="0" w:line="289" w:lineRule="auto"/>
        <w:tabs>
          <w:tab w:leader="none" w:pos="1289"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Net Repurchase Limit</w:t>
      </w:r>
      <w:r>
        <w:rPr>
          <w:rFonts w:ascii="Arial" w:cs="Arial" w:eastAsia="Arial" w:hAnsi="Arial"/>
          <w:sz w:val="16"/>
          <w:szCs w:val="16"/>
          <w:color w:val="auto"/>
        </w:rPr>
        <w:t xml:space="preserve">. Neither Seller nor any affiliate of Seller shall have any obligation under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of this Agreement, Section 3 of the Affiliated Agreement, or under similar provisions of any other repurchase agreement entered into by and between Seller or an affiliate of Seller, on the one hand, and Red Iron on the other, to repurchase any additional Inventory in a Program Year once the aggregate amount of repurchase obligations fully and finally paid by Seller or any affiliate of Seller under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of this Agreement to Red Iron during such Program Year, together with the aggregate amount of any repurchase obligations fully and finally paid by Seller or any affiliate of Seller to TCFCF under Section 3 of the Affiliated Agreement, and under similar provisions of any other repurchase agreement by and between Seller or an affiliate of Seller and TCFCF or Red Iron, equals or exceeds the Net Repurchase Limit for such Program Year. “</w:t>
      </w:r>
      <w:r>
        <w:rPr>
          <w:rFonts w:ascii="Arial" w:cs="Arial" w:eastAsia="Arial" w:hAnsi="Arial"/>
          <w:sz w:val="16"/>
          <w:szCs w:val="16"/>
          <w:b w:val="1"/>
          <w:bCs w:val="1"/>
          <w:color w:val="auto"/>
        </w:rPr>
        <w:t>Net</w:t>
      </w:r>
      <w:r>
        <w:rPr>
          <w:rFonts w:ascii="Arial" w:cs="Arial" w:eastAsia="Arial" w:hAnsi="Arial"/>
          <w:sz w:val="16"/>
          <w:szCs w:val="16"/>
          <w:color w:val="auto"/>
        </w:rPr>
        <w:t xml:space="preserve"> </w:t>
      </w:r>
      <w:r>
        <w:rPr>
          <w:rFonts w:ascii="Arial" w:cs="Arial" w:eastAsia="Arial" w:hAnsi="Arial"/>
          <w:sz w:val="16"/>
          <w:szCs w:val="16"/>
          <w:b w:val="1"/>
          <w:bCs w:val="1"/>
          <w:color w:val="auto"/>
        </w:rPr>
        <w:t>Repurchase Limit</w:t>
      </w:r>
      <w:r>
        <w:rPr>
          <w:rFonts w:ascii="Arial" w:cs="Arial" w:eastAsia="Arial" w:hAnsi="Arial"/>
          <w:sz w:val="16"/>
          <w:szCs w:val="16"/>
          <w:color w:val="auto"/>
        </w:rPr>
        <w:t>” shall mean $7,500,000 for each Program Year during the term of this Agreement. The value in United States Dollars of</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Inventory repurchased pursuant to Section 4(a) of the Affiliated Agreement shall be determined using the Canadian Dollar exchange rate printed in the Wall Street Journal on the effective date of the applicable repurchase transaction.</w:t>
      </w:r>
    </w:p>
    <w:p>
      <w:pPr>
        <w:spacing w:after="0" w:line="165" w:lineRule="exact"/>
        <w:rPr>
          <w:rFonts w:ascii="Arial" w:cs="Arial" w:eastAsia="Arial" w:hAnsi="Arial"/>
          <w:sz w:val="16"/>
          <w:szCs w:val="16"/>
          <w:color w:val="auto"/>
        </w:rPr>
      </w:pPr>
    </w:p>
    <w:p>
      <w:pPr>
        <w:ind w:left="1292" w:right="40" w:hanging="644"/>
        <w:spacing w:after="0" w:line="270" w:lineRule="auto"/>
        <w:tabs>
          <w:tab w:leader="none" w:pos="1299"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Remarketing</w:t>
      </w:r>
      <w:r>
        <w:rPr>
          <w:rFonts w:ascii="Arial" w:cs="Arial" w:eastAsia="Arial" w:hAnsi="Arial"/>
          <w:sz w:val="17"/>
          <w:szCs w:val="17"/>
          <w:color w:val="auto"/>
        </w:rPr>
        <w:t xml:space="preserve">. Once the Net Repurchase Limit has been reached in a Program Year, Seller agrees to use its best efforts to remarket any additional repossessed Inventory on behalf of Red Iron on a non-discriminatory, non-priority basis for an amount not less than the outstanding balance (including accrued but unpaid interest) remaining due Red Iron on such Inventory. As used herein, such best efforts shall include advertising and using the same methods to market such Inventory as Seller uses to market similar products in the course of conducting its own business, subject to Red Iron’s rights to approve all aspects of any resale of such Inventory. Red Iron acknowledges that Seller in the ordinary course of its business will be engaged in the marketing of other similar Inventory and that such activity shall not constitute a breach of any duty of Seller under the terms of this </w:t>
      </w:r>
      <w:r>
        <w:rPr>
          <w:rFonts w:ascii="Arial" w:cs="Arial" w:eastAsia="Arial" w:hAnsi="Arial"/>
          <w:sz w:val="17"/>
          <w:szCs w:val="17"/>
          <w:b w:val="1"/>
          <w:bCs w:val="1"/>
          <w:color w:val="auto"/>
        </w:rPr>
        <w:t>Section 4(b)</w:t>
      </w:r>
      <w:r>
        <w:rPr>
          <w:rFonts w:ascii="Arial" w:cs="Arial" w:eastAsia="Arial" w:hAnsi="Arial"/>
          <w:sz w:val="17"/>
          <w:szCs w:val="17"/>
          <w:color w:val="auto"/>
        </w:rPr>
        <w:t xml:space="preserve"> so long as Seller complies with the two immediately preceding sentences. Red Iron will reimburse Seller for reasonable out-of-pocket, third party expenses, including reasonable commissions (if any), incurred by Seller in providing remarketing services pursuant to this </w:t>
      </w:r>
      <w:r>
        <w:rPr>
          <w:rFonts w:ascii="Arial" w:cs="Arial" w:eastAsia="Arial" w:hAnsi="Arial"/>
          <w:sz w:val="17"/>
          <w:szCs w:val="17"/>
          <w:b w:val="1"/>
          <w:bCs w:val="1"/>
          <w:color w:val="auto"/>
        </w:rPr>
        <w:t>Section 4(b)</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652" w:hanging="652"/>
        <w:spacing w:after="0"/>
        <w:tabs>
          <w:tab w:leader="none" w:pos="65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Seller 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40" w:hanging="644"/>
        <w:spacing w:after="0" w:line="277" w:lineRule="auto"/>
        <w:tabs>
          <w:tab w:leader="none" w:pos="1289"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Seller Representations and Warranties</w:t>
      </w:r>
      <w:r>
        <w:rPr>
          <w:rFonts w:ascii="Arial" w:cs="Arial" w:eastAsia="Arial" w:hAnsi="Arial"/>
          <w:sz w:val="18"/>
          <w:szCs w:val="18"/>
          <w:color w:val="auto"/>
        </w:rPr>
        <w:t>. Seller represents and warrants, at the time of any Red Iron Approval or Advance against any Invoice as provided hereunder, that:</w:t>
      </w:r>
    </w:p>
    <w:p>
      <w:pPr>
        <w:spacing w:after="0" w:line="170" w:lineRule="exact"/>
        <w:rPr>
          <w:rFonts w:ascii="Arial" w:cs="Arial" w:eastAsia="Arial" w:hAnsi="Arial"/>
          <w:sz w:val="18"/>
          <w:szCs w:val="18"/>
          <w:color w:val="auto"/>
        </w:rPr>
      </w:pPr>
    </w:p>
    <w:p>
      <w:pPr>
        <w:ind w:left="1952" w:hanging="655"/>
        <w:spacing w:after="0" w:line="293" w:lineRule="auto"/>
        <w:tabs>
          <w:tab w:leader="none" w:pos="1959" w:val="left"/>
        </w:tabs>
        <w:numPr>
          <w:ilvl w:val="2"/>
          <w:numId w:val="37"/>
        </w:numPr>
        <w:rPr>
          <w:rFonts w:ascii="Arial" w:cs="Arial" w:eastAsia="Arial" w:hAnsi="Arial"/>
          <w:sz w:val="16"/>
          <w:szCs w:val="16"/>
          <w:color w:val="auto"/>
        </w:rPr>
      </w:pPr>
      <w:r>
        <w:rPr>
          <w:rFonts w:ascii="Arial" w:cs="Arial" w:eastAsia="Arial" w:hAnsi="Arial"/>
          <w:sz w:val="16"/>
          <w:szCs w:val="16"/>
          <w:color w:val="auto"/>
        </w:rPr>
        <w:t>each and every Invoice issued by Seller or its affiliate, as applicable, represents valid obligations of a Dealer or Distributor, is legally enforceable according to its terms and relates to bona fide, original acquisition sales of Inventory by Seller or its affiliate, as applicable, to a Dealer or Distributor or sales of extended service contracts to product end users by a Dealer or Distributor on behalf of Seller or its affiliate, without any claim, offset or defense to payment by Dealer or Distributor (other than customary commissions payable to Dealers or Distributors upon the sale of extended service contracts) and that the Dealer or Distributor requested that the acquisition of Inventory or payments related to sales of extended service contracts be financed by Red Iron;</w:t>
      </w:r>
    </w:p>
    <w:p>
      <w:pPr>
        <w:spacing w:after="0" w:line="164" w:lineRule="exact"/>
        <w:rPr>
          <w:rFonts w:ascii="Arial" w:cs="Arial" w:eastAsia="Arial" w:hAnsi="Arial"/>
          <w:sz w:val="16"/>
          <w:szCs w:val="16"/>
          <w:color w:val="auto"/>
        </w:rPr>
      </w:pPr>
    </w:p>
    <w:p>
      <w:pPr>
        <w:ind w:left="1952" w:right="60" w:hanging="655"/>
        <w:spacing w:after="0" w:line="264" w:lineRule="auto"/>
        <w:tabs>
          <w:tab w:leader="none" w:pos="1959" w:val="left"/>
        </w:tabs>
        <w:numPr>
          <w:ilvl w:val="2"/>
          <w:numId w:val="37"/>
        </w:numPr>
        <w:rPr>
          <w:rFonts w:ascii="Arial" w:cs="Arial" w:eastAsia="Arial" w:hAnsi="Arial"/>
          <w:sz w:val="18"/>
          <w:szCs w:val="18"/>
          <w:color w:val="auto"/>
        </w:rPr>
      </w:pPr>
      <w:r>
        <w:rPr>
          <w:rFonts w:ascii="Arial" w:cs="Arial" w:eastAsia="Arial" w:hAnsi="Arial"/>
          <w:sz w:val="18"/>
          <w:szCs w:val="18"/>
          <w:color w:val="auto"/>
        </w:rPr>
        <w:t>Seller’s (or, as applicable, its affiliate’s) title to any Inventory is free and clear of all security interests, liens and encumbrances and the transfer of Inventory to the Dealer or Distributor by Seller or its affiliate, as applicable, conveys to Dealer or Distributor all of Seller’s or its affiliate’s right, title and interest in and to such Inventory; and</w:t>
      </w:r>
    </w:p>
    <w:p>
      <w:pPr>
        <w:spacing w:after="0" w:line="181" w:lineRule="exact"/>
        <w:rPr>
          <w:rFonts w:ascii="Arial" w:cs="Arial" w:eastAsia="Arial" w:hAnsi="Arial"/>
          <w:sz w:val="18"/>
          <w:szCs w:val="18"/>
          <w:color w:val="auto"/>
        </w:rPr>
      </w:pPr>
    </w:p>
    <w:p>
      <w:pPr>
        <w:ind w:left="1952" w:right="160" w:hanging="655"/>
        <w:spacing w:after="0" w:line="308" w:lineRule="auto"/>
        <w:tabs>
          <w:tab w:leader="none" w:pos="1959" w:val="left"/>
        </w:tabs>
        <w:numPr>
          <w:ilvl w:val="2"/>
          <w:numId w:val="37"/>
        </w:numPr>
        <w:rPr>
          <w:rFonts w:ascii="Arial" w:cs="Arial" w:eastAsia="Arial" w:hAnsi="Arial"/>
          <w:sz w:val="17"/>
          <w:szCs w:val="17"/>
          <w:color w:val="auto"/>
        </w:rPr>
      </w:pPr>
      <w:r>
        <w:rPr>
          <w:rFonts w:ascii="Arial" w:cs="Arial" w:eastAsia="Arial" w:hAnsi="Arial"/>
          <w:sz w:val="17"/>
          <w:szCs w:val="17"/>
          <w:color w:val="auto"/>
        </w:rPr>
        <w:t>Seller’s (or, as applicable, its affiliate’s) right to receive payments with respect to any extended service contracts sold by a Dealer or Distributor on behalf of Seller or its affiliate is free and clear of all security interests, liens and encumbrances.</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180" w:hanging="655"/>
        <w:spacing w:after="0" w:line="264" w:lineRule="auto"/>
        <w:tabs>
          <w:tab w:leader="none" w:pos="1959"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Inventory is in new and unused condition; it is of the kind, quality and condition represented or warranted to Dealer or Distributor; it meets or exceeds all applicable federal, state and local safety, manufacturing and other standards; and if it is a type of Inventory customarily crated or boxed, such crate or box is factory sealed.</w:t>
      </w:r>
    </w:p>
    <w:p>
      <w:pPr>
        <w:spacing w:after="0" w:line="181" w:lineRule="exact"/>
        <w:rPr>
          <w:rFonts w:ascii="Arial" w:cs="Arial" w:eastAsia="Arial" w:hAnsi="Arial"/>
          <w:sz w:val="18"/>
          <w:szCs w:val="18"/>
          <w:color w:val="auto"/>
        </w:rPr>
      </w:pPr>
    </w:p>
    <w:p>
      <w:pPr>
        <w:ind w:left="1292" w:right="180" w:hanging="644"/>
        <w:spacing w:after="0" w:line="257" w:lineRule="auto"/>
        <w:tabs>
          <w:tab w:leader="none" w:pos="1299"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Breach of Seller Representations and Warranties</w:t>
      </w:r>
      <w:r>
        <w:rPr>
          <w:rFonts w:ascii="Arial" w:cs="Arial" w:eastAsia="Arial" w:hAnsi="Arial"/>
          <w:sz w:val="18"/>
          <w:szCs w:val="18"/>
          <w:color w:val="auto"/>
        </w:rPr>
        <w:t>. In the event of breach of any of the foregoing representations or warranties, Seller will, immediately upon demand, pay to Red Iron in immediately available good funds the amount of the unpaid balance of the Wholesale Instrument relating to the Invoice or Inventory with respect to which the representation/warranty was breached, plus all charges owing by Dealer or Distributor with respect thereto, and all of Red Iron’s costs and expenses, including reasonable attorneys’ fees, actually incurred in connection with such breach.</w:t>
      </w:r>
    </w:p>
    <w:p>
      <w:pPr>
        <w:spacing w:after="0" w:line="201" w:lineRule="exact"/>
        <w:rPr>
          <w:rFonts w:ascii="Arial" w:cs="Arial" w:eastAsia="Arial" w:hAnsi="Arial"/>
          <w:sz w:val="18"/>
          <w:szCs w:val="18"/>
          <w:color w:val="auto"/>
        </w:rPr>
      </w:pPr>
    </w:p>
    <w:p>
      <w:pPr>
        <w:ind w:left="652" w:hanging="652"/>
        <w:spacing w:after="0"/>
        <w:tabs>
          <w:tab w:leader="none" w:pos="6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Seller Covenants and Indemnity</w:t>
      </w:r>
      <w:r>
        <w:rPr>
          <w:rFonts w:ascii="Arial" w:cs="Arial" w:eastAsia="Arial" w:hAnsi="Arial"/>
          <w:sz w:val="18"/>
          <w:szCs w:val="18"/>
          <w:color w:val="auto"/>
        </w:rPr>
        <w:t>. Seller covenants as follows:</w:t>
      </w:r>
    </w:p>
    <w:p>
      <w:pPr>
        <w:spacing w:after="0" w:line="211" w:lineRule="exact"/>
        <w:rPr>
          <w:rFonts w:ascii="Arial" w:cs="Arial" w:eastAsia="Arial" w:hAnsi="Arial"/>
          <w:sz w:val="18"/>
          <w:szCs w:val="18"/>
          <w:color w:val="auto"/>
        </w:rPr>
      </w:pPr>
    </w:p>
    <w:p>
      <w:pPr>
        <w:ind w:left="1292" w:right="120" w:hanging="644"/>
        <w:spacing w:after="0" w:line="286" w:lineRule="auto"/>
        <w:tabs>
          <w:tab w:leader="none" w:pos="1289"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Product Warranties</w:t>
      </w:r>
      <w:r>
        <w:rPr>
          <w:rFonts w:ascii="Arial" w:cs="Arial" w:eastAsia="Arial" w:hAnsi="Arial"/>
          <w:sz w:val="17"/>
          <w:szCs w:val="17"/>
          <w:color w:val="auto"/>
        </w:rPr>
        <w:t>. All Inventory financed by Red Iron shall be subject to applicable product warranties of Seller (or its affiliate, as applicable), and Seller agrees to perform, or cause to be performed, all repairs, modifications or other acts required of Seller or its affiliate, as applicable, pursuant to said product warranties. All expenses of performance under this covenant shall be paid by Seller.</w:t>
      </w:r>
    </w:p>
    <w:p>
      <w:pPr>
        <w:sectPr>
          <w:pgSz w:w="11900" w:h="16838" w:orient="portrait"/>
          <w:cols w:equalWidth="0" w:num="1">
            <w:col w:w="11412"/>
          </w:cols>
          <w:pgMar w:left="248" w:top="125" w:right="239" w:bottom="0" w:gutter="0" w:footer="0" w:header="0"/>
        </w:sectPr>
      </w:pPr>
    </w:p>
    <w:bookmarkStart w:id="12" w:name="page13"/>
    <w:bookmarkEnd w:id="12"/>
    <w:p>
      <w:pPr>
        <w:ind w:left="1292" w:right="300" w:hanging="644"/>
        <w:spacing w:after="0" w:line="286" w:lineRule="auto"/>
        <w:tabs>
          <w:tab w:leader="none" w:pos="1299"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Returned Inventory</w:t>
      </w:r>
      <w:r>
        <w:rPr>
          <w:rFonts w:ascii="Arial" w:cs="Arial" w:eastAsia="Arial" w:hAnsi="Arial"/>
          <w:sz w:val="17"/>
          <w:szCs w:val="17"/>
          <w:color w:val="auto"/>
        </w:rPr>
        <w:t>. If Seller or its affiliate, as applicable, accepts the return from any Dealer or Distributor of any Inventory covered by any Wholesale Instrument, voluntarily or otherwise, whether or not any substitution is made for such returned Inventory, Seller will reimburse Red Iron for the unpaid balance amount of the Wholesale Instrument within 30 days of the return.</w:t>
      </w:r>
    </w:p>
    <w:p>
      <w:pPr>
        <w:spacing w:after="0" w:line="165" w:lineRule="exact"/>
        <w:rPr>
          <w:rFonts w:ascii="Arial" w:cs="Arial" w:eastAsia="Arial" w:hAnsi="Arial"/>
          <w:sz w:val="17"/>
          <w:szCs w:val="17"/>
          <w:color w:val="auto"/>
        </w:rPr>
      </w:pPr>
    </w:p>
    <w:p>
      <w:pPr>
        <w:ind w:left="1292" w:right="80" w:hanging="644"/>
        <w:spacing w:after="0" w:line="259" w:lineRule="auto"/>
        <w:tabs>
          <w:tab w:leader="none" w:pos="130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At any time at which Seller is not required to file reports with the U.S. Securities Exchange Commission pursuant to Section 13 or Section 15(d) of the Securities Exchange Act of 1934, as amended, Seller will, upon request, promptly provide Red Iron with Seller’s year-end balance sheet and annual profit and loss statement for each fiscal year prepared in accordance with generally accepted accounting principles, consistently applied.</w:t>
      </w:r>
    </w:p>
    <w:p>
      <w:pPr>
        <w:spacing w:after="0" w:line="186" w:lineRule="exact"/>
        <w:rPr>
          <w:rFonts w:ascii="Arial" w:cs="Arial" w:eastAsia="Arial" w:hAnsi="Arial"/>
          <w:sz w:val="18"/>
          <w:szCs w:val="18"/>
          <w:color w:val="auto"/>
        </w:rPr>
      </w:pPr>
    </w:p>
    <w:p>
      <w:pPr>
        <w:ind w:left="1292" w:right="180" w:hanging="644"/>
        <w:spacing w:after="0" w:line="302" w:lineRule="auto"/>
        <w:tabs>
          <w:tab w:leader="none" w:pos="129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All transactions of Seller and its affiliates related to the sale of Inventory financed by Red Iron shall comply with all applicable laws, rules, regulations and orders of all governmental entities having jurisdiction over such transactions. Seller agrees to indemnify and hold Red Iron harmless from and against any and all claims, damages, costs, expenses, penalties and judgments asserted or imposed upon, or incurred by, Red Iron as a result of breach by Seller or its affiliates of any provision of this Section.</w:t>
      </w:r>
    </w:p>
    <w:p>
      <w:pPr>
        <w:spacing w:after="0" w:line="154" w:lineRule="exact"/>
        <w:rPr>
          <w:rFonts w:ascii="Arial" w:cs="Arial" w:eastAsia="Arial" w:hAnsi="Arial"/>
          <w:sz w:val="16"/>
          <w:szCs w:val="16"/>
          <w:color w:val="auto"/>
        </w:rPr>
      </w:pPr>
    </w:p>
    <w:p>
      <w:pPr>
        <w:jc w:val="both"/>
        <w:ind w:left="1292" w:right="120" w:hanging="644"/>
        <w:spacing w:after="0" w:line="264" w:lineRule="auto"/>
        <w:tabs>
          <w:tab w:leader="none" w:pos="130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Notice of Termination of Distributor Agreements</w:t>
      </w:r>
      <w:r>
        <w:rPr>
          <w:rFonts w:ascii="Arial" w:cs="Arial" w:eastAsia="Arial" w:hAnsi="Arial"/>
          <w:sz w:val="18"/>
          <w:szCs w:val="18"/>
          <w:color w:val="auto"/>
        </w:rPr>
        <w:t>. Seller will notify Red Iron promptly (i) if Seller or its affiliate, as applicable, terminates, or gives notice of its intent to terminate, its agreement with any Distributor or (ii) if any Distributor terminates, or gives notice of its intent to terminate, its agreement with Seller or one of its affiliates.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52" w:hanging="652"/>
        <w:spacing w:after="0"/>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292" w:hanging="644"/>
        <w:spacing w:after="0" w:line="272" w:lineRule="auto"/>
        <w:tabs>
          <w:tab w:leader="none" w:pos="1289"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Seller Waiver of Certain Notices</w:t>
      </w:r>
      <w:r>
        <w:rPr>
          <w:rFonts w:ascii="Arial" w:cs="Arial" w:eastAsia="Arial" w:hAnsi="Arial"/>
          <w:sz w:val="17"/>
          <w:szCs w:val="17"/>
          <w:color w:val="auto"/>
        </w:rPr>
        <w:t>. Seller (on behalf of itself and its affiliates) waives: notice of non-payment; protest and dishonor and notice of protest and dishonor of any Wholesale Instrument; notice of Red Iron’s acceptance of this Agreement; and all other notices to which Seller or its affiliates might otherwise be entitled to by law. Red Iron may, at any time or times, without notice to or further consent of Seller or its affiliates, renew and extend the time of payment of Wholesale Instruments and compromise or adjust claims on Wholesale Instruments or Inventory covered thereby and waive or modify performance of such terms and conditions of its financing arrangement with Dealers or Distributors, as Red Iron may determine to be reasonable, and no such renewal, extension, compromise, adjustment, waiver or modification shall affect the obligations or liabilities of Seller hereunder.</w:t>
      </w:r>
    </w:p>
    <w:p>
      <w:pPr>
        <w:spacing w:after="0" w:line="177" w:lineRule="exact"/>
        <w:rPr>
          <w:rFonts w:ascii="Arial" w:cs="Arial" w:eastAsia="Arial" w:hAnsi="Arial"/>
          <w:sz w:val="17"/>
          <w:szCs w:val="17"/>
          <w:color w:val="auto"/>
        </w:rPr>
      </w:pPr>
    </w:p>
    <w:p>
      <w:pPr>
        <w:ind w:left="1292" w:right="180" w:hanging="644"/>
        <w:spacing w:after="0" w:line="259" w:lineRule="auto"/>
        <w:tabs>
          <w:tab w:leader="none" w:pos="1299"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No waiver of any provision of this Agreement shall be implied, and no waiver shall be valid, unless it is in writing and signed by the person or party to be charged. No waiver of any breach of any of the terms, provisions or conditions of this Agreement shall be construed as or held to be a waiver of any other breach, or a waiver of, acquiescence in, or consent to, any further or succeeding breach hereof.</w:t>
      </w:r>
    </w:p>
    <w:p>
      <w:pPr>
        <w:spacing w:after="0" w:line="200" w:lineRule="exact"/>
        <w:rPr>
          <w:rFonts w:ascii="Arial" w:cs="Arial" w:eastAsia="Arial" w:hAnsi="Arial"/>
          <w:sz w:val="18"/>
          <w:szCs w:val="18"/>
          <w:color w:val="auto"/>
        </w:rPr>
      </w:pPr>
    </w:p>
    <w:p>
      <w:pPr>
        <w:ind w:left="652" w:hanging="652"/>
        <w:spacing w:after="0"/>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292" w:right="80" w:hanging="644"/>
        <w:spacing w:after="0" w:line="273" w:lineRule="auto"/>
        <w:tabs>
          <w:tab w:leader="none" w:pos="1289"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Initial Term</w:t>
      </w:r>
      <w:r>
        <w:rPr>
          <w:rFonts w:ascii="Arial" w:cs="Arial" w:eastAsia="Arial" w:hAnsi="Arial"/>
          <w:sz w:val="17"/>
          <w:szCs w:val="17"/>
          <w:color w:val="auto"/>
        </w:rPr>
        <w:t>. The initial term of this Agreement commenced on October 1, 2009 and, provided this Agreement is not terminated earlier as otherwise provided herein, shall continue until October 31, 2024 (the “</w:t>
      </w:r>
      <w:r>
        <w:rPr>
          <w:rFonts w:ascii="Arial" w:cs="Arial" w:eastAsia="Arial" w:hAnsi="Arial"/>
          <w:sz w:val="17"/>
          <w:szCs w:val="17"/>
          <w:b w:val="1"/>
          <w:bCs w:val="1"/>
          <w:color w:val="auto"/>
        </w:rPr>
        <w:t>Initial Term</w:t>
      </w:r>
      <w:r>
        <w:rPr>
          <w:rFonts w:ascii="Arial" w:cs="Arial" w:eastAsia="Arial" w:hAnsi="Arial"/>
          <w:sz w:val="17"/>
          <w:szCs w:val="17"/>
          <w:color w:val="auto"/>
        </w:rPr>
        <w:t>”) and thereafter shall be extended automatically for additional two-year terms (each, an “</w:t>
      </w:r>
      <w:r>
        <w:rPr>
          <w:rFonts w:ascii="Arial" w:cs="Arial" w:eastAsia="Arial" w:hAnsi="Arial"/>
          <w:sz w:val="17"/>
          <w:szCs w:val="17"/>
          <w:b w:val="1"/>
          <w:bCs w:val="1"/>
          <w:color w:val="auto"/>
        </w:rPr>
        <w:t>Additional Term</w:t>
      </w:r>
      <w:r>
        <w:rPr>
          <w:rFonts w:ascii="Arial" w:cs="Arial" w:eastAsia="Arial" w:hAnsi="Arial"/>
          <w:sz w:val="17"/>
          <w:szCs w:val="17"/>
          <w:color w:val="auto"/>
        </w:rPr>
        <w:t>”) unless at least one year prior to the expiration of the Initial Term or Additional Term (as applicable) either party gives notice to the other party of its intention not to extend the term, in which event the Agreement shall terminate at the end of the then current Initial Term or Additional Term. Notwithstanding the foregoing, this Agreement shall automatically terminate upon the final dissolution, winding up and liquidation of Red Iron.</w:t>
      </w:r>
    </w:p>
    <w:p>
      <w:pPr>
        <w:spacing w:after="0" w:line="178" w:lineRule="exact"/>
        <w:rPr>
          <w:rFonts w:ascii="Arial" w:cs="Arial" w:eastAsia="Arial" w:hAnsi="Arial"/>
          <w:sz w:val="17"/>
          <w:szCs w:val="17"/>
          <w:color w:val="auto"/>
        </w:rPr>
      </w:pPr>
    </w:p>
    <w:p>
      <w:pPr>
        <w:ind w:left="1292" w:right="40" w:hanging="644"/>
        <w:spacing w:after="0" w:line="257" w:lineRule="auto"/>
        <w:tabs>
          <w:tab w:leader="none" w:pos="1299"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Default Termination</w:t>
      </w:r>
      <w:r>
        <w:rPr>
          <w:rFonts w:ascii="Arial" w:cs="Arial" w:eastAsia="Arial" w:hAnsi="Arial"/>
          <w:sz w:val="18"/>
          <w:szCs w:val="18"/>
          <w:color w:val="auto"/>
        </w:rPr>
        <w:t>. If Seller (or, as applicable, one of its affiliates) is in default of any of the provisions of this Agreement and Seller shall fail to cure (or cause the cure of) such default within 30 days after notice by Red Iron of such default (or such longer period of time as is reasonably necessary to allow Seller to cure (or cause the cure of) such default but, in any event, not more than 75 days after notice by Red Iron of such default), Red Iron shall then have the right to terminate this Agreement without further notice and without penalty and the right to exercise all remedies available to Red Iron under applicable law.</w:t>
      </w:r>
    </w:p>
    <w:p>
      <w:pPr>
        <w:spacing w:after="0" w:line="188" w:lineRule="exact"/>
        <w:rPr>
          <w:rFonts w:ascii="Arial" w:cs="Arial" w:eastAsia="Arial" w:hAnsi="Arial"/>
          <w:sz w:val="18"/>
          <w:szCs w:val="18"/>
          <w:color w:val="auto"/>
        </w:rPr>
      </w:pPr>
    </w:p>
    <w:p>
      <w:pPr>
        <w:ind w:left="1292" w:right="300" w:hanging="644"/>
        <w:spacing w:after="0" w:line="264" w:lineRule="auto"/>
        <w:tabs>
          <w:tab w:leader="none" w:pos="130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Effect of Termination</w:t>
      </w:r>
      <w:r>
        <w:rPr>
          <w:rFonts w:ascii="Arial" w:cs="Arial" w:eastAsia="Arial" w:hAnsi="Arial"/>
          <w:sz w:val="18"/>
          <w:szCs w:val="18"/>
          <w:color w:val="auto"/>
        </w:rPr>
        <w:t>. The termination of all or any part of this Agreement shall not affect the obligations of Seller or its affiliates with respect to Invoices approved or Advanced against by Red Iron, or other obligations incurred by either party, prior to the effective date of such termination.</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Favorable Loss Rebate Program.</w:t>
      </w:r>
    </w:p>
    <w:p>
      <w:pPr>
        <w:spacing w:after="0" w:line="225" w:lineRule="exact"/>
        <w:rPr>
          <w:rFonts w:ascii="Arial" w:cs="Arial" w:eastAsia="Arial" w:hAnsi="Arial"/>
          <w:sz w:val="18"/>
          <w:szCs w:val="18"/>
          <w:color w:val="auto"/>
        </w:rPr>
      </w:pPr>
    </w:p>
    <w:p>
      <w:pPr>
        <w:ind w:left="1292" w:right="40" w:hanging="644"/>
        <w:spacing w:after="0" w:line="259" w:lineRule="auto"/>
        <w:tabs>
          <w:tab w:leader="none" w:pos="1289"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Establish FLR Account</w:t>
      </w:r>
      <w:r>
        <w:rPr>
          <w:rFonts w:ascii="Arial" w:cs="Arial" w:eastAsia="Arial" w:hAnsi="Arial"/>
          <w:sz w:val="18"/>
          <w:szCs w:val="18"/>
          <w:color w:val="auto"/>
        </w:rPr>
        <w:t>. Red Iron shall record on its books and records, an amount equal to (i) [***] of the ANR-Program Year for Program Year 2016 and (ii) [***] of the ANR-Program Year for Program Year 2017 and each Program Year thereafter (such record, the “</w:t>
      </w:r>
      <w:r>
        <w:rPr>
          <w:rFonts w:ascii="Arial" w:cs="Arial" w:eastAsia="Arial" w:hAnsi="Arial"/>
          <w:sz w:val="18"/>
          <w:szCs w:val="18"/>
          <w:b w:val="1"/>
          <w:bCs w:val="1"/>
          <w:color w:val="auto"/>
        </w:rPr>
        <w:t>FLR</w:t>
      </w:r>
      <w:r>
        <w:rPr>
          <w:rFonts w:ascii="Arial" w:cs="Arial" w:eastAsia="Arial" w:hAnsi="Arial"/>
          <w:sz w:val="18"/>
          <w:szCs w:val="18"/>
          <w:color w:val="auto"/>
        </w:rPr>
        <w:t xml:space="preserve"> </w:t>
      </w:r>
      <w:r>
        <w:rPr>
          <w:rFonts w:ascii="Arial" w:cs="Arial" w:eastAsia="Arial" w:hAnsi="Arial"/>
          <w:sz w:val="18"/>
          <w:szCs w:val="18"/>
          <w:b w:val="1"/>
          <w:bCs w:val="1"/>
          <w:color w:val="auto"/>
        </w:rPr>
        <w:t>Account</w:t>
      </w:r>
      <w:r>
        <w:rPr>
          <w:rFonts w:ascii="Arial" w:cs="Arial" w:eastAsia="Arial" w:hAnsi="Arial"/>
          <w:sz w:val="18"/>
          <w:szCs w:val="18"/>
          <w:color w:val="auto"/>
        </w:rPr>
        <w:t>”). The FLR Account shall be held as a notational account on Red Iron’s books and records and not separately funded. Seller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have any right to interest relating to the FLR Account.</w:t>
      </w:r>
    </w:p>
    <w:p>
      <w:pPr>
        <w:spacing w:after="0" w:line="186" w:lineRule="exact"/>
        <w:rPr>
          <w:rFonts w:ascii="Arial" w:cs="Arial" w:eastAsia="Arial" w:hAnsi="Arial"/>
          <w:sz w:val="18"/>
          <w:szCs w:val="18"/>
          <w:color w:val="auto"/>
        </w:rPr>
      </w:pPr>
    </w:p>
    <w:p>
      <w:pPr>
        <w:ind w:left="1292" w:right="60" w:hanging="644"/>
        <w:spacing w:after="0" w:line="259" w:lineRule="auto"/>
        <w:tabs>
          <w:tab w:leader="none" w:pos="1299"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FLR Reliant Account Process and Limitation</w:t>
      </w:r>
      <w:r>
        <w:rPr>
          <w:rFonts w:ascii="Arial" w:cs="Arial" w:eastAsia="Arial" w:hAnsi="Arial"/>
          <w:sz w:val="18"/>
          <w:szCs w:val="18"/>
          <w:color w:val="auto"/>
        </w:rPr>
        <w:t>. If so requested, or on its own initiative, Red Iron shall, in consultation with Seller or Seller’s affiliates, review whether a Dealer or Distributor which does not meet the criteria set by the credit and operational policies of Red Iron, should be designated as an FLR Reliant Account. Subject to such Dealer and Distributor satisfying other applicable requirements for eligibility for financing hereunder, if so requested by Seller 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8" w:right="320" w:firstLine="8"/>
        <w:spacing w:after="0" w:line="277" w:lineRule="auto"/>
        <w:tabs>
          <w:tab w:leader="none" w:pos="4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25" w:right="239" w:bottom="302" w:gutter="0" w:footer="0" w:header="0"/>
        </w:sectPr>
      </w:pPr>
    </w:p>
    <w:bookmarkStart w:id="13" w:name="page14"/>
    <w:bookmarkEnd w:id="13"/>
    <w:p>
      <w:pPr>
        <w:spacing w:after="0" w:line="52" w:lineRule="exact"/>
        <w:rPr>
          <w:sz w:val="20"/>
          <w:szCs w:val="20"/>
          <w:color w:val="auto"/>
        </w:rPr>
      </w:pPr>
    </w:p>
    <w:p>
      <w:pPr>
        <w:ind w:left="1300"/>
        <w:spacing w:after="0" w:line="264" w:lineRule="auto"/>
        <w:rPr>
          <w:sz w:val="20"/>
          <w:szCs w:val="20"/>
          <w:color w:val="auto"/>
        </w:rPr>
      </w:pPr>
      <w:r>
        <w:rPr>
          <w:rFonts w:ascii="Arial" w:cs="Arial" w:eastAsia="Arial" w:hAnsi="Arial"/>
          <w:sz w:val="18"/>
          <w:szCs w:val="18"/>
          <w:color w:val="auto"/>
        </w:rPr>
        <w:t>affiliate of Seller, Red Iron shall designate such Dealer or Distributor as an FLR Reliant Account unless Red Iron determines such designation would result in an FLR Reliant Accounts Limitation, in which case Red Iron shall not designate such Dealer or Distributor as an FLR Reliant Account.</w:t>
      </w:r>
    </w:p>
    <w:p>
      <w:pPr>
        <w:spacing w:after="0" w:line="181" w:lineRule="exact"/>
        <w:rPr>
          <w:sz w:val="20"/>
          <w:szCs w:val="20"/>
          <w:color w:val="auto"/>
        </w:rPr>
      </w:pPr>
    </w:p>
    <w:p>
      <w:pPr>
        <w:ind w:left="1300" w:right="60" w:hanging="644"/>
        <w:spacing w:after="0" w:line="277" w:lineRule="auto"/>
        <w:tabs>
          <w:tab w:leader="none" w:pos="131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Beginning with Program Year 2016, and each Program Year thereafter, Red Iron shall [***]. Seller has no obligation to pay Red Iron the amount of any such Loss or any negative balance in the FLR Account.</w:t>
      </w:r>
    </w:p>
    <w:p>
      <w:pPr>
        <w:spacing w:after="0" w:line="170" w:lineRule="exact"/>
        <w:rPr>
          <w:rFonts w:ascii="Arial" w:cs="Arial" w:eastAsia="Arial" w:hAnsi="Arial"/>
          <w:sz w:val="18"/>
          <w:szCs w:val="18"/>
          <w:color w:val="auto"/>
        </w:rPr>
      </w:pPr>
    </w:p>
    <w:p>
      <w:pPr>
        <w:ind w:left="1300" w:right="240" w:hanging="644"/>
        <w:spacing w:after="0" w:line="259" w:lineRule="auto"/>
        <w:tabs>
          <w:tab w:leader="none" w:pos="1307"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 If the amount in the FLR Account is [***] beginning with Program Year 2016, then within 60 days after the end of such Program Year, Red Iron shall pay Seller [***]; </w:t>
      </w:r>
      <w:r>
        <w:rPr>
          <w:rFonts w:ascii="Arial" w:cs="Arial" w:eastAsia="Arial" w:hAnsi="Arial"/>
          <w:sz w:val="18"/>
          <w:szCs w:val="18"/>
          <w:b w:val="1"/>
          <w:bCs w:val="1"/>
          <w:color w:val="auto"/>
        </w:rPr>
        <w:t>provided</w:t>
      </w:r>
      <w:r>
        <w:rPr>
          <w:rFonts w:ascii="Arial" w:cs="Arial" w:eastAsia="Arial" w:hAnsi="Arial"/>
          <w:sz w:val="18"/>
          <w:szCs w:val="18"/>
          <w:color w:val="auto"/>
        </w:rPr>
        <w:t>: (i) Seller (or, as applicable, one of its affiliates) is not in default to Red Iron under this Agreement or any other agreement between Seller and Red Iron, (ii) this Agreement is not terminated, and (iii) Red Iron has not received notice from Seller of intent to terminate the Agreement.</w:t>
      </w:r>
    </w:p>
    <w:p>
      <w:pPr>
        <w:spacing w:after="0" w:line="186" w:lineRule="exact"/>
        <w:rPr>
          <w:rFonts w:ascii="Arial" w:cs="Arial" w:eastAsia="Arial" w:hAnsi="Arial"/>
          <w:sz w:val="18"/>
          <w:szCs w:val="18"/>
          <w:color w:val="auto"/>
        </w:rPr>
      </w:pPr>
    </w:p>
    <w:p>
      <w:pPr>
        <w:ind w:left="1300" w:right="60" w:hanging="644"/>
        <w:spacing w:after="0" w:line="264" w:lineRule="auto"/>
        <w:tabs>
          <w:tab w:leader="none" w:pos="131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At the end of the term of this Agreement, [***] and if all of Seller’s liabilities and obligations to Red Iron under this Agreement and any other agreement between Seller (or one of its affiliates) and Red Iron have been paid in full and have been fully performed, then Red Iron shall pay Seller [***].</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0" w:hanging="644"/>
        <w:spacing w:after="0" w:line="259"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Authorization; Assignment</w:t>
      </w:r>
      <w:r>
        <w:rPr>
          <w:rFonts w:ascii="Arial" w:cs="Arial" w:eastAsia="Arial" w:hAnsi="Arial"/>
          <w:sz w:val="18"/>
          <w:szCs w:val="18"/>
          <w:color w:val="auto"/>
        </w:rPr>
        <w:t>. This Agreement has been duly authorized and executed by Seller and Red Iron and shall be binding upon and inure to the benefit of the parties hereto and their respective successors or assigns, subject to the limitations of this Section. Neither party may assign this Agreement without the prior written consent of the other (which consent shall not be unreasonably withheld), unless such assignment is to a successor-in-interest to the assigning party.</w:t>
      </w:r>
    </w:p>
    <w:p>
      <w:pPr>
        <w:spacing w:after="0" w:line="186" w:lineRule="exact"/>
        <w:rPr>
          <w:rFonts w:ascii="Arial" w:cs="Arial" w:eastAsia="Arial" w:hAnsi="Arial"/>
          <w:sz w:val="18"/>
          <w:szCs w:val="18"/>
          <w:color w:val="auto"/>
        </w:rPr>
      </w:pPr>
    </w:p>
    <w:p>
      <w:pPr>
        <w:ind w:left="1300" w:right="20" w:hanging="644"/>
        <w:spacing w:after="0" w:line="291" w:lineRule="auto"/>
        <w:tabs>
          <w:tab w:leader="none" w:pos="1307"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 No Partnership</w:t>
      </w:r>
      <w:r>
        <w:rPr>
          <w:rFonts w:ascii="Arial" w:cs="Arial" w:eastAsia="Arial" w:hAnsi="Arial"/>
          <w:sz w:val="16"/>
          <w:szCs w:val="16"/>
          <w:color w:val="auto"/>
        </w:rPr>
        <w:t>. This Agreement constitutes the entire agreement between the parties and contains all of the agreements between the parties with respect to the subject matter hereof. This Agreement supersedes any and all other agreements, either oral or written, between the parties hereto with respect to the subject matter hereof. No amendment or modification of this Agreement shall be valid unless the same shall be in writing and signed by the parties hereto. Notwithstanding the foregoing, the parties acknowledge that there may be other agreements between them from time to time covering related matters such as financing program terms, Seller sponsored rate programs or electronic invoice transmission which shall continue in full force and effect. This Agreement shall not be deemed to create, or intend, a joint venture, partnership, agency or other similar relationship between Seller and Red Iron.</w:t>
      </w:r>
    </w:p>
    <w:p>
      <w:pPr>
        <w:spacing w:after="0" w:line="167" w:lineRule="exact"/>
        <w:rPr>
          <w:rFonts w:ascii="Arial" w:cs="Arial" w:eastAsia="Arial" w:hAnsi="Arial"/>
          <w:sz w:val="16"/>
          <w:szCs w:val="16"/>
          <w:color w:val="auto"/>
        </w:rPr>
      </w:pPr>
    </w:p>
    <w:p>
      <w:pPr>
        <w:ind w:left="1300" w:right="220" w:hanging="644"/>
        <w:spacing w:after="0" w:line="264" w:lineRule="auto"/>
        <w:tabs>
          <w:tab w:leader="none" w:pos="131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and all other communication provided for herein shall be in writing and shall be deemed to have been given to a party at the earlier of (i) when personally delivered or (ii) one business day after deposit with a national overnight courier service; in each case addressed as follows:</w:t>
      </w:r>
    </w:p>
    <w:p>
      <w:pPr>
        <w:sectPr>
          <w:pgSz w:w="11900" w:h="16891" w:orient="portrait"/>
          <w:cols w:equalWidth="0" w:num="1">
            <w:col w:w="11420"/>
          </w:cols>
          <w:pgMar w:left="240" w:top="125" w:right="239" w:bottom="0" w:gutter="0" w:footer="0" w:header="0"/>
        </w:sectPr>
      </w:pP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to Red Iron: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Red Iron Acceptance,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Attention: Director of Operations</w:t>
      </w:r>
    </w:p>
    <w:p>
      <w:pPr>
        <w:spacing w:after="0" w:line="200" w:lineRule="exact"/>
        <w:rPr>
          <w:sz w:val="20"/>
          <w:szCs w:val="20"/>
          <w:color w:val="auto"/>
        </w:rPr>
      </w:pPr>
    </w:p>
    <w:p>
      <w:pPr>
        <w:sectPr>
          <w:pgSz w:w="11900" w:h="16891" w:orient="portrait"/>
          <w:cols w:equalWidth="0" w:num="2">
            <w:col w:w="2500" w:space="720"/>
            <w:col w:w="8200"/>
          </w:cols>
          <w:pgMar w:left="240" w:top="125" w:right="239" w:bottom="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00" w:lineRule="exact"/>
        <w:rPr>
          <w:sz w:val="20"/>
          <w:szCs w:val="20"/>
          <w:color w:val="auto"/>
        </w:rPr>
      </w:pPr>
    </w:p>
    <w:p>
      <w:pPr>
        <w:sectPr>
          <w:pgSz w:w="11900" w:h="16891" w:orient="portrait"/>
          <w:cols w:equalWidth="0" w:num="2">
            <w:col w:w="2520" w:space="720"/>
            <w:col w:w="8180"/>
          </w:cols>
          <w:pgMar w:left="240" w:top="125" w:right="239" w:bottom="0" w:gutter="0" w:footer="0" w:header="0"/>
          <w:type w:val="continuous"/>
        </w:sectPr>
      </w:pPr>
    </w:p>
    <w:p>
      <w:pPr>
        <w:spacing w:after="0" w:line="240" w:lineRule="exact"/>
        <w:rPr>
          <w:sz w:val="20"/>
          <w:szCs w:val="20"/>
          <w:color w:val="auto"/>
        </w:rPr>
      </w:pPr>
    </w:p>
    <w:p>
      <w:pPr>
        <w:ind w:right="320" w:firstLine="8"/>
        <w:spacing w:after="0" w:line="277" w:lineRule="auto"/>
        <w:tabs>
          <w:tab w:leader="none" w:pos="4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portions of this exhibit that have been omitted and filed separately with the Securities and Exchange Commission pursuant to a request for confidential treatment.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60"/>
        <w:spacing w:after="0" w:line="277" w:lineRule="auto"/>
        <w:rPr>
          <w:sz w:val="20"/>
          <w:szCs w:val="20"/>
          <w:color w:val="auto"/>
        </w:rPr>
      </w:pPr>
      <w:r>
        <w:rPr>
          <w:rFonts w:ascii="Arial" w:cs="Arial" w:eastAsia="Arial" w:hAnsi="Arial"/>
          <w:sz w:val="18"/>
          <w:szCs w:val="18"/>
          <w:color w:val="auto"/>
        </w:rPr>
        <w:t>or to such other address as either party hereto may have furnished to the other party hereto in writing in accordance herewith, expect that notices of change of address shall be effective only upon receipt.</w:t>
      </w:r>
    </w:p>
    <w:p>
      <w:pPr>
        <w:spacing w:after="0" w:line="170" w:lineRule="exact"/>
        <w:rPr>
          <w:sz w:val="20"/>
          <w:szCs w:val="20"/>
          <w:color w:val="auto"/>
        </w:rPr>
      </w:pPr>
    </w:p>
    <w:p>
      <w:pPr>
        <w:ind w:left="1300" w:right="420" w:hanging="644"/>
        <w:spacing w:after="0" w:line="277" w:lineRule="auto"/>
        <w:tabs>
          <w:tab w:leader="none" w:pos="130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subject to and governed by the laws of the state of Illinois, without regard to conflicts of law principles.</w:t>
      </w:r>
    </w:p>
    <w:p>
      <w:pPr>
        <w:spacing w:after="0" w:line="170" w:lineRule="exact"/>
        <w:rPr>
          <w:rFonts w:ascii="Arial" w:cs="Arial" w:eastAsia="Arial" w:hAnsi="Arial"/>
          <w:sz w:val="18"/>
          <w:szCs w:val="18"/>
          <w:color w:val="auto"/>
        </w:rPr>
      </w:pPr>
    </w:p>
    <w:p>
      <w:pPr>
        <w:ind w:left="1300" w:hanging="644"/>
        <w:spacing w:after="0" w:line="264" w:lineRule="auto"/>
        <w:tabs>
          <w:tab w:leader="none" w:pos="131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respective acts and obligations of the parties under this Agreement shall be performed solely by said parties provided, however, if any act or obligation hereunder is performed by any party’s subsidiary, affiliate or agent, then such performance shall be deemed to be the act or obligation of Seller or Red Iron, as applicable.</w:t>
      </w:r>
    </w:p>
    <w:p>
      <w:pPr>
        <w:spacing w:after="0" w:line="181" w:lineRule="exact"/>
        <w:rPr>
          <w:rFonts w:ascii="Arial" w:cs="Arial" w:eastAsia="Arial" w:hAnsi="Arial"/>
          <w:sz w:val="18"/>
          <w:szCs w:val="18"/>
          <w:color w:val="auto"/>
        </w:rPr>
      </w:pPr>
    </w:p>
    <w:p>
      <w:pPr>
        <w:ind w:left="1300" w:right="220" w:hanging="644"/>
        <w:spacing w:after="0" w:line="277" w:lineRule="auto"/>
        <w:tabs>
          <w:tab w:leader="none" w:pos="130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Seller agrees to pay all reasonable out of pocket costs and expenses, including attorneys’ fees, actually incurred by Red Iron in enforcing any of the provisions of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SELLER AND RED IRON, TO THE FULLEST EXTENT PERMITTED BY APPLICABLE LAW,</w:t>
      </w:r>
    </w:p>
    <w:p>
      <w:pPr>
        <w:spacing w:after="0" w:line="23" w:lineRule="exact"/>
        <w:rPr>
          <w:rFonts w:ascii="Arial" w:cs="Arial" w:eastAsia="Arial" w:hAnsi="Arial"/>
          <w:sz w:val="18"/>
          <w:szCs w:val="18"/>
          <w:color w:val="auto"/>
        </w:rPr>
      </w:pPr>
    </w:p>
    <w:p>
      <w:pPr>
        <w:ind w:left="1300" w:right="160"/>
        <w:spacing w:after="0" w:line="254" w:lineRule="auto"/>
        <w:rPr>
          <w:rFonts w:ascii="Arial" w:cs="Arial" w:eastAsia="Arial" w:hAnsi="Arial"/>
          <w:sz w:val="18"/>
          <w:szCs w:val="18"/>
          <w:color w:val="auto"/>
        </w:rPr>
      </w:pPr>
      <w:r>
        <w:rPr>
          <w:rFonts w:ascii="Arial" w:cs="Arial" w:eastAsia="Arial" w:hAnsi="Arial"/>
          <w:sz w:val="18"/>
          <w:szCs w:val="18"/>
          <w:color w:val="auto"/>
        </w:rPr>
        <w:t>HEREBY KNOWINGLY, VOLUNTARILY AND IRREVOCABLY WAIVES ALL RIGHT TO TRIAL BY JURY AS TO ANY ISSUE RELATING TO THIS AGREEMENT IN ANY ACTION, PROCEEDING, OR COUNTERCLAIM ARISING OUT OF OR RELATING TO THIS AGREEMENT OR THE TRANSACTIONS CONTEMPLATED HEREBY. THIS WAIVER IS A MATERIAL INDUCEMENT FOR OUR ENTERING INTO THIS AGREEMENT.</w:t>
      </w:r>
    </w:p>
    <w:p>
      <w:pPr>
        <w:spacing w:after="0" w:line="189" w:lineRule="exact"/>
        <w:rPr>
          <w:rFonts w:ascii="Arial" w:cs="Arial" w:eastAsia="Arial" w:hAnsi="Arial"/>
          <w:sz w:val="18"/>
          <w:szCs w:val="18"/>
          <w:color w:val="auto"/>
        </w:rPr>
      </w:pPr>
    </w:p>
    <w:p>
      <w:pPr>
        <w:ind w:left="1300" w:right="140" w:hanging="644"/>
        <w:spacing w:after="0" w:line="302" w:lineRule="auto"/>
        <w:tabs>
          <w:tab w:leader="none" w:pos="130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Each of Seller and Red Iron hereby irrevocably submits to the non-exclusive jurisdiction of the Federal courts and the courts of the state of Minnesota sitting in Minneapolis or St. Paul, Minnesota or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w:t>
      </w:r>
    </w:p>
    <w:p>
      <w:pPr>
        <w:sectPr>
          <w:pgSz w:w="11900" w:h="16891" w:orient="portrait"/>
          <w:cols w:equalWidth="0" w:num="1">
            <w:col w:w="11420"/>
          </w:cols>
          <w:pgMar w:left="240" w:top="125" w:right="239" w:bottom="0" w:gutter="0" w:footer="0" w:header="0"/>
          <w:type w:val="continuous"/>
        </w:sectPr>
      </w:pPr>
    </w:p>
    <w:bookmarkStart w:id="14" w:name="page15"/>
    <w:bookmarkEnd w:id="14"/>
    <w:p>
      <w:pPr>
        <w:ind w:left="1300" w:right="60"/>
        <w:spacing w:after="0" w:line="257" w:lineRule="auto"/>
        <w:rPr>
          <w:sz w:val="20"/>
          <w:szCs w:val="20"/>
          <w:color w:val="auto"/>
        </w:rPr>
      </w:pPr>
      <w:r>
        <w:rPr>
          <w:rFonts w:ascii="Arial" w:cs="Arial" w:eastAsia="Arial" w:hAnsi="Arial"/>
          <w:sz w:val="18"/>
          <w:szCs w:val="18"/>
          <w:color w:val="auto"/>
        </w:rPr>
        <w:t xml:space="preserve">transactions contemplated hereby or any matters related thereto. Each party hereto irrevocably waives any objection (including any objection to the laying of venue or any objection on the grounds of forum non conveniens) which it may now or hereafter have to the bringing of any proceeding with respect to this Agreement to the courts set forth above. Each party hereto agrees to the personal jurisdiction of such courts and that service of process may be made on it at the address indicated in </w:t>
      </w:r>
      <w:r>
        <w:rPr>
          <w:rFonts w:ascii="Arial" w:cs="Arial" w:eastAsia="Arial" w:hAnsi="Arial"/>
          <w:sz w:val="18"/>
          <w:szCs w:val="18"/>
          <w:b w:val="1"/>
          <w:bCs w:val="1"/>
          <w:color w:val="auto"/>
        </w:rPr>
        <w:t>Section 10(c)</w:t>
      </w:r>
      <w:r>
        <w:rPr>
          <w:rFonts w:ascii="Arial" w:cs="Arial" w:eastAsia="Arial" w:hAnsi="Arial"/>
          <w:sz w:val="18"/>
          <w:szCs w:val="18"/>
          <w:color w:val="auto"/>
        </w:rPr>
        <w:t>. Nothing herein shall affect the right to serve process in any other manner permitted by law.</w:t>
      </w:r>
    </w:p>
    <w:p>
      <w:pPr>
        <w:spacing w:after="0" w:line="188" w:lineRule="exact"/>
        <w:rPr>
          <w:sz w:val="20"/>
          <w:szCs w:val="20"/>
          <w:color w:val="auto"/>
        </w:rPr>
      </w:pPr>
    </w:p>
    <w:p>
      <w:pPr>
        <w:ind w:left="1300" w:right="180" w:hanging="644"/>
        <w:spacing w:after="0" w:line="276" w:lineRule="auto"/>
        <w:tabs>
          <w:tab w:leader="none" w:pos="132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Limitation on Damages</w:t>
      </w:r>
      <w:r>
        <w:rPr>
          <w:rFonts w:ascii="Arial" w:cs="Arial" w:eastAsia="Arial" w:hAnsi="Arial"/>
          <w:sz w:val="17"/>
          <w:szCs w:val="17"/>
          <w:color w:val="auto"/>
        </w:rPr>
        <w:t>. NO PARTY TO THIS AGREEMENT SHALL BE RESPONSIBLE OR LIABLE TO ANY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172" w:lineRule="exact"/>
        <w:rPr>
          <w:rFonts w:ascii="Arial" w:cs="Arial" w:eastAsia="Arial" w:hAnsi="Arial"/>
          <w:sz w:val="17"/>
          <w:szCs w:val="17"/>
          <w:color w:val="auto"/>
        </w:rPr>
      </w:pPr>
    </w:p>
    <w:p>
      <w:pPr>
        <w:ind w:left="1300" w:right="420" w:hanging="644"/>
        <w:spacing w:after="0" w:line="264" w:lineRule="auto"/>
        <w:tabs>
          <w:tab w:leader="none" w:pos="130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or portions of this Agreement shall be, for any reason, invalid or unenforceable, the remaining portion or portions shall nevertheless be valid, enforceable and carried into effect, unless to do so would clearly violate the present legal and valid intention of the parties hereto.</w:t>
      </w:r>
    </w:p>
    <w:p>
      <w:pPr>
        <w:spacing w:after="0" w:line="181" w:lineRule="exact"/>
        <w:rPr>
          <w:rFonts w:ascii="Arial" w:cs="Arial" w:eastAsia="Arial" w:hAnsi="Arial"/>
          <w:sz w:val="18"/>
          <w:szCs w:val="18"/>
          <w:color w:val="auto"/>
        </w:rPr>
      </w:pPr>
    </w:p>
    <w:p>
      <w:pPr>
        <w:ind w:left="1300" w:right="60" w:hanging="644"/>
        <w:spacing w:after="0" w:line="264" w:lineRule="auto"/>
        <w:tabs>
          <w:tab w:leader="none" w:pos="130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agreement. This Agreement may be executed by facsimile signature or electronic transmission, as directed by Red Iron.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644"/>
        <w:spacing w:after="0" w:line="272" w:lineRule="auto"/>
        <w:tabs>
          <w:tab w:leader="none" w:pos="1321"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Headings; Interpretation</w:t>
      </w:r>
      <w:r>
        <w:rPr>
          <w:rFonts w:ascii="Arial" w:cs="Arial" w:eastAsia="Arial" w:hAnsi="Arial"/>
          <w:sz w:val="17"/>
          <w:szCs w:val="17"/>
          <w:color w:val="auto"/>
        </w:rPr>
        <w:t>. 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(i) the words “hereof,” “herein” and “hereunder” and words of similar import shall refer to this Agreement as a whole and not to any particular provision of this Agreement; (ii) the words “include” and “including” and words of similar import shall not be construed to be limiting or exclusive and (iii) the word “or” shall have the meaning represented by the phrase “and/or.” Any calculation involving a Program Year will be appropriately pro-rated for any partial Program Year during the term of this Agreement. Except as otherwise specified in this Agreement, all dollar amounts are in United States dollars.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executed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The Toro Company</w:t>
            </w:r>
          </w:p>
        </w:tc>
        <w:tc>
          <w:tcPr>
            <w:tcW w:w="5940" w:type="dxa"/>
            <w:vAlign w:val="bottom"/>
            <w:gridSpan w:val="3"/>
          </w:tcPr>
          <w:p>
            <w:pPr>
              <w:ind w:left="660"/>
              <w:spacing w:after="0"/>
              <w:rPr>
                <w:sz w:val="20"/>
                <w:szCs w:val="20"/>
                <w:color w:val="auto"/>
              </w:rPr>
            </w:pPr>
            <w:r>
              <w:rPr>
                <w:rFonts w:ascii="Arial" w:cs="Arial" w:eastAsia="Arial" w:hAnsi="Arial"/>
                <w:sz w:val="18"/>
                <w:szCs w:val="18"/>
                <w:b w:val="1"/>
                <w:bCs w:val="1"/>
                <w:color w:val="auto"/>
              </w:rPr>
              <w:t>Red Iron Acceptance, LLC</w:t>
            </w: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Seller</w:t>
            </w:r>
          </w:p>
        </w:tc>
        <w:tc>
          <w:tcPr>
            <w:tcW w:w="180" w:type="dxa"/>
            <w:vAlign w:val="bottom"/>
            <w:tcBorders>
              <w:top w:val="single" w:sz="8" w:color="auto"/>
            </w:tcBorders>
          </w:tcPr>
          <w:p>
            <w:pPr>
              <w:spacing w:after="0"/>
              <w:rPr>
                <w:sz w:val="19"/>
                <w:szCs w:val="19"/>
                <w:color w:val="auto"/>
              </w:rPr>
            </w:pPr>
          </w:p>
        </w:tc>
        <w:tc>
          <w:tcPr>
            <w:tcW w:w="42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1060" w:type="dxa"/>
            <w:vAlign w:val="bottom"/>
            <w:gridSpan w:val="2"/>
          </w:tcPr>
          <w:p>
            <w:pPr>
              <w:spacing w:after="0"/>
              <w:rPr>
                <w:sz w:val="20"/>
                <w:szCs w:val="20"/>
                <w:color w:val="auto"/>
              </w:rPr>
            </w:pPr>
            <w:r>
              <w:rPr>
                <w:rFonts w:ascii="Arial" w:cs="Arial" w:eastAsia="Arial" w:hAnsi="Arial"/>
                <w:sz w:val="18"/>
                <w:szCs w:val="18"/>
                <w:color w:val="auto"/>
              </w:rPr>
              <w:t>By:</w:t>
            </w: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/s/ Renee J. Peterson</w:t>
            </w:r>
          </w:p>
        </w:tc>
        <w:tc>
          <w:tcPr>
            <w:tcW w:w="188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/s/ Mark J. Wrend</w:t>
            </w:r>
          </w:p>
        </w:tc>
        <w:tc>
          <w:tcPr>
            <w:tcW w:w="40" w:type="dxa"/>
            <w:vAlign w:val="bottom"/>
          </w:tcPr>
          <w:p>
            <w:pPr>
              <w:spacing w:after="0"/>
              <w:rPr>
                <w:sz w:val="24"/>
                <w:szCs w:val="24"/>
                <w:color w:val="auto"/>
              </w:rPr>
            </w:pPr>
          </w:p>
        </w:tc>
      </w:tr>
      <w:tr>
        <w:trPr>
          <w:trHeight w:val="195"/>
        </w:trPr>
        <w:tc>
          <w:tcPr>
            <w:tcW w:w="1060" w:type="dxa"/>
            <w:vAlign w:val="bottom"/>
            <w:gridSpan w:val="2"/>
          </w:tcPr>
          <w:p>
            <w:pPr>
              <w:spacing w:after="0" w:line="195" w:lineRule="exact"/>
              <w:rPr>
                <w:sz w:val="20"/>
                <w:szCs w:val="20"/>
                <w:color w:val="auto"/>
              </w:rPr>
            </w:pPr>
            <w:r>
              <w:rPr>
                <w:rFonts w:ascii="Arial" w:cs="Arial" w:eastAsia="Arial" w:hAnsi="Arial"/>
                <w:sz w:val="18"/>
                <w:szCs w:val="18"/>
                <w:color w:val="auto"/>
              </w:rPr>
              <w:t>Print Name:</w:t>
            </w:r>
          </w:p>
        </w:tc>
        <w:tc>
          <w:tcPr>
            <w:tcW w:w="18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Renee J. Peterson</w:t>
            </w:r>
          </w:p>
        </w:tc>
        <w:tc>
          <w:tcPr>
            <w:tcW w:w="1880" w:type="dxa"/>
            <w:vAlign w:val="bottom"/>
            <w:gridSpan w:val="2"/>
          </w:tcPr>
          <w:p>
            <w:pPr>
              <w:ind w:left="660"/>
              <w:spacing w:after="0" w:line="195" w:lineRule="exact"/>
              <w:rPr>
                <w:sz w:val="20"/>
                <w:szCs w:val="20"/>
                <w:color w:val="auto"/>
              </w:rPr>
            </w:pPr>
            <w:r>
              <w:rPr>
                <w:rFonts w:ascii="Arial" w:cs="Arial" w:eastAsia="Arial" w:hAnsi="Arial"/>
                <w:sz w:val="18"/>
                <w:szCs w:val="18"/>
                <w:color w:val="auto"/>
              </w:rPr>
              <w:t>Print Name:</w:t>
            </w: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J. Wrend</w:t>
            </w:r>
          </w:p>
        </w:tc>
        <w:tc>
          <w:tcPr>
            <w:tcW w:w="40" w:type="dxa"/>
            <w:vAlign w:val="bottom"/>
          </w:tcPr>
          <w:p>
            <w:pPr>
              <w:spacing w:after="0"/>
              <w:rPr>
                <w:sz w:val="16"/>
                <w:szCs w:val="16"/>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Vice President, Treasurer and</w:t>
            </w:r>
          </w:p>
        </w:tc>
        <w:tc>
          <w:tcPr>
            <w:tcW w:w="188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Manager</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AND SECURITY AGREEMENT</w:t>
      </w:r>
    </w:p>
    <w:p>
      <w:pPr>
        <w:spacing w:after="0" w:line="207"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THIS SECOND AMENDMENT TO CREDIT AND SECURITY AGREEMENT</w:t>
      </w:r>
      <w:r>
        <w:rPr>
          <w:rFonts w:ascii="Arial" w:cs="Arial" w:eastAsia="Arial" w:hAnsi="Arial"/>
          <w:sz w:val="18"/>
          <w:szCs w:val="18"/>
          <w:color w:val="auto"/>
        </w:rPr>
        <w:t>, dated as of November 29, 2016 (this “</w:t>
      </w:r>
      <w:r>
        <w:rPr>
          <w:rFonts w:ascii="Arial" w:cs="Arial" w:eastAsia="Arial" w:hAnsi="Arial"/>
          <w:sz w:val="18"/>
          <w:szCs w:val="18"/>
          <w:u w:val="single" w:color="auto"/>
          <w:color w:val="auto"/>
        </w:rPr>
        <w:t>Amendment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entered into by and between RED IRON ACCEPTANCE, LLC, a Delaware limited liability company (“</w:t>
      </w:r>
      <w:r>
        <w:rPr>
          <w:rFonts w:ascii="Arial" w:cs="Arial" w:eastAsia="Arial" w:hAnsi="Arial"/>
          <w:sz w:val="18"/>
          <w:szCs w:val="18"/>
          <w:u w:val="single" w:color="auto"/>
          <w:color w:val="auto"/>
        </w:rPr>
        <w:t>Borrower</w:t>
      </w:r>
      <w:r>
        <w:rPr>
          <w:rFonts w:ascii="Arial" w:cs="Arial" w:eastAsia="Arial" w:hAnsi="Arial"/>
          <w:sz w:val="18"/>
          <w:szCs w:val="18"/>
          <w:color w:val="auto"/>
        </w:rPr>
        <w:t>”), and TCF INVENTORY FINANCE, INC., a Minnesota corporation (“</w:t>
      </w:r>
      <w:r>
        <w:rPr>
          <w:rFonts w:ascii="Arial" w:cs="Arial" w:eastAsia="Arial" w:hAnsi="Arial"/>
          <w:sz w:val="18"/>
          <w:szCs w:val="18"/>
          <w:u w:val="single" w:color="auto"/>
          <w:color w:val="auto"/>
        </w:rPr>
        <w:t>Lender</w:t>
      </w:r>
      <w:r>
        <w:rPr>
          <w:rFonts w:ascii="Arial" w:cs="Arial" w:eastAsia="Arial" w:hAnsi="Arial"/>
          <w:sz w:val="18"/>
          <w:szCs w:val="18"/>
          <w:color w:val="auto"/>
        </w:rPr>
        <w:t>”). Capitalized terms used herein and not otherwise defined shall have the meanings ascribed thereto in the Credit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480" w:firstLine="656"/>
        <w:spacing w:after="0" w:line="277" w:lineRule="auto"/>
        <w:tabs>
          <w:tab w:leader="none" w:pos="13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Borrower and Lender are parties to that certain Credit and Security Agreement, dated as of August 12, 2009, as amended by the First Amendment to Credit and Security Agreement dated as of June 6, 2012 (as so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parties hereto have agreed to amend the Credit Agreement as provided herein.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1380" w:hanging="724"/>
        <w:spacing w:after="0"/>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Extension of Maturity Date</w:t>
      </w:r>
      <w:r>
        <w:rPr>
          <w:rFonts w:ascii="Arial" w:cs="Arial" w:eastAsia="Arial" w:hAnsi="Arial"/>
          <w:sz w:val="16"/>
          <w:szCs w:val="16"/>
          <w:color w:val="auto"/>
        </w:rPr>
        <w:t>. The first sentence of Section 2.01(a) of the Credit Agreement is amended and restated in its entirety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to read as follows:</w:t>
      </w:r>
    </w:p>
    <w:p>
      <w:pPr>
        <w:spacing w:after="0" w:line="211" w:lineRule="exact"/>
        <w:rPr>
          <w:sz w:val="20"/>
          <w:szCs w:val="20"/>
          <w:color w:val="auto"/>
        </w:rPr>
      </w:pPr>
    </w:p>
    <w:p>
      <w:pPr>
        <w:ind w:left="1960" w:right="40"/>
        <w:spacing w:after="0" w:line="276" w:lineRule="auto"/>
        <w:rPr>
          <w:sz w:val="20"/>
          <w:szCs w:val="20"/>
          <w:color w:val="auto"/>
        </w:rPr>
      </w:pPr>
      <w:r>
        <w:rPr>
          <w:rFonts w:ascii="Arial" w:cs="Arial" w:eastAsia="Arial" w:hAnsi="Arial"/>
          <w:sz w:val="17"/>
          <w:szCs w:val="17"/>
          <w:i w:val="1"/>
          <w:iCs w:val="1"/>
          <w:color w:val="auto"/>
        </w:rPr>
        <w:t xml:space="preserve">“(a) </w:t>
      </w:r>
      <w:r>
        <w:rPr>
          <w:rFonts w:ascii="Arial" w:cs="Arial" w:eastAsia="Arial" w:hAnsi="Arial"/>
          <w:sz w:val="17"/>
          <w:szCs w:val="17"/>
          <w:i w:val="1"/>
          <w:iCs w:val="1"/>
          <w:u w:val="single" w:color="auto"/>
          <w:color w:val="auto"/>
        </w:rPr>
        <w:t>Revolving Loan Availability</w:t>
      </w:r>
      <w:r>
        <w:rPr>
          <w:rFonts w:ascii="Arial" w:cs="Arial" w:eastAsia="Arial" w:hAnsi="Arial"/>
          <w:sz w:val="17"/>
          <w:szCs w:val="17"/>
          <w:i w:val="1"/>
          <w:iCs w:val="1"/>
          <w:color w:val="auto"/>
        </w:rPr>
        <w:t>. Subject to the terms and conditions of this Agreement, Lender agrees to advance to Borrower from time to time during the period beginning on the Closing Date and ending on October 31, 2024, or such earlier date on which the LLC Term shall end (such date or such earlier date, if applicable, the “</w:t>
      </w:r>
      <w:r>
        <w:rPr>
          <w:rFonts w:ascii="Arial" w:cs="Arial" w:eastAsia="Arial" w:hAnsi="Arial"/>
          <w:sz w:val="17"/>
          <w:szCs w:val="17"/>
          <w:i w:val="1"/>
          <w:iCs w:val="1"/>
          <w:u w:val="single" w:color="auto"/>
          <w:color w:val="auto"/>
        </w:rPr>
        <w:t>Revolving Loan Maturity Date</w:t>
      </w:r>
      <w:r>
        <w:rPr>
          <w:rFonts w:ascii="Arial" w:cs="Arial" w:eastAsia="Arial" w:hAnsi="Arial"/>
          <w:sz w:val="17"/>
          <w:szCs w:val="17"/>
          <w:i w:val="1"/>
          <w:iCs w:val="1"/>
          <w:color w:val="auto"/>
        </w:rPr>
        <w:t xml:space="preserve">”), such loans as Borrower may request under this </w:t>
      </w:r>
      <w:r>
        <w:rPr>
          <w:rFonts w:ascii="Arial" w:cs="Arial" w:eastAsia="Arial" w:hAnsi="Arial"/>
          <w:sz w:val="17"/>
          <w:szCs w:val="17"/>
          <w:i w:val="1"/>
          <w:iCs w:val="1"/>
          <w:u w:val="single" w:color="auto"/>
          <w:color w:val="auto"/>
        </w:rPr>
        <w:t>Section 2.01</w:t>
      </w:r>
      <w:r>
        <w:rPr>
          <w:rFonts w:ascii="Arial" w:cs="Arial" w:eastAsia="Arial" w:hAnsi="Arial"/>
          <w:sz w:val="17"/>
          <w:szCs w:val="17"/>
          <w:i w:val="1"/>
          <w:iCs w:val="1"/>
          <w:color w:val="auto"/>
        </w:rPr>
        <w:t xml:space="preserve"> (individually, a “</w:t>
      </w:r>
      <w:r>
        <w:rPr>
          <w:rFonts w:ascii="Arial" w:cs="Arial" w:eastAsia="Arial" w:hAnsi="Arial"/>
          <w:sz w:val="17"/>
          <w:szCs w:val="17"/>
          <w:i w:val="1"/>
          <w:iCs w:val="1"/>
          <w:u w:val="single" w:color="auto"/>
          <w:color w:val="auto"/>
        </w:rPr>
        <w:t>Revolving Loan</w:t>
      </w:r>
      <w:r>
        <w:rPr>
          <w:rFonts w:ascii="Arial" w:cs="Arial" w:eastAsia="Arial" w:hAnsi="Arial"/>
          <w:sz w:val="17"/>
          <w:szCs w:val="17"/>
          <w:i w:val="1"/>
          <w:iCs w:val="1"/>
          <w:color w:val="auto"/>
        </w:rPr>
        <w:t>”); provided, however, that the aggregate principal amount of all Revolving Loans outstanding at any time shall not exceed the Commitment at such time.”</w:t>
      </w:r>
    </w:p>
    <w:p>
      <w:pPr>
        <w:spacing w:after="0" w:line="173" w:lineRule="exact"/>
        <w:rPr>
          <w:sz w:val="20"/>
          <w:szCs w:val="20"/>
          <w:color w:val="auto"/>
        </w:rPr>
      </w:pPr>
    </w:p>
    <w:p>
      <w:pPr>
        <w:ind w:left="2000" w:hanging="695"/>
        <w:spacing w:after="0"/>
        <w:tabs>
          <w:tab w:leader="none" w:pos="200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Revolving Loan Borrowings</w:t>
      </w:r>
      <w:r>
        <w:rPr>
          <w:rFonts w:ascii="Arial" w:cs="Arial" w:eastAsia="Arial" w:hAnsi="Arial"/>
          <w:sz w:val="16"/>
          <w:szCs w:val="16"/>
          <w:color w:val="auto"/>
        </w:rPr>
        <w:t>. The first sentence of Section 2.01(b) of the Credit Agreement is amended and restated in its entirety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right="60"/>
        <w:spacing w:after="0" w:line="312" w:lineRule="auto"/>
        <w:rPr>
          <w:sz w:val="20"/>
          <w:szCs w:val="20"/>
          <w:color w:val="auto"/>
        </w:rPr>
      </w:pPr>
      <w:r>
        <w:rPr>
          <w:rFonts w:ascii="Arial" w:cs="Arial" w:eastAsia="Arial" w:hAnsi="Arial"/>
          <w:sz w:val="16"/>
          <w:szCs w:val="16"/>
          <w:i w:val="1"/>
          <w:iCs w:val="1"/>
          <w:color w:val="auto"/>
        </w:rPr>
        <w:t>“Borrower shall request each Revolving Loan by having a representative of Borrower request in writing (or by such other means as Lender and Borrower shall agree) to Lender a Revolving Loan, which request shall specify the principal amount of the requested Revolving Loan and the date of the requested Revolving Loan, which shall be a Business Day (any such request, a “Revolving Loan Borrowing Request”).”</w:t>
      </w:r>
    </w:p>
    <w:p>
      <w:pPr>
        <w:spacing w:after="0" w:line="147" w:lineRule="exact"/>
        <w:rPr>
          <w:sz w:val="20"/>
          <w:szCs w:val="20"/>
          <w:color w:val="auto"/>
        </w:rPr>
      </w:pPr>
    </w:p>
    <w:p>
      <w:pPr>
        <w:ind w:left="2000" w:hanging="695"/>
        <w:spacing w:after="0"/>
        <w:tabs>
          <w:tab w:leader="none" w:pos="20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Change in Commitment</w:t>
      </w:r>
      <w:r>
        <w:rPr>
          <w:rFonts w:ascii="Arial" w:cs="Arial" w:eastAsia="Arial" w:hAnsi="Arial"/>
          <w:sz w:val="18"/>
          <w:szCs w:val="18"/>
          <w:color w:val="auto"/>
        </w:rPr>
        <w:t>. The reference to “</w:t>
      </w:r>
      <w:r>
        <w:rPr>
          <w:rFonts w:ascii="Arial" w:cs="Arial" w:eastAsia="Arial" w:hAnsi="Arial"/>
          <w:sz w:val="18"/>
          <w:szCs w:val="18"/>
          <w:i w:val="1"/>
          <w:iCs w:val="1"/>
          <w:color w:val="auto"/>
        </w:rPr>
        <w:t>$450,000,000</w:t>
      </w:r>
      <w:r>
        <w:rPr>
          <w:rFonts w:ascii="Arial" w:cs="Arial" w:eastAsia="Arial" w:hAnsi="Arial"/>
          <w:sz w:val="18"/>
          <w:szCs w:val="18"/>
          <w:color w:val="auto"/>
        </w:rPr>
        <w:t>” in Section 2.02(a) of the Credit Agreement is replaced with</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$550,000,000</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2000" w:hanging="695"/>
        <w:spacing w:after="0"/>
        <w:tabs>
          <w:tab w:leader="none" w:pos="20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Revolving Loan Note</w:t>
      </w:r>
      <w:r>
        <w:rPr>
          <w:rFonts w:ascii="Arial" w:cs="Arial" w:eastAsia="Arial" w:hAnsi="Arial"/>
          <w:sz w:val="18"/>
          <w:szCs w:val="18"/>
          <w:color w:val="auto"/>
        </w:rPr>
        <w:t>. Section 2.05(a) of the Credit Agreement is amended and restated in its entirety as follows:</w:t>
      </w:r>
    </w:p>
    <w:p>
      <w:pPr>
        <w:spacing w:after="0" w:line="225" w:lineRule="exact"/>
        <w:rPr>
          <w:sz w:val="20"/>
          <w:szCs w:val="20"/>
          <w:color w:val="auto"/>
        </w:rPr>
      </w:pPr>
    </w:p>
    <w:p>
      <w:pPr>
        <w:ind w:left="1300" w:right="100"/>
        <w:spacing w:after="0" w:line="272" w:lineRule="auto"/>
        <w:rPr>
          <w:sz w:val="20"/>
          <w:szCs w:val="20"/>
          <w:color w:val="auto"/>
        </w:rPr>
      </w:pPr>
      <w:r>
        <w:rPr>
          <w:rFonts w:ascii="Arial" w:cs="Arial" w:eastAsia="Arial" w:hAnsi="Arial"/>
          <w:sz w:val="17"/>
          <w:szCs w:val="17"/>
          <w:i w:val="1"/>
          <w:iCs w:val="1"/>
          <w:color w:val="auto"/>
        </w:rPr>
        <w:t xml:space="preserve">“(a) </w:t>
      </w:r>
      <w:r>
        <w:rPr>
          <w:rFonts w:ascii="Arial" w:cs="Arial" w:eastAsia="Arial" w:hAnsi="Arial"/>
          <w:sz w:val="17"/>
          <w:szCs w:val="17"/>
          <w:i w:val="1"/>
          <w:iCs w:val="1"/>
          <w:u w:val="single" w:color="auto"/>
          <w:color w:val="auto"/>
        </w:rPr>
        <w:t>Revolving Loan Note</w:t>
      </w:r>
      <w:r>
        <w:rPr>
          <w:rFonts w:ascii="Arial" w:cs="Arial" w:eastAsia="Arial" w:hAnsi="Arial"/>
          <w:sz w:val="17"/>
          <w:szCs w:val="17"/>
          <w:i w:val="1"/>
          <w:iCs w:val="1"/>
          <w:color w:val="auto"/>
        </w:rPr>
        <w:t>. The obligation of Borrower to repay the Revolving Loans and to pay interest thereon at the rates provided herein shall be evidenced by a promissory note in a form agreed to by Lender (the “</w:t>
      </w:r>
      <w:r>
        <w:rPr>
          <w:rFonts w:ascii="Arial" w:cs="Arial" w:eastAsia="Arial" w:hAnsi="Arial"/>
          <w:sz w:val="17"/>
          <w:szCs w:val="17"/>
          <w:i w:val="1"/>
          <w:iCs w:val="1"/>
          <w:u w:val="single" w:color="auto"/>
          <w:color w:val="auto"/>
        </w:rPr>
        <w:t>Revolving Loan Note</w:t>
      </w:r>
      <w:r>
        <w:rPr>
          <w:rFonts w:ascii="Arial" w:cs="Arial" w:eastAsia="Arial" w:hAnsi="Arial"/>
          <w:sz w:val="17"/>
          <w:szCs w:val="17"/>
          <w:i w:val="1"/>
          <w:iCs w:val="1"/>
          <w:color w:val="auto"/>
        </w:rPr>
        <w:t>”), which note shall be (i) in the original principal amount of $550,000,000, (ii) dated as of November 29, 2016 and (iii) otherwise appropriately completed. The Revolving Loan Note shall amend, restate, and replace in its entirety the original promissory note dated August 12, 2009 executed by the Borrower and payable to the order of the Lender in the original principal amount of $450,000,000 and is not intended to constitute a novation of the Borrower’s obligations thereunder. Lender shall record on its general ledger the date and amount of each Revolving Loan and of each payment or prepayment of principal and each payment of interest or other amounts thereon made by Borrower.”</w:t>
      </w:r>
    </w:p>
    <w:p>
      <w:pPr>
        <w:spacing w:after="0" w:line="178" w:lineRule="exact"/>
        <w:rPr>
          <w:sz w:val="20"/>
          <w:szCs w:val="20"/>
          <w:color w:val="auto"/>
        </w:rPr>
      </w:pPr>
    </w:p>
    <w:p>
      <w:pPr>
        <w:ind w:left="2000" w:hanging="695"/>
        <w:spacing w:after="0"/>
        <w:tabs>
          <w:tab w:leader="none" w:pos="20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Section 8.01 of the Credit Agreement is amended and restated in its entirety as follows:</w:t>
      </w:r>
    </w:p>
    <w:p>
      <w:pPr>
        <w:spacing w:after="0" w:line="225" w:lineRule="exact"/>
        <w:rPr>
          <w:sz w:val="20"/>
          <w:szCs w:val="20"/>
          <w:color w:val="auto"/>
        </w:rPr>
      </w:pPr>
    </w:p>
    <w:p>
      <w:pPr>
        <w:ind w:left="1300" w:right="200"/>
        <w:spacing w:after="0" w:line="259" w:lineRule="auto"/>
        <w:rPr>
          <w:sz w:val="20"/>
          <w:szCs w:val="20"/>
          <w:color w:val="auto"/>
        </w:rPr>
      </w:pPr>
      <w:r>
        <w:rPr>
          <w:rFonts w:ascii="Arial" w:cs="Arial" w:eastAsia="Arial" w:hAnsi="Arial"/>
          <w:sz w:val="18"/>
          <w:szCs w:val="18"/>
          <w:i w:val="1"/>
          <w:iCs w:val="1"/>
          <w:color w:val="auto"/>
        </w:rPr>
        <w:t xml:space="preserve">“8.01 </w:t>
      </w:r>
      <w:r>
        <w:rPr>
          <w:rFonts w:ascii="Arial" w:cs="Arial" w:eastAsia="Arial" w:hAnsi="Arial"/>
          <w:sz w:val="18"/>
          <w:szCs w:val="18"/>
          <w:i w:val="1"/>
          <w:iCs w:val="1"/>
          <w:u w:val="single" w:color="auto"/>
          <w:color w:val="auto"/>
        </w:rPr>
        <w:t>Notices</w:t>
      </w:r>
      <w:r>
        <w:rPr>
          <w:rFonts w:ascii="Arial" w:cs="Arial" w:eastAsia="Arial" w:hAnsi="Arial"/>
          <w:sz w:val="18"/>
          <w:szCs w:val="18"/>
          <w:i w:val="1"/>
          <w:iCs w:val="1"/>
          <w:color w:val="auto"/>
        </w:rPr>
        <w:t>. Except as otherwise provided herein, all notices, requests, demands, consents, instructions, or other communications to Lender or Borrower under this Agreement or the other Credit Documents shall be in writing and shall be deemed to have been given to a party at the earlier of (a) when personally delivered or (ii) one Business Day after deposit with a national overnight courier service; in each case addressed as follows:</w:t>
      </w:r>
    </w:p>
    <w:p>
      <w:pPr>
        <w:spacing w:after="0" w:line="187"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i w:val="1"/>
          <w:iCs w:val="1"/>
          <w:color w:val="auto"/>
        </w:rPr>
        <w:t>Lender:</w:t>
      </w:r>
      <w:r>
        <w:rPr>
          <w:sz w:val="20"/>
          <w:szCs w:val="20"/>
          <w:color w:val="auto"/>
        </w:rPr>
        <w:tab/>
      </w:r>
      <w:r>
        <w:rPr>
          <w:rFonts w:ascii="Arial" w:cs="Arial" w:eastAsia="Arial" w:hAnsi="Arial"/>
          <w:sz w:val="18"/>
          <w:szCs w:val="18"/>
          <w:i w:val="1"/>
          <w:iCs w:val="1"/>
          <w:color w:val="auto"/>
        </w:rPr>
        <w:t>TCF Inventory Finance,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1475 E. Woodfield Road, Suite 1100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Schaumburg, IL 60173</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Attention: Chief Legal Counsel</w:t>
      </w:r>
    </w:p>
    <w:p>
      <w:pPr>
        <w:spacing w:after="0" w:line="211"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i w:val="1"/>
          <w:iCs w:val="1"/>
          <w:color w:val="auto"/>
        </w:rPr>
        <w:t>with copies to:</w:t>
      </w:r>
      <w:r>
        <w:rPr>
          <w:sz w:val="20"/>
          <w:szCs w:val="20"/>
          <w:color w:val="auto"/>
        </w:rPr>
        <w:tab/>
      </w:r>
      <w:r>
        <w:rPr>
          <w:rFonts w:ascii="Arial" w:cs="Arial" w:eastAsia="Arial" w:hAnsi="Arial"/>
          <w:sz w:val="16"/>
          <w:szCs w:val="16"/>
          <w:i w:val="1"/>
          <w:iCs w:val="1"/>
          <w:color w:val="auto"/>
        </w:rPr>
        <w:t>TCF National Bank</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200 E. Lake Street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Wayzata, MN 55391</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Attention: General Counsel</w:t>
      </w:r>
    </w:p>
    <w:p>
      <w:pPr>
        <w:sectPr>
          <w:pgSz w:w="11900" w:h="16838" w:orient="portrait"/>
          <w:cols w:equalWidth="0" w:num="1">
            <w:col w:w="11420"/>
          </w:cols>
          <w:pgMar w:left="240" w:top="121"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6" w:name="page17"/>
    <w:bookmarkEnd w:id="16"/>
    <w:p>
      <w:pPr>
        <w:ind w:left="3240"/>
        <w:spacing w:after="0"/>
        <w:rPr>
          <w:sz w:val="20"/>
          <w:szCs w:val="20"/>
          <w:color w:val="auto"/>
        </w:rPr>
      </w:pPr>
      <w:r>
        <w:rPr>
          <w:rFonts w:ascii="Arial" w:cs="Arial" w:eastAsia="Arial" w:hAnsi="Arial"/>
          <w:sz w:val="18"/>
          <w:szCs w:val="18"/>
          <w:i w:val="1"/>
          <w:iCs w:val="1"/>
          <w:color w:val="auto"/>
        </w:rPr>
        <w:t>and</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6"/>
          <w:szCs w:val="16"/>
          <w:i w:val="1"/>
          <w:iCs w:val="1"/>
          <w:color w:val="auto"/>
        </w:rPr>
        <w:t>Faegre Baker Daniels LLP</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7"/>
          <w:szCs w:val="17"/>
          <w:i w:val="1"/>
          <w:iCs w:val="1"/>
          <w:color w:val="auto"/>
        </w:rPr>
        <w:t>2200 Wells Fargo Center</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7"/>
          <w:szCs w:val="17"/>
          <w:i w:val="1"/>
          <w:iCs w:val="1"/>
          <w:color w:val="auto"/>
        </w:rPr>
        <w:t>90 South Seventh Street</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Minneapolis, MN 55402</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7"/>
          <w:szCs w:val="17"/>
          <w:i w:val="1"/>
          <w:iCs w:val="1"/>
          <w:color w:val="auto"/>
        </w:rPr>
        <w:t>Attention: Kate Sherburne</w:t>
      </w:r>
    </w:p>
    <w:p>
      <w:pPr>
        <w:sectPr>
          <w:pgSz w:w="11900" w:h="16838" w:orient="portrait"/>
          <w:cols w:equalWidth="0" w:num="1">
            <w:col w:w="11400"/>
          </w:cols>
          <w:pgMar w:left="240" w:top="584" w:right="259" w:bottom="221" w:gutter="0" w:footer="0" w:header="0"/>
        </w:sectPr>
      </w:pPr>
    </w:p>
    <w:p>
      <w:pPr>
        <w:spacing w:after="0" w:line="222" w:lineRule="exact"/>
        <w:rPr>
          <w:sz w:val="20"/>
          <w:szCs w:val="20"/>
          <w:color w:val="auto"/>
        </w:rPr>
      </w:pPr>
    </w:p>
    <w:p>
      <w:pPr>
        <w:ind w:left="1960"/>
        <w:spacing w:after="0"/>
        <w:rPr>
          <w:sz w:val="20"/>
          <w:szCs w:val="20"/>
          <w:color w:val="auto"/>
        </w:rPr>
      </w:pPr>
      <w:r>
        <w:rPr>
          <w:rFonts w:ascii="Arial" w:cs="Arial" w:eastAsia="Arial" w:hAnsi="Arial"/>
          <w:sz w:val="17"/>
          <w:szCs w:val="17"/>
          <w:i w:val="1"/>
          <w:iCs w:val="1"/>
          <w:color w:val="auto"/>
        </w:rPr>
        <w:t>Borrower: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 Iron Acceptance,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Attention: Director of Operations</w:t>
      </w:r>
    </w:p>
    <w:p>
      <w:pPr>
        <w:spacing w:after="0" w:line="200" w:lineRule="exact"/>
        <w:rPr>
          <w:sz w:val="20"/>
          <w:szCs w:val="20"/>
          <w:color w:val="auto"/>
        </w:rPr>
      </w:pPr>
    </w:p>
    <w:p>
      <w:pPr>
        <w:sectPr>
          <w:pgSz w:w="11900" w:h="16838" w:orient="portrait"/>
          <w:cols w:equalWidth="0" w:num="2">
            <w:col w:w="2700" w:space="540"/>
            <w:col w:w="8160"/>
          </w:cols>
          <w:pgMar w:left="240" w:top="584" w:right="259" w:bottom="221" w:gutter="0" w:footer="0" w:header="0"/>
          <w:type w:val="continuous"/>
        </w:sectPr>
      </w:pPr>
    </w:p>
    <w:p>
      <w:pPr>
        <w:spacing w:after="0" w:line="34" w:lineRule="exact"/>
        <w:rPr>
          <w:sz w:val="20"/>
          <w:szCs w:val="20"/>
          <w:color w:val="auto"/>
        </w:rPr>
      </w:pPr>
    </w:p>
    <w:p>
      <w:pPr>
        <w:ind w:left="1960"/>
        <w:spacing w:after="0"/>
        <w:rPr>
          <w:sz w:val="20"/>
          <w:szCs w:val="20"/>
          <w:color w:val="auto"/>
        </w:rPr>
      </w:pPr>
      <w:r>
        <w:rPr>
          <w:rFonts w:ascii="Arial" w:cs="Arial" w:eastAsia="Arial" w:hAnsi="Arial"/>
          <w:sz w:val="16"/>
          <w:szCs w:val="16"/>
          <w:i w:val="1"/>
          <w:iCs w:val="1"/>
          <w:color w:val="auto"/>
        </w:rPr>
        <w:t>with copies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8111 Lyndale Avenue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Attention: Treasurer</w:t>
      </w:r>
    </w:p>
    <w:p>
      <w:pPr>
        <w:spacing w:after="0" w:line="200" w:lineRule="exact"/>
        <w:rPr>
          <w:sz w:val="20"/>
          <w:szCs w:val="20"/>
          <w:color w:val="auto"/>
        </w:rPr>
      </w:pPr>
    </w:p>
    <w:p>
      <w:pPr>
        <w:sectPr>
          <w:pgSz w:w="11900" w:h="16838" w:orient="portrait"/>
          <w:cols w:equalWidth="0" w:num="2">
            <w:col w:w="3020" w:space="220"/>
            <w:col w:w="8160"/>
          </w:cols>
          <w:pgMar w:left="240" w:top="584" w:right="259" w:bottom="221" w:gutter="0" w:footer="0" w:header="0"/>
          <w:type w:val="continuous"/>
        </w:sectPr>
      </w:pPr>
    </w:p>
    <w:p>
      <w:pPr>
        <w:spacing w:after="0" w:line="11"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and</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The Toro Company</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8111 Lyndale Avenue South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Bloomington, MN 55420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Attention: General Counsel</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and</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Fox Rothschild LLP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6"/>
          <w:szCs w:val="16"/>
          <w:i w:val="1"/>
          <w:iCs w:val="1"/>
          <w:color w:val="auto"/>
        </w:rPr>
        <w:t>Campbell Mithun Tower – Suite 2000</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222 South Ninth St.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Minneapolis, MN 55402</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7"/>
          <w:szCs w:val="17"/>
          <w:i w:val="1"/>
          <w:iCs w:val="1"/>
          <w:color w:val="auto"/>
        </w:rPr>
        <w:t>Attention: C. Robert Beattie, Esq.”</w:t>
      </w:r>
    </w:p>
    <w:p>
      <w:pPr>
        <w:sectPr>
          <w:pgSz w:w="11900" w:h="16838" w:orient="portrait"/>
          <w:cols w:equalWidth="0" w:num="1">
            <w:col w:w="11400"/>
          </w:cols>
          <w:pgMar w:left="240" w:top="584" w:right="259" w:bottom="221" w:gutter="0" w:footer="0" w:header="0"/>
          <w:type w:val="continuous"/>
        </w:sectPr>
      </w:pPr>
    </w:p>
    <w:p>
      <w:pPr>
        <w:spacing w:after="0" w:line="222" w:lineRule="exact"/>
        <w:rPr>
          <w:sz w:val="20"/>
          <w:szCs w:val="20"/>
          <w:color w:val="auto"/>
        </w:rPr>
      </w:pPr>
    </w:p>
    <w:p>
      <w:pPr>
        <w:ind w:right="240" w:firstLine="656"/>
        <w:spacing w:after="0" w:line="259" w:lineRule="auto"/>
        <w:tabs>
          <w:tab w:leader="none" w:pos="13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Amended and Restated Revolving Loan Note</w:t>
      </w:r>
      <w:r>
        <w:rPr>
          <w:rFonts w:ascii="Arial" w:cs="Arial" w:eastAsia="Arial" w:hAnsi="Arial"/>
          <w:sz w:val="18"/>
          <w:szCs w:val="18"/>
          <w:color w:val="auto"/>
        </w:rPr>
        <w:t>. Borrower will enter into an Amended and Restated Revolving Loan Note, dated as of the date of this Amendment (the “</w:t>
      </w:r>
      <w:r>
        <w:rPr>
          <w:rFonts w:ascii="Arial" w:cs="Arial" w:eastAsia="Arial" w:hAnsi="Arial"/>
          <w:sz w:val="18"/>
          <w:szCs w:val="18"/>
          <w:u w:val="single" w:color="auto"/>
          <w:color w:val="auto"/>
        </w:rPr>
        <w:t>Amended and Restated Revolving Loan Note</w:t>
      </w:r>
      <w:r>
        <w:rPr>
          <w:rFonts w:ascii="Arial" w:cs="Arial" w:eastAsia="Arial" w:hAnsi="Arial"/>
          <w:sz w:val="18"/>
          <w:szCs w:val="18"/>
          <w:color w:val="auto"/>
        </w:rPr>
        <w:t>”). All references in any document or instrument to the Revolving Loan Note (other than the reference in Section 3.01(b) of the Credit Agreement, which will continue to refer to the promissory note issued on August 12, 2009) are hereby amended to refer to the Amended and Restated Revolving Loan Note.</w:t>
      </w:r>
    </w:p>
    <w:p>
      <w:pPr>
        <w:spacing w:after="0" w:line="186" w:lineRule="exact"/>
        <w:rPr>
          <w:rFonts w:ascii="Arial" w:cs="Arial" w:eastAsia="Arial" w:hAnsi="Arial"/>
          <w:sz w:val="18"/>
          <w:szCs w:val="18"/>
          <w:color w:val="auto"/>
        </w:rPr>
      </w:pPr>
    </w:p>
    <w:p>
      <w:pPr>
        <w:ind w:right="400" w:firstLine="656"/>
        <w:spacing w:after="0" w:line="277" w:lineRule="auto"/>
        <w:tabs>
          <w:tab w:leader="none" w:pos="13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Borrower certifies to Lender that the representations and warranties of Borrower in Section IV of the Credit Agreement are true and correct in all respects as of the date of this Amendment.</w:t>
      </w:r>
    </w:p>
    <w:p>
      <w:pPr>
        <w:spacing w:after="0" w:line="170" w:lineRule="exact"/>
        <w:rPr>
          <w:rFonts w:ascii="Arial" w:cs="Arial" w:eastAsia="Arial" w:hAnsi="Arial"/>
          <w:sz w:val="18"/>
          <w:szCs w:val="18"/>
          <w:color w:val="auto"/>
        </w:rPr>
      </w:pPr>
    </w:p>
    <w:p>
      <w:pPr>
        <w:ind w:right="400" w:firstLine="656"/>
        <w:spacing w:after="0" w:line="277" w:lineRule="auto"/>
        <w:tabs>
          <w:tab w:leader="none" w:pos="13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Affirmation of Credit Agreement; Further References</w:t>
      </w:r>
      <w:r>
        <w:rPr>
          <w:rFonts w:ascii="Arial" w:cs="Arial" w:eastAsia="Arial" w:hAnsi="Arial"/>
          <w:sz w:val="18"/>
          <w:szCs w:val="18"/>
          <w:color w:val="auto"/>
        </w:rPr>
        <w:t>. The parties hereto each acknowledge and affirm that the Credit Agreement, as hereby amended, is hereby ratified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confirmed in all respects, and all terms, conditions and provisions of the Credit Agreement, except as amended by this Amendment, shall remain unmodified and in full force and effect. All references in any document or instrument to the Credit Agreement (including references in the Credit Agreement to the terms thereof) are hereby amended to refer to the Credit Agreement as amended through this Amendment.</w:t>
      </w:r>
    </w:p>
    <w:p>
      <w:pPr>
        <w:spacing w:after="0" w:line="181" w:lineRule="exact"/>
        <w:rPr>
          <w:sz w:val="20"/>
          <w:szCs w:val="20"/>
          <w:color w:val="auto"/>
        </w:rPr>
      </w:pPr>
    </w:p>
    <w:p>
      <w:pPr>
        <w:jc w:val="both"/>
        <w:ind w:right="140" w:firstLine="656"/>
        <w:spacing w:after="0" w:line="259" w:lineRule="auto"/>
        <w:tabs>
          <w:tab w:leader="none" w:pos="136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on and after the date hereof, contains all of the understandings and agreements of whatsoever kind and nature existing among the parties hereto with respect to this Amendment, the subject matter hereof, and the rights, interests, understandings, agreements and obligations of the parties hereto pertaining to the subject matter hereof with the effect that this Amendment shall control with respect to the specific subjects hereof.</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368"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duly executed this Amendment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RED IRON ACCEPTANCE, LLC</w:t>
      </w:r>
    </w:p>
    <w:p>
      <w:pPr>
        <w:sectPr>
          <w:pgSz w:w="11900" w:h="16838" w:orient="portrait"/>
          <w:cols w:equalWidth="0" w:num="1">
            <w:col w:w="11400"/>
          </w:cols>
          <w:pgMar w:left="240" w:top="584" w:right="259" w:bottom="221" w:gutter="0" w:footer="0" w:header="0"/>
          <w:type w:val="continuous"/>
        </w:sectPr>
      </w:pPr>
    </w:p>
    <w:bookmarkStart w:id="17" w:name="page18"/>
    <w:bookmarkEnd w:id="17"/>
    <w:p>
      <w:pPr>
        <w:ind w:left="4860"/>
        <w:spacing w:after="0"/>
        <w:tabs>
          <w:tab w:leader="none" w:pos="5320" w:val="left"/>
        </w:tabs>
        <w:rPr>
          <w:sz w:val="20"/>
          <w:szCs w:val="20"/>
          <w:color w:val="auto"/>
        </w:rPr>
      </w:pPr>
      <w:r>
        <w:rPr>
          <w:rFonts w:ascii="Arial" w:cs="Arial" w:eastAsia="Arial" w:hAnsi="Arial"/>
          <w:sz w:val="18"/>
          <w:szCs w:val="18"/>
          <w:color w:val="auto"/>
        </w:rPr>
        <w:t>By:</w:t>
        <w:tab/>
        <w:t>/s/ Mark J. Wrend</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Mark J.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-130810</wp:posOffset>
            </wp:positionV>
            <wp:extent cx="31045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TCF INVENTORY FINANCE, INC.</w:t>
      </w:r>
    </w:p>
    <w:p>
      <w:pPr>
        <w:spacing w:after="0" w:line="200" w:lineRule="exact"/>
        <w:rPr>
          <w:sz w:val="20"/>
          <w:szCs w:val="20"/>
          <w:color w:val="auto"/>
        </w:rPr>
      </w:pPr>
    </w:p>
    <w:p>
      <w:pPr>
        <w:spacing w:after="0" w:line="241" w:lineRule="exact"/>
        <w:rPr>
          <w:sz w:val="20"/>
          <w:szCs w:val="20"/>
          <w:color w:val="auto"/>
        </w:rPr>
      </w:pPr>
    </w:p>
    <w:p>
      <w:pPr>
        <w:ind w:left="4860"/>
        <w:spacing w:after="0"/>
        <w:tabs>
          <w:tab w:leader="none" w:pos="5320" w:val="left"/>
        </w:tabs>
        <w:rPr>
          <w:sz w:val="20"/>
          <w:szCs w:val="20"/>
          <w:color w:val="auto"/>
        </w:rPr>
      </w:pPr>
      <w:r>
        <w:rPr>
          <w:rFonts w:ascii="Arial" w:cs="Arial" w:eastAsia="Arial" w:hAnsi="Arial"/>
          <w:sz w:val="18"/>
          <w:szCs w:val="18"/>
          <w:color w:val="auto"/>
        </w:rPr>
        <w:t>By:</w:t>
        <w:tab/>
        <w:t>/s/ Rosario A. Perrelli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-130810</wp:posOffset>
            </wp:positionV>
            <wp:extent cx="31045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6"/>
          <w:szCs w:val="16"/>
          <w:color w:val="auto"/>
        </w:rPr>
        <w:t>Its: Chief Executive Officer and President</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Second Amendment to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o"/>
      <w:numFmt w:val="bullet"/>
      <w:start w:val="1"/>
    </w:lvl>
  </w:abstractNum>
  <w:abstractNum w:abstractNumId="1">
    <w:nsid w:val="2901D82"/>
    <w:multiLevelType w:val="hybridMultilevel"/>
    <w:lvl w:ilvl="0">
      <w:lvlJc w:val="left"/>
      <w:lvlText w:val="(%1)"/>
      <w:numFmt w:val="lowerRoman"/>
      <w:start w:val="2"/>
    </w:lvl>
  </w:abstractNum>
  <w:abstractNum w:abstractNumId="2">
    <w:nsid w:val="3A95F874"/>
    <w:multiLevelType w:val="hybridMultilevel"/>
    <w:lvl w:ilvl="0">
      <w:lvlJc w:val="left"/>
      <w:lvlText w:val="(%1)"/>
      <w:numFmt w:val="lowerLetter"/>
      <w:start w:val="4"/>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upperLetter"/>
      <w:start w:val="1"/>
    </w:lvl>
  </w:abstractNum>
  <w:abstractNum w:abstractNumId="6">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
    <w:nsid w:val="6CEAF087"/>
    <w:multiLevelType w:val="hybridMultilevel"/>
    <w:lvl w:ilvl="0">
      <w:lvlJc w:val="left"/>
      <w:lvlText w:val="(%1)"/>
      <w:numFmt w:val="lowerRoman"/>
      <w:start w:val="2"/>
    </w:lvl>
  </w:abstractNum>
  <w:abstractNum w:abstractNumId="8">
    <w:nsid w:val="22221A70"/>
    <w:multiLevelType w:val="hybridMultilevel"/>
    <w:lvl w:ilvl="0">
      <w:lvlJc w:val="left"/>
      <w:lvlText w:val="(%1)"/>
      <w:numFmt w:val="lowerLetter"/>
      <w:start w:val="2"/>
    </w:lvl>
  </w:abstractNum>
  <w:abstractNum w:abstractNumId="9">
    <w:nsid w:val="4516DDE9"/>
    <w:multiLevelType w:val="hybridMultilevel"/>
    <w:lvl w:ilvl="0">
      <w:lvlJc w:val="left"/>
      <w:lvlText w:val="(%1)"/>
      <w:numFmt w:val="lowerLetter"/>
      <w:start w:val="3"/>
    </w:lvl>
  </w:abstractNum>
  <w:abstractNum w:abstractNumId="10">
    <w:nsid w:val="3006C83E"/>
    <w:multiLevelType w:val="hybridMultilevel"/>
    <w:lvl w:ilvl="0">
      <w:lvlJc w:val="left"/>
      <w:lvlText w:val="(%1)"/>
      <w:numFmt w:val="lowerLetter"/>
      <w:start w:val="4"/>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lowerLetter"/>
      <w:start w:val="5"/>
    </w:lvl>
  </w:abstractNum>
  <w:abstractNum w:abstractNumId="13">
    <w:nsid w:val="5577F8E1"/>
    <w:multiLevelType w:val="hybridMultilevel"/>
    <w:lvl w:ilvl="0">
      <w:lvlJc w:val="left"/>
      <w:lvlText w:val="%1."/>
      <w:numFmt w:val="decimal"/>
      <w:start w:val="2"/>
    </w:lvl>
  </w:abstractNum>
  <w:abstractNum w:abstractNumId="14">
    <w:nsid w:val="440BADFC"/>
    <w:multiLevelType w:val="hybridMultilevel"/>
    <w:lvl w:ilvl="0">
      <w:lvlJc w:val="left"/>
      <w:lvlText w:val="%1."/>
      <w:numFmt w:val="decimal"/>
      <w:start w:val="4"/>
    </w:lvl>
  </w:abstractNum>
  <w:abstractNum w:abstractNumId="15">
    <w:nsid w:val="5072367"/>
    <w:multiLevelType w:val="hybridMultilevel"/>
    <w:lvl w:ilvl="0">
      <w:lvlJc w:val="left"/>
      <w:lvlText w:val="%1."/>
      <w:numFmt w:val="upperLetter"/>
      <w:start w:val="1"/>
    </w:lvl>
  </w:abstractNum>
  <w:abstractNum w:abstractNumId="16">
    <w:nsid w:val="3804823E"/>
    <w:multiLevelType w:val="hybridMultilevel"/>
    <w:lvl w:ilvl="0">
      <w:lvlJc w:val="left"/>
      <w:lvlText w:val="%1."/>
      <w:numFmt w:val="decimal"/>
      <w:start w:val="1"/>
    </w:lvl>
    <w:lvl w:ilvl="1">
      <w:lvlJc w:val="left"/>
      <w:lvlText w:val="(%2)"/>
      <w:numFmt w:val="lowerLetter"/>
      <w:start w:val="1"/>
    </w:lvl>
  </w:abstractNum>
  <w:abstractNum w:abstractNumId="17">
    <w:nsid w:val="77465F01"/>
    <w:multiLevelType w:val="hybridMultilevel"/>
    <w:lvl w:ilvl="0">
      <w:lvlJc w:val="left"/>
      <w:lvlText w:val="(%1)"/>
      <w:numFmt w:val="lowerLetter"/>
      <w:start w:val="2"/>
    </w:lvl>
  </w:abstractNum>
  <w:abstractNum w:abstractNumId="18">
    <w:nsid w:val="7724C67E"/>
    <w:multiLevelType w:val="hybridMultilevel"/>
    <w:lvl w:ilvl="0">
      <w:lvlJc w:val="left"/>
      <w:lvlText w:val="(%1)"/>
      <w:numFmt w:val="lowerLetter"/>
      <w:start w:val="3"/>
    </w:lvl>
    <w:lvl w:ilvl="1">
      <w:lvlJc w:val="left"/>
      <w:lvlText w:val="(%2)"/>
      <w:numFmt w:val="lowerLetter"/>
      <w:start w:val="9"/>
    </w:lvl>
  </w:abstractNum>
  <w:abstractNum w:abstractNumId="19">
    <w:nsid w:val="5C482A97"/>
    <w:multiLevelType w:val="hybridMultilevel"/>
    <w:lvl w:ilvl="0">
      <w:lvlJc w:val="left"/>
      <w:lvlText w:val="(%1)"/>
      <w:numFmt w:val="upperLetter"/>
      <w:start w:val="2"/>
    </w:lvl>
  </w:abstractNum>
  <w:abstractNum w:abstractNumId="20">
    <w:nsid w:val="2463B9EA"/>
    <w:multiLevelType w:val="hybridMultilevel"/>
    <w:lvl w:ilvl="0">
      <w:lvlJc w:val="left"/>
      <w:lvlText w:val="(%1)"/>
      <w:numFmt w:val="lowerRoman"/>
      <w:start w:val="2"/>
    </w:lvl>
  </w:abstractNum>
  <w:abstractNum w:abstractNumId="21">
    <w:nsid w:val="5E884ADC"/>
    <w:multiLevelType w:val="hybridMultilevel"/>
    <w:lvl w:ilvl="0">
      <w:lvlJc w:val="left"/>
      <w:lvlText w:val="(%1)"/>
      <w:numFmt w:val="lowerLetter"/>
      <w:start w:val="4"/>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lowerLetter"/>
      <w:start w:val="5"/>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2"/>
    </w:lvl>
  </w:abstractNum>
  <w:abstractNum w:abstractNumId="26">
    <w:nsid w:val="3855585C"/>
    <w:multiLevelType w:val="hybridMultilevel"/>
    <w:lvl w:ilvl="0">
      <w:lvlJc w:val="left"/>
      <w:lvlText w:val="%1."/>
      <w:numFmt w:val="decimal"/>
      <w:start w:val="4"/>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2"/>
    </w:lvl>
    <w:lvl w:ilvl="1">
      <w:lvlJc w:val="left"/>
      <w:lvlText w:val="(%2)"/>
      <w:numFmt w:val="lowerLetter"/>
      <w:start w:val="1"/>
    </w:lvl>
  </w:abstractNum>
  <w:abstractNum w:abstractNumId="32">
    <w:nsid w:val="2CD89A32"/>
    <w:multiLevelType w:val="hybridMultilevel"/>
    <w:lvl w:ilvl="0">
      <w:lvlJc w:val="left"/>
      <w:lvlText w:val="%1"/>
      <w:numFmt w:val="decimal"/>
      <w:start w:val="1"/>
    </w:lvl>
    <w:lvl w:ilvl="1">
      <w:lvlJc w:val="left"/>
      <w:lvlText w:val="(%2)"/>
      <w:numFmt w:val="lowerLetter"/>
      <w:start w:val="2"/>
    </w:lvl>
  </w:abstractNum>
  <w:abstractNum w:abstractNumId="33">
    <w:nsid w:val="57E4CCAF"/>
    <w:multiLevelType w:val="hybridMultilevel"/>
    <w:lvl w:ilvl="0">
      <w:lvlJc w:val="left"/>
      <w:lvlText w:val="%1."/>
      <w:numFmt w:val="decimal"/>
      <w:start w:val="3"/>
    </w:lvl>
    <w:lvl w:ilvl="1">
      <w:lvlJc w:val="left"/>
      <w:lvlText w:val="(%2)"/>
      <w:numFmt w:val="lowerLetter"/>
      <w:start w:val="1"/>
    </w:lvl>
  </w:abstractNum>
  <w:abstractNum w:abstractNumId="34">
    <w:nsid w:val="7A6D8D3C"/>
    <w:multiLevelType w:val="hybridMultilevel"/>
    <w:lvl w:ilvl="0">
      <w:lvlJc w:val="left"/>
      <w:lvlText w:val="(%1)"/>
      <w:numFmt w:val="lowerLetter"/>
      <w:start w:val="2"/>
    </w:lvl>
  </w:abstractNum>
  <w:abstractNum w:abstractNumId="35">
    <w:nsid w:val="4B588F54"/>
    <w:multiLevelType w:val="hybridMultilevel"/>
    <w:lvl w:ilvl="0">
      <w:lvlJc w:val="left"/>
      <w:lvlText w:val="(%1)"/>
      <w:numFmt w:val="lowerLetter"/>
      <w:start w:val="8"/>
    </w:lvl>
  </w:abstractNum>
  <w:abstractNum w:abstractNumId="36">
    <w:nsid w:val="542289EC"/>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7">
    <w:nsid w:val="6DE91B18"/>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38">
    <w:nsid w:val="38437FD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9">
    <w:nsid w:val="7644A45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0">
    <w:nsid w:val="32FFF902"/>
    <w:multiLevelType w:val="hybridMultilevel"/>
    <w:lvl w:ilvl="0">
      <w:lvlJc w:val="left"/>
      <w:lvlText w:val="(%1)"/>
      <w:numFmt w:val="lowerLetter"/>
      <w:start w:val="2"/>
    </w:lvl>
  </w:abstractNum>
  <w:abstractNum w:abstractNumId="41">
    <w:nsid w:val="684A481A"/>
    <w:multiLevelType w:val="hybridMultilevel"/>
    <w:lvl w:ilvl="0">
      <w:lvlJc w:val="left"/>
      <w:lvlText w:val="%1."/>
      <w:numFmt w:val="decimal"/>
      <w:start w:val="7"/>
    </w:lvl>
    <w:lvl w:ilvl="1">
      <w:lvlJc w:val="left"/>
      <w:lvlText w:val="(%2)"/>
      <w:numFmt w:val="lowerLetter"/>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lvl w:ilvl="1">
      <w:lvlJc w:val="left"/>
      <w:lvlText w:val="(%2)"/>
      <w:numFmt w:val="lowerLetter"/>
      <w:start w:val="3"/>
    </w:lvl>
  </w:abstractNum>
  <w:abstractNum w:abstractNumId="44">
    <w:nsid w:val="3DC240FB"/>
    <w:multiLevelType w:val="hybridMultilevel"/>
    <w:lvl w:ilvl="0">
      <w:lvlJc w:val="left"/>
      <w:lvlText w:val="%1."/>
      <w:numFmt w:val="decimal"/>
      <w:start w:val="10"/>
    </w:lvl>
    <w:lvl w:ilvl="1">
      <w:lvlJc w:val="left"/>
      <w:lvlText w:val="(%2)"/>
      <w:numFmt w:val="lowerLetter"/>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lowerLetter"/>
      <w:start w:val="4"/>
    </w:lvl>
  </w:abstractNum>
  <w:abstractNum w:abstractNumId="47">
    <w:nsid w:val="75C6C33A"/>
    <w:multiLevelType w:val="hybridMultilevel"/>
    <w:lvl w:ilvl="0">
      <w:lvlJc w:val="left"/>
      <w:lvlText w:val="(%1)"/>
      <w:numFmt w:val="lowerLetter"/>
      <w:start w:val="9"/>
    </w:lvl>
  </w:abstractNum>
  <w:abstractNum w:abstractNumId="48">
    <w:nsid w:val="12E685FB"/>
    <w:multiLevelType w:val="hybridMultilevel"/>
    <w:lvl w:ilvl="0">
      <w:lvlJc w:val="left"/>
      <w:lvlText w:val="(%1)"/>
      <w:numFmt w:val="lowerLetter"/>
      <w:start w:val="12"/>
    </w:lvl>
  </w:abstractNum>
  <w:abstractNum w:abstractNumId="49">
    <w:nsid w:val="70C6A529"/>
    <w:multiLevelType w:val="hybridMultilevel"/>
    <w:lvl w:ilvl="0">
      <w:lvlJc w:val="left"/>
      <w:lvlText w:val="%1."/>
      <w:numFmt w:val="upperLetter"/>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lowerLetter"/>
      <w:start w:val="2"/>
    </w:lvl>
  </w:abstractNum>
  <w:abstractNum w:abstractNumId="52">
    <w:nsid w:val="4F4EF005"/>
    <w:multiLevelType w:val="hybridMultilevel"/>
    <w:lvl w:ilvl="0">
      <w:lvlJc w:val="left"/>
      <w:lvlText w:val="(%1)"/>
      <w:numFmt w:val="lowerLetter"/>
      <w:start w:val="3"/>
    </w:lvl>
  </w:abstractNum>
  <w:abstractNum w:abstractNumId="53">
    <w:nsid w:val="23F9C13C"/>
    <w:multiLevelType w:val="hybridMultilevel"/>
    <w:lvl w:ilvl="0">
      <w:lvlJc w:val="left"/>
      <w:lvlText w:val="(%1)"/>
      <w:numFmt w:val="lowerLetter"/>
      <w:start w:val="5"/>
    </w:lvl>
  </w:abstractNum>
  <w:abstractNum w:abstractNumId="54">
    <w:nsid w:val="649BB77C"/>
    <w:multiLevelType w:val="hybridMultilevel"/>
    <w:lvl w:ilvl="0">
      <w:lvlJc w:val="left"/>
      <w:lvlText w:val="%1."/>
      <w:numFmt w:val="decimal"/>
      <w:start w:val="2"/>
    </w:lvl>
  </w:abstractNum>
  <w:abstractNum w:abstractNumId="55">
    <w:nsid w:val="275AC79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2019-12-05T16:21:20Z</dcterms:created>
  <dcterms:modified xsi:type="dcterms:W3CDTF">2019-12-05T16:21:20Z</dcterms:modified>
</cp:coreProperties>
</file>