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SECURITIES AND EXCHANGE COMMISSION</w:t>
      </w:r>
    </w:p>
    <w:p>
      <w:pPr>
        <w:jc w:val="center"/>
        <w:ind w:right="160"/>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700" w:hanging="498"/>
        <w:spacing w:after="0"/>
        <w:tabs>
          <w:tab w:leader="none" w:pos="7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580" w:hanging="546"/>
        <w:spacing w:after="0"/>
        <w:tabs>
          <w:tab w:leader="none" w:pos="5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91"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jc w:val="center"/>
        <w:ind w:right="60"/>
        <w:spacing w:after="0"/>
        <w:tabs>
          <w:tab w:leader="none" w:pos="1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52"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7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561340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440" w:top="793" w:right="1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PLYMOUTH UNION EMPLOYEES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580" w:type="dxa"/>
            <w:vAlign w:val="bottom"/>
          </w:tcPr>
          <w:p>
            <w:pPr>
              <w:ind w:left="3220"/>
              <w:spacing w:after="0"/>
              <w:rPr>
                <w:sz w:val="20"/>
                <w:szCs w:val="20"/>
                <w:color w:val="auto"/>
              </w:rPr>
            </w:pPr>
            <w:r>
              <w:rPr>
                <w:rFonts w:ascii="Arial" w:cs="Arial" w:eastAsia="Arial" w:hAnsi="Arial"/>
                <w:sz w:val="18"/>
                <w:szCs w:val="18"/>
                <w:b w:val="1"/>
                <w:bCs w:val="1"/>
                <w:color w:val="auto"/>
                <w:w w:val="78"/>
              </w:rPr>
              <w:t>Page</w:t>
            </w:r>
          </w:p>
        </w:tc>
      </w:tr>
      <w:tr>
        <w:trPr>
          <w:trHeight w:val="190"/>
        </w:trPr>
        <w:tc>
          <w:tcPr>
            <w:tcW w:w="7520" w:type="dxa"/>
            <w:vAlign w:val="bottom"/>
            <w:gridSpan w:val="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580" w:type="dxa"/>
            <w:vAlign w:val="bottom"/>
          </w:tcPr>
          <w:p>
            <w:pPr>
              <w:jc w:val="center"/>
              <w:ind w:left="3130"/>
              <w:spacing w:after="0" w:line="190" w:lineRule="exact"/>
              <w:rPr>
                <w:sz w:val="20"/>
                <w:szCs w:val="20"/>
                <w:color w:val="auto"/>
              </w:rPr>
            </w:pPr>
            <w:r>
              <w:rPr>
                <w:rFonts w:ascii="Arial" w:cs="Arial" w:eastAsia="Arial" w:hAnsi="Arial"/>
                <w:sz w:val="18"/>
                <w:szCs w:val="18"/>
                <w:color w:val="auto"/>
                <w:w w:val="79"/>
              </w:rPr>
              <w:t>1</w:t>
            </w: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3300" w:type="dxa"/>
            <w:vAlign w:val="bottom"/>
            <w:gridSpan w:val="2"/>
          </w:tcPr>
          <w:p>
            <w:pPr>
              <w:spacing w:after="0"/>
              <w:rPr>
                <w:sz w:val="17"/>
                <w:szCs w:val="17"/>
                <w:color w:val="auto"/>
              </w:rPr>
            </w:pPr>
          </w:p>
        </w:tc>
        <w:tc>
          <w:tcPr>
            <w:tcW w:w="3580" w:type="dxa"/>
            <w:vAlign w:val="bottom"/>
          </w:tcPr>
          <w:p>
            <w:pPr>
              <w:jc w:val="center"/>
              <w:ind w:left="3130"/>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2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3220" w:type="dxa"/>
            <w:vAlign w:val="bottom"/>
          </w:tcPr>
          <w:p>
            <w:pPr>
              <w:spacing w:after="0"/>
              <w:rPr>
                <w:sz w:val="17"/>
                <w:szCs w:val="17"/>
                <w:color w:val="auto"/>
              </w:rPr>
            </w:pPr>
          </w:p>
        </w:tc>
        <w:tc>
          <w:tcPr>
            <w:tcW w:w="3580" w:type="dxa"/>
            <w:vAlign w:val="bottom"/>
          </w:tcPr>
          <w:p>
            <w:pPr>
              <w:jc w:val="center"/>
              <w:ind w:left="3130"/>
              <w:spacing w:after="0" w:line="196" w:lineRule="exact"/>
              <w:rPr>
                <w:sz w:val="20"/>
                <w:szCs w:val="20"/>
                <w:color w:val="auto"/>
              </w:rPr>
            </w:pPr>
            <w:r>
              <w:rPr>
                <w:rFonts w:ascii="Arial" w:cs="Arial" w:eastAsia="Arial" w:hAnsi="Arial"/>
                <w:sz w:val="18"/>
                <w:szCs w:val="18"/>
                <w:color w:val="auto"/>
                <w:w w:val="79"/>
              </w:rPr>
              <w:t>3</w:t>
            </w:r>
          </w:p>
        </w:tc>
      </w:tr>
      <w:tr>
        <w:trPr>
          <w:trHeight w:val="196"/>
        </w:trPr>
        <w:tc>
          <w:tcPr>
            <w:tcW w:w="752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580" w:type="dxa"/>
            <w:vAlign w:val="bottom"/>
          </w:tcPr>
          <w:p>
            <w:pPr>
              <w:jc w:val="center"/>
              <w:ind w:left="3130"/>
              <w:spacing w:after="0" w:line="196" w:lineRule="exact"/>
              <w:rPr>
                <w:sz w:val="20"/>
                <w:szCs w:val="20"/>
                <w:color w:val="auto"/>
              </w:rPr>
            </w:pPr>
            <w:r>
              <w:rPr>
                <w:rFonts w:ascii="Arial" w:cs="Arial" w:eastAsia="Arial" w:hAnsi="Arial"/>
                <w:sz w:val="18"/>
                <w:szCs w:val="18"/>
                <w:color w:val="auto"/>
                <w:w w:val="79"/>
              </w:rPr>
              <w:t>4</w:t>
            </w:r>
          </w:p>
        </w:tc>
      </w:tr>
      <w:tr>
        <w:trPr>
          <w:trHeight w:val="222"/>
        </w:trPr>
        <w:tc>
          <w:tcPr>
            <w:tcW w:w="21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w w:val="99"/>
              </w:rPr>
              <w:t>Supplemental Schedule *</w:t>
            </w:r>
          </w:p>
        </w:tc>
        <w:tc>
          <w:tcPr>
            <w:tcW w:w="5360" w:type="dxa"/>
            <w:vAlign w:val="bottom"/>
            <w:gridSpan w:val="5"/>
          </w:tcPr>
          <w:p>
            <w:pPr>
              <w:spacing w:after="0"/>
              <w:rPr>
                <w:sz w:val="19"/>
                <w:szCs w:val="19"/>
                <w:color w:val="auto"/>
              </w:rPr>
            </w:pPr>
          </w:p>
        </w:tc>
        <w:tc>
          <w:tcPr>
            <w:tcW w:w="3580" w:type="dxa"/>
            <w:vAlign w:val="bottom"/>
          </w:tcPr>
          <w:p>
            <w:pPr>
              <w:spacing w:after="0"/>
              <w:rPr>
                <w:sz w:val="19"/>
                <w:szCs w:val="19"/>
                <w:color w:val="auto"/>
              </w:rPr>
            </w:pPr>
          </w:p>
        </w:tc>
      </w:tr>
      <w:tr>
        <w:trPr>
          <w:trHeight w:val="190"/>
        </w:trPr>
        <w:tc>
          <w:tcPr>
            <w:tcW w:w="298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Schedule of Assets (Held at End of Year)</w:t>
              </w:r>
            </w:hyperlink>
          </w:p>
        </w:tc>
        <w:tc>
          <w:tcPr>
            <w:tcW w:w="4540" w:type="dxa"/>
            <w:vAlign w:val="bottom"/>
            <w:gridSpan w:val="4"/>
          </w:tcPr>
          <w:p>
            <w:pPr>
              <w:spacing w:after="0"/>
              <w:rPr>
                <w:sz w:val="16"/>
                <w:szCs w:val="16"/>
                <w:color w:val="auto"/>
              </w:rPr>
            </w:pPr>
          </w:p>
        </w:tc>
        <w:tc>
          <w:tcPr>
            <w:tcW w:w="3580" w:type="dxa"/>
            <w:vAlign w:val="bottom"/>
          </w:tcPr>
          <w:p>
            <w:pPr>
              <w:jc w:val="center"/>
              <w:ind w:left="3150"/>
              <w:spacing w:after="0" w:line="190" w:lineRule="exact"/>
              <w:rPr>
                <w:sz w:val="20"/>
                <w:szCs w:val="20"/>
                <w:color w:val="auto"/>
              </w:rPr>
            </w:pPr>
            <w:r>
              <w:rPr>
                <w:rFonts w:ascii="Arial" w:cs="Arial" w:eastAsia="Arial" w:hAnsi="Arial"/>
                <w:sz w:val="18"/>
                <w:szCs w:val="18"/>
                <w:color w:val="auto"/>
                <w:w w:val="89"/>
              </w:rPr>
              <w:t>13</w:t>
            </w:r>
          </w:p>
        </w:tc>
      </w:tr>
    </w:tbl>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1127125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0" w:right="27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Plymouth Union Employees: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2006 and 2005,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as of December 31, 2006 and 2005 and the changes in net assets available for benefits for the years then ended, in conformity with U.S. generally accepted accounting principles.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2006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235585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37"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THE TORO COMPAY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Assets held by Trustee: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at fair value:</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40"/>
              <w:spacing w:after="0"/>
              <w:rPr>
                <w:sz w:val="20"/>
                <w:szCs w:val="20"/>
                <w:color w:val="auto"/>
              </w:rPr>
            </w:pPr>
            <w:r>
              <w:rPr>
                <w:rFonts w:ascii="Arial" w:cs="Arial" w:eastAsia="Arial" w:hAnsi="Arial"/>
                <w:sz w:val="18"/>
                <w:szCs w:val="18"/>
                <w:color w:val="auto"/>
              </w:rPr>
              <w:t>Mutual funds</w:t>
            </w:r>
          </w:p>
        </w:tc>
        <w:tc>
          <w:tcPr>
            <w:tcW w:w="2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1,259,920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Toro Company Common Stock</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1,368,027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40"/>
              <w:spacing w:after="0"/>
              <w:rPr>
                <w:sz w:val="20"/>
                <w:szCs w:val="20"/>
                <w:color w:val="auto"/>
              </w:rPr>
            </w:pPr>
            <w:r>
              <w:rPr>
                <w:rFonts w:ascii="Arial" w:cs="Arial" w:eastAsia="Arial" w:hAnsi="Arial"/>
                <w:sz w:val="18"/>
                <w:szCs w:val="18"/>
                <w:color w:val="auto"/>
              </w:rPr>
              <w:t>Bond Collective Fund</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105,730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Master Trust fund</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2,978,392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Employer contribution receivable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available for benefits at fair value</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2,981,986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2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 benefit-responsive investment contracts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120"/>
              <w:spacing w:after="0" w:line="196" w:lineRule="exact"/>
              <w:rPr>
                <w:sz w:val="20"/>
                <w:szCs w:val="20"/>
                <w:color w:val="auto"/>
              </w:rPr>
            </w:pPr>
            <w:r>
              <w:rPr>
                <w:rFonts w:ascii="Arial" w:cs="Arial" w:eastAsia="Arial" w:hAnsi="Arial"/>
                <w:sz w:val="18"/>
                <w:szCs w:val="18"/>
                <w:color w:val="auto"/>
              </w:rPr>
              <w:t>Net assets available for benefits</w:t>
            </w:r>
          </w:p>
        </w:tc>
        <w:tc>
          <w:tcPr>
            <w:tcW w:w="2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2,985,293</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2,787,002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Statements of Changes in Net Assets Available for Benefits</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Years ended December 31, 2006 and 2005</w:t>
      </w: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Net realized/unrealized gain in the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rata share of income from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418"/>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70,431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39,960</w:t>
            </w:r>
          </w:p>
        </w:tc>
      </w:tr>
      <w:tr>
        <w:trPr>
          <w:trHeight w:val="216"/>
        </w:trPr>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214,952</w:t>
            </w: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140,280</w:t>
            </w:r>
          </w:p>
        </w:tc>
      </w:tr>
      <w:tr>
        <w:trPr>
          <w:trHeight w:val="237"/>
        </w:trPr>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10,813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8,808</w:t>
            </w:r>
          </w:p>
        </w:tc>
      </w:tr>
      <w:tr>
        <w:trPr>
          <w:trHeight w:val="439"/>
        </w:trPr>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296,196</w:t>
            </w:r>
          </w:p>
        </w:tc>
        <w:tc>
          <w:tcPr>
            <w:tcW w:w="22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189,048</w:t>
            </w:r>
          </w:p>
        </w:tc>
        <w:tc>
          <w:tcPr>
            <w:tcW w:w="60" w:type="dxa"/>
            <w:vAlign w:val="bottom"/>
          </w:tcPr>
          <w:p>
            <w:pPr>
              <w:spacing w:after="0"/>
              <w:rPr>
                <w:sz w:val="24"/>
                <w:szCs w:val="24"/>
                <w:color w:val="auto"/>
              </w:rPr>
            </w:pPr>
          </w:p>
        </w:tc>
      </w:tr>
      <w:tr>
        <w:trPr>
          <w:trHeight w:val="418"/>
        </w:trPr>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39,984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46,602</w:t>
            </w:r>
          </w:p>
        </w:tc>
      </w:tr>
      <w:tr>
        <w:trPr>
          <w:trHeight w:val="237"/>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138,885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162,758</w:t>
            </w:r>
          </w:p>
        </w:tc>
        <w:tc>
          <w:tcPr>
            <w:tcW w:w="6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178,869</w:t>
            </w:r>
          </w:p>
        </w:tc>
        <w:tc>
          <w:tcPr>
            <w:tcW w:w="2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209,360</w:t>
            </w:r>
          </w:p>
        </w:tc>
      </w:tr>
      <w:tr>
        <w:trPr>
          <w:trHeight w:val="439"/>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(276,774)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(38,979)</w:t>
            </w:r>
          </w:p>
        </w:tc>
      </w:tr>
      <w:tr>
        <w:trPr>
          <w:trHeight w:val="432"/>
        </w:trPr>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198,291</w:t>
            </w:r>
          </w:p>
        </w:tc>
        <w:tc>
          <w:tcPr>
            <w:tcW w:w="22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359,429</w:t>
            </w:r>
          </w:p>
        </w:tc>
        <w:tc>
          <w:tcPr>
            <w:tcW w:w="60" w:type="dxa"/>
            <w:vAlign w:val="bottom"/>
          </w:tcPr>
          <w:p>
            <w:pPr>
              <w:spacing w:after="0"/>
              <w:rPr>
                <w:sz w:val="24"/>
                <w:szCs w:val="24"/>
                <w:color w:val="auto"/>
              </w:rPr>
            </w:pPr>
          </w:p>
        </w:tc>
      </w:tr>
    </w:tbl>
    <w:p>
      <w:pPr>
        <w:spacing w:after="0" w:line="441" w:lineRule="exact"/>
        <w:rPr>
          <w:sz w:val="20"/>
          <w:szCs w:val="20"/>
          <w:color w:val="auto"/>
        </w:rPr>
      </w:pPr>
    </w:p>
    <w:p>
      <w:pPr>
        <w:sectPr>
          <w:pgSz w:w="11900" w:h="16838" w:orient="portrait"/>
          <w:cols w:equalWidth="0" w:num="2">
            <w:col w:w="8100" w:space="720"/>
            <w:col w:w="2600"/>
          </w:cols>
          <w:pgMar w:left="240" w:top="823"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Beginning of year</w:t>
            </w: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2,787,002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2,427,573</w:t>
            </w:r>
          </w:p>
        </w:tc>
      </w:tr>
      <w:tr>
        <w:trPr>
          <w:trHeight w:val="216"/>
        </w:trPr>
        <w:tc>
          <w:tcPr>
            <w:tcW w:w="512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End of year</w:t>
            </w:r>
          </w:p>
        </w:tc>
        <w:tc>
          <w:tcPr>
            <w:tcW w:w="39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2,985,293</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2,787,002</w:t>
            </w:r>
          </w:p>
        </w:tc>
      </w:tr>
      <w:tr>
        <w:trPr>
          <w:trHeight w:val="210"/>
        </w:trPr>
        <w:tc>
          <w:tcPr>
            <w:tcW w:w="512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1060" w:hanging="764"/>
        <w:spacing w:after="0"/>
        <w:tabs>
          <w:tab w:leader="none" w:pos="10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7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accompanying financial statements of The Toro Company Profit-Sharing Plan for Plymouth Union Employees (the Plan) are presented in accordance with U.S. generally accepted accounting principles.</w:t>
      </w:r>
    </w:p>
    <w:p>
      <w:pPr>
        <w:spacing w:after="0" w:line="197" w:lineRule="exact"/>
        <w:rPr>
          <w:sz w:val="20"/>
          <w:szCs w:val="20"/>
          <w:color w:val="auto"/>
        </w:rPr>
      </w:pPr>
    </w:p>
    <w:p>
      <w:pPr>
        <w:ind w:left="1060" w:hanging="809"/>
        <w:spacing w:after="0"/>
        <w:tabs>
          <w:tab w:leader="none" w:pos="10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79"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investments are held by JP Morgan Retirement Plan Services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208"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Company maintains one Master Trust, the Wells Fargo Stable Value Fund 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0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2006 and 2005.</w:t>
      </w:r>
    </w:p>
    <w:p>
      <w:pPr>
        <w:spacing w:after="0" w:line="208" w:lineRule="exact"/>
        <w:rPr>
          <w:sz w:val="20"/>
          <w:szCs w:val="20"/>
          <w:color w:val="auto"/>
        </w:rPr>
      </w:pPr>
    </w:p>
    <w:p>
      <w:pPr>
        <w:ind w:left="1060" w:hanging="764"/>
        <w:spacing w:after="0"/>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ind w:left="3429"/>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ind w:left="3769"/>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9" w:hanging="809"/>
        <w:spacing w:after="0"/>
        <w:tabs>
          <w:tab w:leader="none" w:pos="809"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79" w:lineRule="exact"/>
        <w:rPr>
          <w:sz w:val="20"/>
          <w:szCs w:val="20"/>
          <w:color w:val="auto"/>
        </w:rPr>
      </w:pPr>
    </w:p>
    <w:p>
      <w:pPr>
        <w:jc w:val="both"/>
        <w:ind w:left="729"/>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Benefits.</w:t>
      </w:r>
    </w:p>
    <w:p>
      <w:pPr>
        <w:spacing w:after="0" w:line="214" w:lineRule="exact"/>
        <w:rPr>
          <w:sz w:val="20"/>
          <w:szCs w:val="20"/>
          <w:color w:val="auto"/>
        </w:rPr>
      </w:pPr>
    </w:p>
    <w:p>
      <w:pPr>
        <w:jc w:val="both"/>
        <w:ind w:left="729" w:right="20"/>
        <w:spacing w:after="0" w:line="264" w:lineRule="auto"/>
        <w:rPr>
          <w:sz w:val="20"/>
          <w:szCs w:val="20"/>
          <w:color w:val="auto"/>
        </w:rPr>
      </w:pPr>
      <w:r>
        <w:rPr>
          <w:rFonts w:ascii="Arial" w:cs="Arial" w:eastAsia="Arial" w:hAnsi="Arial"/>
          <w:sz w:val="18"/>
          <w:szCs w:val="18"/>
          <w:color w:val="auto"/>
        </w:rPr>
        <w:t>Since the assets held by the Trust include The Toro Company Common Stock, the anticipated assets available for benefits in 2007 will be the result of the Company’s future stock market performance, which is subject to various risk factors described more fully in the Company’s periodic filing with the Securities and Exchange Commission.</w:t>
      </w:r>
    </w:p>
    <w:p>
      <w:pPr>
        <w:spacing w:after="0" w:line="208" w:lineRule="exact"/>
        <w:rPr>
          <w:sz w:val="20"/>
          <w:szCs w:val="20"/>
          <w:color w:val="auto"/>
        </w:rPr>
      </w:pPr>
    </w:p>
    <w:p>
      <w:pPr>
        <w:ind w:left="809" w:hanging="485"/>
        <w:spacing w:after="0"/>
        <w:tabs>
          <w:tab w:leader="none" w:pos="809"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Adoption of New Accounting Guidance</w:t>
      </w:r>
    </w:p>
    <w:p>
      <w:pPr>
        <w:spacing w:after="0" w:line="279" w:lineRule="exact"/>
        <w:rPr>
          <w:sz w:val="20"/>
          <w:szCs w:val="20"/>
          <w:color w:val="auto"/>
        </w:rPr>
      </w:pPr>
    </w:p>
    <w:p>
      <w:pPr>
        <w:jc w:val="both"/>
        <w:ind w:left="729"/>
        <w:spacing w:after="0" w:line="270" w:lineRule="auto"/>
        <w:rPr>
          <w:sz w:val="20"/>
          <w:szCs w:val="20"/>
          <w:color w:val="auto"/>
        </w:rPr>
      </w:pPr>
      <w:r>
        <w:rPr>
          <w:rFonts w:ascii="Arial" w:cs="Arial" w:eastAsia="Arial" w:hAnsi="Arial"/>
          <w:sz w:val="17"/>
          <w:szCs w:val="17"/>
          <w:color w:val="auto"/>
        </w:rPr>
        <w:t xml:space="preserve">The financial statements reflect the retroactive adoption of Financial Accounting Standards Board Staff Position AAG INV-1 and SOP 94-4-1, </w:t>
      </w:r>
      <w:r>
        <w:rPr>
          <w:rFonts w:ascii="Arial" w:cs="Arial" w:eastAsia="Arial" w:hAnsi="Arial"/>
          <w:sz w:val="17"/>
          <w:szCs w:val="17"/>
          <w:i w:val="1"/>
          <w:iCs w:val="1"/>
          <w:color w:val="auto"/>
        </w:rPr>
        <w:t xml:space="preserve">Reporting of Fully Benefit-Responsive Investment Contracts Held by Certain Investment Companies Subject to the AICPA Investment Company guide and Defined-Contribution Health and Welfare and Pension Plans </w:t>
      </w:r>
      <w:r>
        <w:rPr>
          <w:rFonts w:ascii="Arial" w:cs="Arial" w:eastAsia="Arial" w:hAnsi="Arial"/>
          <w:sz w:val="17"/>
          <w:szCs w:val="17"/>
          <w:color w:val="auto"/>
        </w:rPr>
        <w:t>(the FSP). As required by the FSP, investment contracts held by a</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presented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09" w:lineRule="exact"/>
        <w:rPr>
          <w:sz w:val="20"/>
          <w:szCs w:val="20"/>
          <w:color w:val="auto"/>
        </w:rPr>
      </w:pPr>
    </w:p>
    <w:p>
      <w:pPr>
        <w:ind w:left="809" w:hanging="485"/>
        <w:spacing w:after="0"/>
        <w:tabs>
          <w:tab w:leader="none" w:pos="809"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79" w:lineRule="exact"/>
        <w:rPr>
          <w:sz w:val="20"/>
          <w:szCs w:val="20"/>
          <w:color w:val="auto"/>
        </w:rPr>
      </w:pPr>
    </w:p>
    <w:p>
      <w:pPr>
        <w:ind w:left="729"/>
        <w:spacing w:after="0"/>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200" w:lineRule="exact"/>
        <w:rPr>
          <w:sz w:val="20"/>
          <w:szCs w:val="20"/>
          <w:color w:val="auto"/>
        </w:rPr>
      </w:pPr>
    </w:p>
    <w:p>
      <w:pPr>
        <w:spacing w:after="0" w:line="291" w:lineRule="exact"/>
        <w:rPr>
          <w:sz w:val="20"/>
          <w:szCs w:val="20"/>
          <w:color w:val="auto"/>
        </w:rPr>
      </w:pPr>
    </w:p>
    <w:p>
      <w:pPr>
        <w:jc w:val="center"/>
        <w:ind w:right="23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9"/>
          </w:cols>
          <w:pgMar w:left="491" w:top="391" w:right="23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hanging="972"/>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the Plan document restated as of January 1, 2006 for more complete information.</w:t>
      </w:r>
    </w:p>
    <w:p>
      <w:pPr>
        <w:spacing w:after="0" w:line="19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20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 made.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other plans of other employers or other transfers to/from plans.</w:t>
      </w:r>
    </w:p>
    <w:p>
      <w:pPr>
        <w:spacing w:after="0" w:line="26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Pension benefits are paid to employees upon a participant’s normal retirement date or the date a participant incurs a termination of service. An election can be made for an early, late, or disability retirement date. Normal retirement benefits are paid monthly to the retiree or the surviving spouse of the retiree.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plan years ended December 31, 2006 and 2005, forfeited nonvested accounts totaled $0.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administrator of the Plan, absorbs all administrative costs of the Plan, except for the trustee fees.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ind w:left="37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J.P. Morgan Retirement Plan Services and The Toro Company are parties-in-interest with respect to the Plan. In the opinion of the Plan’s legal counsel, transactions between the Plan and the trustees are exempt from being considered as “prohibited transactions” under the ERISA Section 408(b).</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07"/>
        <w:spacing w:after="0"/>
        <w:tabs>
          <w:tab w:leader="none" w:pos="6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plan administrator has received a favorable determination letter dated April 15, 2003 from the Internal Revenue Service stating that the Plan constitutes a qualified plan under Section 401(a) of the Internal Revenue Code and that the trust created under the Plan is exempt from federal income tax under Section 501(a) of the Code. The Plan has been amended since the date of this letter; however it is the opinion of the Plan Administrator that the Plan and its related trust continue to qualify under the provisions of Sections 401(a) and 501(a) of the Code.</w:t>
      </w:r>
    </w:p>
    <w:p>
      <w:pPr>
        <w:spacing w:after="0" w:line="194" w:lineRule="exact"/>
        <w:rPr>
          <w:rFonts w:ascii="Arial" w:cs="Arial" w:eastAsia="Arial" w:hAnsi="Arial"/>
          <w:sz w:val="18"/>
          <w:szCs w:val="18"/>
          <w:b w:val="1"/>
          <w:bCs w:val="1"/>
          <w:color w:val="auto"/>
        </w:rPr>
      </w:pPr>
    </w:p>
    <w:p>
      <w:pPr>
        <w:ind w:left="980" w:hanging="927"/>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Plan’s investments are held by J.P. Morgan Retirement Plan Services. Some of the investment funds available to participants also include mutual funds managed by J.P. Morgan Retirement Plan Services.</w:t>
      </w:r>
    </w:p>
    <w:p>
      <w:pPr>
        <w:spacing w:after="0" w:line="19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certain assets of the Plan are held together with assets of other plans sponsored by the Company in the Master Trust.</w:t>
      </w:r>
    </w:p>
    <w:p>
      <w:pPr>
        <w:spacing w:after="0" w:line="21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net assets available for benefits of the Master Trust as of December 31, 2006 and 2005 were $86,793,756 and $80,018,240, respectively. All assets of the Master Trust were held in short-term investment funds.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net assets available for benefits of the Master Trust for the years ended December 31, 2006 and 2005 were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3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342,341</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3,171,227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2,861,851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Deposits by participating plans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18,160,080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19,104,981</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Withdrawals by participating plans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(15,180,950)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(19,055,998)</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jc w:val="right"/>
              <w:ind w:right="2750"/>
              <w:spacing w:after="0"/>
              <w:rPr>
                <w:sz w:val="20"/>
                <w:szCs w:val="20"/>
                <w:color w:val="auto"/>
              </w:rPr>
            </w:pPr>
            <w:r>
              <w:rPr>
                <w:rFonts w:ascii="Arial" w:cs="Arial" w:eastAsia="Arial" w:hAnsi="Arial"/>
                <w:sz w:val="18"/>
                <w:szCs w:val="18"/>
                <w:color w:val="auto"/>
              </w:rPr>
              <w:t>Increase in net assets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6,775,516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3,253,175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jc w:val="right"/>
              <w:ind w:right="4330"/>
              <w:spacing w:after="0"/>
              <w:rPr>
                <w:sz w:val="20"/>
                <w:szCs w:val="20"/>
                <w:color w:val="auto"/>
              </w:rPr>
            </w:pPr>
            <w:r>
              <w:rPr>
                <w:rFonts w:ascii="Arial" w:cs="Arial" w:eastAsia="Arial" w:hAnsi="Arial"/>
                <w:sz w:val="18"/>
                <w:szCs w:val="18"/>
                <w:color w:val="auto"/>
              </w:rPr>
              <w:t>Beginning of year</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80,018,240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76,765,065</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jc w:val="right"/>
              <w:ind w:right="4330"/>
              <w:spacing w:after="0" w:line="196" w:lineRule="exact"/>
              <w:rPr>
                <w:sz w:val="20"/>
                <w:szCs w:val="20"/>
                <w:color w:val="auto"/>
              </w:rPr>
            </w:pPr>
            <w:r>
              <w:rPr>
                <w:rFonts w:ascii="Arial" w:cs="Arial" w:eastAsia="Arial" w:hAnsi="Arial"/>
                <w:sz w:val="18"/>
                <w:szCs w:val="18"/>
                <w:color w:val="auto"/>
              </w:rPr>
              <w:t>End of year</w:t>
            </w:r>
          </w:p>
        </w:tc>
        <w:tc>
          <w:tcPr>
            <w:tcW w:w="3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86,793,756</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80,018,240</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investments represent more than 5% of the Plan’s net assets available for benefits as of December 31, 2006 and 2005: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2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364,006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328,980</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440,534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377,903</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140,767</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1,368,027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1,375,665</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Master Trust fund</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2006 and 2005, the Plan’s investments (including gains and losses on investments bought and sold, as well as held during the year)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appreciated in value by $214,952 and $140,280, respectively,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52,613</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94,314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84,712</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Collective bond fund</w:t>
            </w: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r>
      <w:tr>
        <w:trPr>
          <w:trHeight w:val="27"/>
        </w:trPr>
        <w:tc>
          <w:tcPr>
            <w:tcW w:w="2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214,952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140,280</w:t>
            </w: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80" w:type="dxa"/>
            <w:vAlign w:val="bottom"/>
          </w:tcPr>
          <w:p>
            <w:pPr>
              <w:jc w:val="right"/>
              <w:ind w:right="2996"/>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ind w:left="37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95"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investment in Toro Company Common Stock is as follows:</w:t>
      </w:r>
    </w:p>
    <w:p>
      <w:pPr>
        <w:sectPr>
          <w:pgSz w:w="11900" w:h="16838" w:orient="portrait"/>
          <w:cols w:equalWidth="0" w:num="1">
            <w:col w:w="11380"/>
          </w:cols>
          <w:pgMar w:left="240" w:top="39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Toro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realized/unrealized gain in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fair value of investments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Transfers to/from other funds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(Decrease) increase in net assets</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available for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Beginning of year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1,368,027</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906,113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461,914</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2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10,956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7,248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94,314</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60,799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33,515</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105,270</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68,047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37,223</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61,837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35,651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(154,137)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(95,722)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(58,415)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(20,608)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(15,969)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8"/>
        </w:trPr>
        <w:tc>
          <w:tcPr>
            <w:tcW w:w="24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(7,638)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(7,993)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1,375,665</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914,106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461,559</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1,368,027</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906,113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461,914</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-3429635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-3121025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-2846705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-2555240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-2280285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-1988820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-1714500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-1440180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-1148715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-874395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-599440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-307975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40"/>
          </w:cols>
          <w:pgMar w:left="240" w:top="391" w:right="279" w:bottom="1440" w:gutter="0" w:footer="0" w:header="0"/>
          <w:type w:val="continuous"/>
        </w:sect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Toro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Net realized/unrealized gain in the</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fair value of investments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investment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Transfers to/from other funds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Increase in net assets</w:t>
      </w:r>
    </w:p>
    <w:p>
      <w:pPr>
        <w:spacing w:after="0" w:line="3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available for benefits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Beginning of year</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70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1,375,665</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914,106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461,559</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2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participant</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Participant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directed</w:t>
            </w: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7,801</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5,180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84,724</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60,626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92,525</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65,806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26,719</w:t>
            </w:r>
          </w:p>
        </w:tc>
        <w:tc>
          <w:tcPr>
            <w:tcW w:w="0" w:type="dxa"/>
            <w:vAlign w:val="bottom"/>
          </w:tcPr>
          <w:p>
            <w:pPr>
              <w:spacing w:after="0"/>
              <w:rPr>
                <w:sz w:val="1"/>
                <w:szCs w:val="1"/>
                <w:color w:val="auto"/>
              </w:rPr>
            </w:pPr>
          </w:p>
        </w:tc>
      </w:tr>
      <w:tr>
        <w:trPr>
          <w:trHeight w:val="418"/>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74,920</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44,720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(12,782)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(12,477)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(75,954)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(59,981)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8"/>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78,709</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38,068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40,641</w:t>
            </w: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1,296,956</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876,038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420,918</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1,375,665</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914,106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461,559</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-3429635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-3121025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-2846705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-2555240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-2280285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-1988820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-1714500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-1440180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-1148715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-874395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-599440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-307975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020" w:space="720"/>
            <w:col w:w="7640"/>
          </w:cols>
          <w:pgMar w:left="240" w:top="391" w:right="27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hanging="972"/>
        <w:spacing w:after="0"/>
        <w:tabs>
          <w:tab w:leader="none" w:pos="9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307" w:lineRule="exact"/>
        <w:rPr>
          <w:sz w:val="20"/>
          <w:szCs w:val="20"/>
          <w:color w:val="auto"/>
        </w:rPr>
      </w:pPr>
    </w:p>
    <w:p>
      <w:pPr>
        <w:jc w:val="center"/>
        <w:ind w:left="1006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5715</wp:posOffset>
            </wp:positionV>
            <wp:extent cx="7200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p>
      <w:pPr>
        <w:spacing w:after="0" w:line="22" w:lineRule="exact"/>
        <w:rPr>
          <w:sz w:val="20"/>
          <w:szCs w:val="20"/>
          <w:color w:val="auto"/>
        </w:rPr>
      </w:pPr>
    </w:p>
    <w:p>
      <w:pPr>
        <w:ind w:right="4157"/>
        <w:spacing w:after="0" w:line="258" w:lineRule="auto"/>
        <w:rPr>
          <w:sz w:val="20"/>
          <w:szCs w:val="20"/>
          <w:color w:val="auto"/>
        </w:rPr>
      </w:pPr>
      <w:r>
        <w:rPr>
          <w:rFonts w:ascii="Arial" w:cs="Arial" w:eastAsia="Arial" w:hAnsi="Arial"/>
          <w:sz w:val="18"/>
          <w:szCs w:val="18"/>
          <w:color w:val="auto"/>
        </w:rPr>
        <w:t>Net assets available for benefits as presented in these financial statements Adjustment from contract value to fair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fully benefit-responsive investment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these financial statements</w:t>
      </w:r>
    </w:p>
    <w:p>
      <w:pPr>
        <w:spacing w:after="0" w:line="9" w:lineRule="exact"/>
        <w:rPr>
          <w:sz w:val="20"/>
          <w:szCs w:val="20"/>
          <w:color w:val="auto"/>
        </w:rPr>
      </w:pPr>
    </w:p>
    <w:p>
      <w:pPr>
        <w:jc w:val="center"/>
        <w:ind w:right="5977"/>
        <w:spacing w:after="0"/>
        <w:rPr>
          <w:sz w:val="20"/>
          <w:szCs w:val="20"/>
          <w:color w:val="auto"/>
        </w:rPr>
      </w:pPr>
      <w:r>
        <w:rPr>
          <w:rFonts w:ascii="Arial" w:cs="Arial" w:eastAsia="Arial" w:hAnsi="Arial"/>
          <w:sz w:val="16"/>
          <w:szCs w:val="16"/>
          <w:color w:val="auto"/>
        </w:rPr>
        <w:t>Adjustment from contract value to fair value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jc w:val="center"/>
        <w:ind w:right="5977"/>
        <w:spacing w:after="0"/>
        <w:rPr>
          <w:sz w:val="20"/>
          <w:szCs w:val="20"/>
          <w:color w:val="auto"/>
        </w:rPr>
      </w:pPr>
      <w:r>
        <w:rPr>
          <w:rFonts w:ascii="Arial" w:cs="Arial" w:eastAsia="Arial" w:hAnsi="Arial"/>
          <w:sz w:val="17"/>
          <w:szCs w:val="17"/>
          <w:color w:val="auto"/>
        </w:rPr>
        <w:t>fully benefit-responsive investment contracts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employer contribution receivable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employee contribution receivable at December 31,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 w:lineRule="exact"/>
        <w:rPr>
          <w:sz w:val="20"/>
          <w:szCs w:val="20"/>
          <w:color w:val="auto"/>
        </w:rPr>
      </w:pPr>
    </w:p>
    <w:p>
      <w:pPr>
        <w:jc w:val="both"/>
        <w:ind w:left="120" w:right="4257" w:hanging="113"/>
        <w:spacing w:after="0" w:line="277" w:lineRule="auto"/>
        <w:rPr>
          <w:sz w:val="20"/>
          <w:szCs w:val="20"/>
          <w:color w:val="auto"/>
        </w:rPr>
      </w:pPr>
      <w:r>
        <w:rPr>
          <w:rFonts w:ascii="Arial" w:cs="Arial" w:eastAsia="Arial" w:hAnsi="Arial"/>
          <w:sz w:val="18"/>
          <w:szCs w:val="18"/>
          <w:color w:val="auto"/>
        </w:rPr>
        <w:t>Adjustment for employee contribution receivable at December 31, 2005 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23" w:hanging="423"/>
        <w:spacing w:after="0"/>
        <w:tabs>
          <w:tab w:leader="none" w:pos="4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2,985,293</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(2,508)</w:t>
      </w:r>
    </w:p>
    <w:p>
      <w:pPr>
        <w:spacing w:after="0" w:line="22" w:lineRule="exact"/>
        <w:rPr>
          <w:sz w:val="20"/>
          <w:szCs w:val="20"/>
          <w:color w:val="auto"/>
        </w:rPr>
      </w:pPr>
    </w:p>
    <w:p>
      <w:pPr>
        <w:ind w:left="423" w:hanging="423"/>
        <w:spacing w:after="0"/>
        <w:tabs>
          <w:tab w:leader="none" w:pos="4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2,978,745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7"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198,291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195,596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9457" w:space="720"/>
            <w:col w:w="1203"/>
          </w:cols>
          <w:pgMar w:left="240" w:top="391" w:right="279" w:bottom="1440" w:gutter="0" w:footer="0" w:header="0"/>
          <w:type w:val="continuous"/>
        </w:sect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type w:val="continuous"/>
        </w:sectPr>
      </w:pPr>
    </w:p>
    <w:bookmarkStart w:id="13" w:name="page14"/>
    <w:bookmarkEnd w:id="13"/>
    <w:p>
      <w:pPr>
        <w:jc w:val="center"/>
        <w:ind w:left="2083"/>
        <w:spacing w:after="0"/>
        <w:rPr>
          <w:sz w:val="20"/>
          <w:szCs w:val="20"/>
          <w:color w:val="auto"/>
        </w:rPr>
      </w:pPr>
      <w:r>
        <w:rPr>
          <w:rFonts w:ascii="Arial" w:cs="Arial" w:eastAsia="Arial" w:hAnsi="Arial"/>
          <w:sz w:val="18"/>
          <w:szCs w:val="18"/>
          <w:b w:val="1"/>
          <w:bCs w:val="1"/>
          <w:color w:val="auto"/>
        </w:rPr>
        <w:t>THE TORO COMPANY PROFIT-SHARING PLAN</w:t>
      </w:r>
    </w:p>
    <w:p>
      <w:pPr>
        <w:spacing w:after="0" w:line="36" w:lineRule="exact"/>
        <w:rPr>
          <w:sz w:val="20"/>
          <w:szCs w:val="20"/>
          <w:color w:val="auto"/>
        </w:rPr>
      </w:pPr>
    </w:p>
    <w:p>
      <w:pPr>
        <w:jc w:val="center"/>
        <w:ind w:left="2083"/>
        <w:spacing w:after="0"/>
        <w:rPr>
          <w:sz w:val="20"/>
          <w:szCs w:val="20"/>
          <w:color w:val="auto"/>
        </w:rPr>
      </w:pPr>
      <w:r>
        <w:rPr>
          <w:rFonts w:ascii="Arial" w:cs="Arial" w:eastAsia="Arial" w:hAnsi="Arial"/>
          <w:sz w:val="18"/>
          <w:szCs w:val="18"/>
          <w:b w:val="1"/>
          <w:bCs w:val="1"/>
          <w:color w:val="auto"/>
        </w:rPr>
        <w:t>FOR PLYMOUTH UNION EMPLOYEES</w:t>
      </w: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December 31, 2006 and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157"/>
        <w:spacing w:after="0" w:line="266" w:lineRule="auto"/>
        <w:rPr>
          <w:sz w:val="20"/>
          <w:szCs w:val="20"/>
          <w:color w:val="auto"/>
        </w:rPr>
      </w:pPr>
      <w:r>
        <w:rPr>
          <w:rFonts w:ascii="Arial" w:cs="Arial" w:eastAsia="Arial" w:hAnsi="Arial"/>
          <w:sz w:val="18"/>
          <w:szCs w:val="18"/>
          <w:color w:val="auto"/>
        </w:rPr>
        <w:t>Net assets available for benefits as presented in these financial statements 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 in these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employee contribution receivable at December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2004</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increase in net assets available for benefits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presented on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423" w:hanging="423"/>
        <w:spacing w:after="0"/>
        <w:tabs>
          <w:tab w:leader="none" w:pos="4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2,787,002</w:t>
      </w:r>
    </w:p>
    <w:p>
      <w:pPr>
        <w:spacing w:after="0" w:line="34" w:lineRule="exact"/>
        <w:rPr>
          <w:rFonts w:ascii="Arial" w:cs="Arial" w:eastAsia="Arial" w:hAnsi="Arial"/>
          <w:sz w:val="17"/>
          <w:szCs w:val="17"/>
          <w:color w:val="auto"/>
        </w:rPr>
      </w:pPr>
    </w:p>
    <w:p>
      <w:pPr>
        <w:ind w:left="803"/>
        <w:spacing w:after="0"/>
        <w:rPr>
          <w:rFonts w:ascii="Arial" w:cs="Arial" w:eastAsia="Arial" w:hAnsi="Arial"/>
          <w:sz w:val="17"/>
          <w:szCs w:val="17"/>
          <w:color w:val="auto"/>
        </w:rPr>
      </w:pPr>
      <w:r>
        <w:rPr>
          <w:rFonts w:ascii="Arial" w:cs="Arial" w:eastAsia="Arial" w:hAnsi="Arial"/>
          <w:sz w:val="17"/>
          <w:szCs w:val="17"/>
          <w:color w:val="auto"/>
        </w:rPr>
        <w:t>(867)</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w:t>
      </w:r>
    </w:p>
    <w:p>
      <w:pPr>
        <w:spacing w:after="0" w:line="22" w:lineRule="exact"/>
        <w:rPr>
          <w:sz w:val="20"/>
          <w:szCs w:val="20"/>
          <w:color w:val="auto"/>
        </w:rPr>
      </w:pPr>
    </w:p>
    <w:p>
      <w:pPr>
        <w:ind w:left="423" w:hanging="423"/>
        <w:spacing w:after="0"/>
        <w:tabs>
          <w:tab w:leader="none" w:pos="4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2,783,149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00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7200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7"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57"/>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359,429</w:t>
      </w:r>
    </w:p>
    <w:p>
      <w:pPr>
        <w:spacing w:after="0" w:line="23" w:lineRule="exact"/>
        <w:rPr>
          <w:rFonts w:ascii="Arial" w:cs="Arial" w:eastAsia="Arial" w:hAnsi="Arial"/>
          <w:sz w:val="18"/>
          <w:szCs w:val="18"/>
          <w:color w:val="auto"/>
        </w:rPr>
      </w:pPr>
    </w:p>
    <w:p>
      <w:pPr>
        <w:ind w:left="803"/>
        <w:spacing w:after="0"/>
        <w:rPr>
          <w:rFonts w:ascii="Arial" w:cs="Arial" w:eastAsia="Arial" w:hAnsi="Arial"/>
          <w:sz w:val="18"/>
          <w:szCs w:val="18"/>
          <w:color w:val="auto"/>
        </w:rPr>
      </w:pPr>
      <w:r>
        <w:rPr>
          <w:rFonts w:ascii="Arial" w:cs="Arial" w:eastAsia="Arial" w:hAnsi="Arial"/>
          <w:sz w:val="17"/>
          <w:szCs w:val="17"/>
          <w:color w:val="auto"/>
        </w:rPr>
        <w:t>(867)</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684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358,578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2">
            <w:col w:w="9457" w:space="720"/>
            <w:col w:w="1203"/>
          </w:cols>
          <w:pgMar w:left="240" w:top="391" w:right="279" w:bottom="1440" w:gutter="0" w:footer="0" w:header="0"/>
        </w:sectPr>
      </w:pPr>
    </w:p>
    <w:bookmarkStart w:id="14" w:name="page15"/>
    <w:bookmarkEnd w:id="14"/>
    <w:p>
      <w:pPr>
        <w:ind w:left="10480"/>
        <w:spacing w:after="0"/>
        <w:rPr>
          <w:sz w:val="20"/>
          <w:szCs w:val="20"/>
          <w:color w:val="auto"/>
        </w:rPr>
      </w:pPr>
      <w:r>
        <w:rPr>
          <w:rFonts w:ascii="Arial" w:cs="Arial" w:eastAsia="Arial" w:hAnsi="Arial"/>
          <w:sz w:val="17"/>
          <w:szCs w:val="17"/>
          <w:b w:val="1"/>
          <w:bCs w:val="1"/>
          <w:color w:val="auto"/>
        </w:rPr>
        <w:t>Schedule 1</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Schedule of Assets (Held at End of the Year)</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Face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ind w:left="32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or shares</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Barclays Global Investors</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Artisan Mid Cap Fund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JPM Mid Cap Value*</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STI Classics Small Cap Growth Stock Fund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Growth Fund of America</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11,145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ICM Small Company</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58,118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29,314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Master Trust fund</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248,022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360"/>
              <w:spacing w:after="0" w:line="196" w:lineRule="exact"/>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718,418</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2,978,392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*Party-in-interest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**Party-in-interest, participant and nonparticipant directed investment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***Information not required for participant directed investments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jc w:val="center"/>
        <w:ind w:right="-2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 Profit-Sharing Plan for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Plymouth Union Employees</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28, 2007</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ind w:left="19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486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0"/>
              </w:rPr>
              <w:t>Consent of Independent Registered Public Accounting Firm</w:t>
            </w:r>
          </w:p>
        </w:tc>
      </w:tr>
    </w:tbl>
    <w:p>
      <w:pPr>
        <w:sectPr>
          <w:pgSz w:w="11900" w:h="16838" w:orient="portrait"/>
          <w:cols w:equalWidth="0" w:num="1">
            <w:col w:w="10219"/>
          </w:cols>
          <w:pgMar w:left="240" w:top="85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incorporation by reference in the Registration Statements (Nos. 333-119504 and 333-119506) on Form S-8 of The Toro Company, of our report dated June 28, 2007, relating to the statements of net assets available for benefits of The Toro Company Profit-Sharing Plan for Plymouth Union Employees as of December 31, 2006 and 2005, the related statements of changes in net assets available for benefits for the years then ended, and the related supplemental schedule as of December 31, 2006, which report appears in the December 31, 2006 annual report on Form 11-K of The Toro Company Profit-Sharing Plan for Plymouth Union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lowerLetter"/>
      <w:start w:val="3"/>
    </w:lvl>
  </w:abstractNum>
  <w:abstractNum w:abstractNumId="5">
    <w:nsid w:val="3352255A"/>
    <w:multiLevelType w:val="hybridMultilevel"/>
    <w:lvl w:ilvl="0">
      <w:lvlJc w:val="left"/>
      <w:lvlText w:val="(%1)"/>
      <w:numFmt w:val="lowerLetter"/>
      <w:start w:val="4"/>
    </w:lvl>
  </w:abstractNum>
  <w:abstractNum w:abstractNumId="6">
    <w:nsid w:val="109CF92E"/>
    <w:multiLevelType w:val="hybridMultilevel"/>
    <w:lvl w:ilvl="0">
      <w:lvlJc w:val="left"/>
      <w:lvlText w:val="(%1)"/>
      <w:numFmt w:val="lowerLetter"/>
      <w:start w:val="5"/>
    </w:lvl>
  </w:abstractNum>
  <w:abstractNum w:abstractNumId="7">
    <w:nsid w:val="DED7263"/>
    <w:multiLevelType w:val="hybridMultilevel"/>
    <w:lvl w:ilvl="0">
      <w:lvlJc w:val="left"/>
      <w:lvlText w:val="(%1)"/>
      <w:numFmt w:val="lowerLetter"/>
      <w:start w:val="6"/>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3"/>
    </w:lvl>
    <w:lvl w:ilvl="1">
      <w:lvlJc w:val="left"/>
      <w:lvlText w:val="(%2)"/>
      <w:numFmt w:val="decimal"/>
      <w:start w:val="5"/>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2019-12-13T13:55:07Z</dcterms:created>
  <dcterms:modified xsi:type="dcterms:W3CDTF">2019-12-13T13:55:07Z</dcterms:modified>
</cp:coreProperties>
</file>