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8720" w:type="dxa"/>
            <w:vAlign w:val="bottom"/>
            <w:tcBorders>
              <w:right w:val="single" w:sz="8" w:color="auto"/>
            </w:tcBorders>
            <w:vMerge w:val="restart"/>
          </w:tcPr>
          <w:p>
            <w:pPr>
              <w:jc w:val="center"/>
              <w:ind w:left="2521"/>
              <w:spacing w:after="0"/>
              <w:rPr>
                <w:sz w:val="20"/>
                <w:szCs w:val="20"/>
                <w:color w:val="auto"/>
              </w:rPr>
            </w:pPr>
            <w:r>
              <w:rPr>
                <w:rFonts w:ascii="Arial" w:cs="Arial" w:eastAsia="Arial" w:hAnsi="Arial"/>
                <w:sz w:val="22"/>
                <w:szCs w:val="22"/>
                <w:b w:val="1"/>
                <w:bCs w:val="1"/>
                <w:color w:val="auto"/>
                <w:w w:val="97"/>
              </w:rPr>
              <w:t>UNITED STATES</w:t>
            </w:r>
          </w:p>
        </w:tc>
        <w:tc>
          <w:tcPr>
            <w:tcW w:w="270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96"/>
        </w:trPr>
        <w:tc>
          <w:tcPr>
            <w:tcW w:w="8720" w:type="dxa"/>
            <w:vAlign w:val="bottom"/>
            <w:tcBorders>
              <w:right w:val="single" w:sz="8" w:color="auto"/>
            </w:tcBorders>
            <w:vMerge w:val="continue"/>
          </w:tcPr>
          <w:p>
            <w:pPr>
              <w:spacing w:after="0"/>
              <w:rPr>
                <w:sz w:val="17"/>
                <w:szCs w:val="17"/>
                <w:color w:val="auto"/>
              </w:rPr>
            </w:pPr>
          </w:p>
        </w:tc>
        <w:tc>
          <w:tcPr>
            <w:tcW w:w="27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7"/>
        </w:trPr>
        <w:tc>
          <w:tcPr>
            <w:tcW w:w="8720" w:type="dxa"/>
            <w:vAlign w:val="bottom"/>
            <w:tcBorders>
              <w:right w:val="single" w:sz="8" w:color="auto"/>
            </w:tcBorders>
            <w:vMerge w:val="restart"/>
          </w:tcPr>
          <w:p>
            <w:pPr>
              <w:jc w:val="center"/>
              <w:ind w:left="252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720" w:type="dxa"/>
            <w:vAlign w:val="bottom"/>
            <w:tcBorders>
              <w:right w:val="single" w:sz="8" w:color="auto"/>
            </w:tcBorders>
            <w:vMerge w:val="continue"/>
          </w:tcPr>
          <w:p>
            <w:pPr>
              <w:spacing w:after="0"/>
              <w:rPr>
                <w:sz w:val="19"/>
                <w:szCs w:val="19"/>
                <w:color w:val="auto"/>
              </w:rPr>
            </w:pP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195"/>
        </w:trPr>
        <w:tc>
          <w:tcPr>
            <w:tcW w:w="8720" w:type="dxa"/>
            <w:vAlign w:val="bottom"/>
            <w:tcBorders>
              <w:right w:val="single" w:sz="8" w:color="auto"/>
            </w:tcBorders>
          </w:tcPr>
          <w:p>
            <w:pPr>
              <w:jc w:val="center"/>
              <w:ind w:left="2521"/>
              <w:spacing w:after="0" w:line="195" w:lineRule="exact"/>
              <w:rPr>
                <w:sz w:val="20"/>
                <w:szCs w:val="20"/>
                <w:color w:val="auto"/>
              </w:rPr>
            </w:pPr>
            <w:r>
              <w:rPr>
                <w:rFonts w:ascii="Arial" w:cs="Arial" w:eastAsia="Arial" w:hAnsi="Arial"/>
                <w:sz w:val="18"/>
                <w:szCs w:val="18"/>
                <w:b w:val="1"/>
                <w:bCs w:val="1"/>
                <w:color w:val="auto"/>
                <w:w w:val="91"/>
              </w:rPr>
              <w:t>Washington, D.C. 20549</w:t>
            </w:r>
          </w:p>
        </w:tc>
        <w:tc>
          <w:tcPr>
            <w:tcW w:w="27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0"/>
              </w:rPr>
              <w:t>Estimated average burden hours per</w:t>
            </w:r>
          </w:p>
        </w:tc>
        <w:tc>
          <w:tcPr>
            <w:tcW w:w="0" w:type="dxa"/>
            <w:vAlign w:val="bottom"/>
          </w:tcPr>
          <w:p>
            <w:pPr>
              <w:spacing w:after="0"/>
              <w:rPr>
                <w:sz w:val="1"/>
                <w:szCs w:val="1"/>
                <w:color w:val="auto"/>
              </w:rPr>
            </w:pPr>
          </w:p>
        </w:tc>
      </w:tr>
      <w:tr>
        <w:trPr>
          <w:trHeight w:val="230"/>
        </w:trPr>
        <w:tc>
          <w:tcPr>
            <w:tcW w:w="8720" w:type="dxa"/>
            <w:vAlign w:val="bottom"/>
            <w:tcBorders>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response. . 10.4</w:t>
            </w:r>
          </w:p>
        </w:tc>
        <w:tc>
          <w:tcPr>
            <w:tcW w:w="0" w:type="dxa"/>
            <w:vAlign w:val="bottom"/>
          </w:tcPr>
          <w:p>
            <w:pPr>
              <w:spacing w:after="0"/>
              <w:rPr>
                <w:sz w:val="1"/>
                <w:szCs w:val="1"/>
                <w:color w:val="auto"/>
              </w:rPr>
            </w:pPr>
          </w:p>
        </w:tc>
      </w:tr>
      <w:tr>
        <w:trPr>
          <w:trHeight w:val="463"/>
        </w:trPr>
        <w:tc>
          <w:tcPr>
            <w:tcW w:w="8720" w:type="dxa"/>
            <w:vAlign w:val="bottom"/>
          </w:tcPr>
          <w:p>
            <w:pPr>
              <w:jc w:val="center"/>
              <w:ind w:left="2601"/>
              <w:spacing w:after="0"/>
              <w:rPr>
                <w:sz w:val="20"/>
                <w:szCs w:val="20"/>
                <w:color w:val="auto"/>
              </w:rPr>
            </w:pPr>
            <w:r>
              <w:rPr>
                <w:rFonts w:ascii="Arial" w:cs="Arial" w:eastAsia="Arial" w:hAnsi="Arial"/>
                <w:sz w:val="22"/>
                <w:szCs w:val="22"/>
                <w:b w:val="1"/>
                <w:bCs w:val="1"/>
                <w:color w:val="auto"/>
                <w:w w:val="96"/>
              </w:rPr>
              <w:t>SCHEDULE 13G</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720" w:type="dxa"/>
            <w:vAlign w:val="bottom"/>
          </w:tcPr>
          <w:p>
            <w:pPr>
              <w:jc w:val="center"/>
              <w:ind w:left="262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20" w:type="dxa"/>
            <w:vAlign w:val="bottom"/>
          </w:tcPr>
          <w:p>
            <w:pPr>
              <w:jc w:val="center"/>
              <w:ind w:left="2621"/>
              <w:spacing w:after="0"/>
              <w:rPr>
                <w:sz w:val="20"/>
                <w:szCs w:val="20"/>
                <w:color w:val="auto"/>
              </w:rPr>
            </w:pPr>
            <w:r>
              <w:rPr>
                <w:rFonts w:ascii="Arial" w:cs="Arial" w:eastAsia="Arial" w:hAnsi="Arial"/>
                <w:sz w:val="18"/>
                <w:szCs w:val="18"/>
                <w:b w:val="1"/>
                <w:bCs w:val="1"/>
                <w:color w:val="auto"/>
                <w:w w:val="92"/>
              </w:rPr>
              <w:t>(Amendment No. 2)*</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720" w:type="dxa"/>
            <w:vAlign w:val="bottom"/>
            <w:tcBorders>
              <w:bottom w:val="single" w:sz="8" w:color="auto"/>
            </w:tcBorders>
          </w:tcPr>
          <w:p>
            <w:pPr>
              <w:jc w:val="center"/>
              <w:ind w:left="2601"/>
              <w:spacing w:after="0"/>
              <w:rPr>
                <w:sz w:val="20"/>
                <w:szCs w:val="20"/>
                <w:color w:val="auto"/>
              </w:rPr>
            </w:pPr>
            <w:r>
              <w:rPr>
                <w:rFonts w:ascii="Arial" w:cs="Arial" w:eastAsia="Arial" w:hAnsi="Arial"/>
                <w:sz w:val="32"/>
                <w:szCs w:val="32"/>
                <w:b w:val="1"/>
                <w:bCs w:val="1"/>
                <w:color w:val="auto"/>
                <w:w w:val="92"/>
              </w:rPr>
              <w:t>The Toro Company</w:t>
            </w: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720" w:type="dxa"/>
            <w:vAlign w:val="bottom"/>
          </w:tcPr>
          <w:p>
            <w:pPr>
              <w:jc w:val="center"/>
              <w:ind w:left="2601"/>
              <w:spacing w:after="0"/>
              <w:rPr>
                <w:sz w:val="20"/>
                <w:szCs w:val="20"/>
                <w:color w:val="auto"/>
              </w:rPr>
            </w:pPr>
            <w:r>
              <w:rPr>
                <w:rFonts w:ascii="Arial" w:cs="Arial" w:eastAsia="Arial" w:hAnsi="Arial"/>
                <w:sz w:val="18"/>
                <w:szCs w:val="18"/>
                <w:color w:val="auto"/>
                <w:w w:val="90"/>
              </w:rPr>
              <w:t>(Name of Issuer)</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20" w:type="dxa"/>
            <w:vAlign w:val="bottom"/>
          </w:tcPr>
          <w:p>
            <w:pPr>
              <w:jc w:val="center"/>
              <w:ind w:left="2601"/>
              <w:spacing w:after="0"/>
              <w:rPr>
                <w:sz w:val="20"/>
                <w:szCs w:val="20"/>
                <w:color w:val="auto"/>
              </w:rPr>
            </w:pPr>
            <w:r>
              <w:rPr>
                <w:rFonts w:ascii="Arial" w:cs="Arial" w:eastAsia="Arial" w:hAnsi="Arial"/>
                <w:sz w:val="18"/>
                <w:szCs w:val="18"/>
                <w:b w:val="1"/>
                <w:bCs w:val="1"/>
                <w:color w:val="auto"/>
                <w:w w:val="89"/>
              </w:rPr>
              <w:t>Common Stock</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7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720" w:type="dxa"/>
            <w:vAlign w:val="bottom"/>
          </w:tcPr>
          <w:p>
            <w:pPr>
              <w:jc w:val="center"/>
              <w:ind w:left="2621"/>
              <w:spacing w:after="0"/>
              <w:rPr>
                <w:sz w:val="20"/>
                <w:szCs w:val="20"/>
                <w:color w:val="auto"/>
              </w:rPr>
            </w:pPr>
            <w:r>
              <w:rPr>
                <w:rFonts w:ascii="Arial" w:cs="Arial" w:eastAsia="Arial" w:hAnsi="Arial"/>
                <w:sz w:val="18"/>
                <w:szCs w:val="18"/>
                <w:color w:val="auto"/>
                <w:w w:val="92"/>
              </w:rPr>
              <w:t>(Title of Class of Securities)</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20" w:type="dxa"/>
            <w:vAlign w:val="bottom"/>
          </w:tcPr>
          <w:p>
            <w:pPr>
              <w:jc w:val="center"/>
              <w:ind w:left="2601"/>
              <w:spacing w:after="0"/>
              <w:rPr>
                <w:sz w:val="20"/>
                <w:szCs w:val="20"/>
                <w:color w:val="auto"/>
              </w:rPr>
            </w:pPr>
            <w:r>
              <w:rPr>
                <w:rFonts w:ascii="Arial" w:cs="Arial" w:eastAsia="Arial" w:hAnsi="Arial"/>
                <w:sz w:val="18"/>
                <w:szCs w:val="18"/>
                <w:b w:val="1"/>
                <w:bCs w:val="1"/>
                <w:color w:val="auto"/>
                <w:w w:val="90"/>
              </w:rPr>
              <w:t>891092108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7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720" w:type="dxa"/>
            <w:vAlign w:val="bottom"/>
          </w:tcPr>
          <w:p>
            <w:pPr>
              <w:jc w:val="center"/>
              <w:ind w:left="2601"/>
              <w:spacing w:after="0"/>
              <w:rPr>
                <w:sz w:val="20"/>
                <w:szCs w:val="20"/>
                <w:color w:val="auto"/>
              </w:rPr>
            </w:pPr>
            <w:r>
              <w:rPr>
                <w:rFonts w:ascii="Arial" w:cs="Arial" w:eastAsia="Arial" w:hAnsi="Arial"/>
                <w:sz w:val="18"/>
                <w:szCs w:val="18"/>
                <w:color w:val="auto"/>
                <w:w w:val="92"/>
              </w:rPr>
              <w:t>(CUSIP Number)</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720" w:type="dxa"/>
            <w:vAlign w:val="bottom"/>
            <w:tcBorders>
              <w:bottom w:val="single" w:sz="8" w:color="auto"/>
            </w:tcBorders>
          </w:tcPr>
          <w:p>
            <w:pPr>
              <w:jc w:val="center"/>
              <w:ind w:left="2601"/>
              <w:spacing w:after="0"/>
              <w:rPr>
                <w:sz w:val="20"/>
                <w:szCs w:val="20"/>
                <w:color w:val="auto"/>
              </w:rPr>
            </w:pPr>
            <w:r>
              <w:rPr>
                <w:rFonts w:ascii="Arial" w:cs="Arial" w:eastAsia="Arial" w:hAnsi="Arial"/>
                <w:sz w:val="18"/>
                <w:szCs w:val="18"/>
                <w:b w:val="1"/>
                <w:bCs w:val="1"/>
                <w:color w:val="auto"/>
                <w:w w:val="90"/>
              </w:rPr>
              <w:t>December 31, 2008</w:t>
            </w: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20" w:type="dxa"/>
            <w:vAlign w:val="bottom"/>
          </w:tcPr>
          <w:p>
            <w:pPr>
              <w:jc w:val="center"/>
              <w:ind w:left="2601"/>
              <w:spacing w:after="0"/>
              <w:rPr>
                <w:sz w:val="20"/>
                <w:szCs w:val="20"/>
                <w:color w:val="auto"/>
              </w:rPr>
            </w:pPr>
            <w:r>
              <w:rPr>
                <w:rFonts w:ascii="Arial" w:cs="Arial" w:eastAsia="Arial" w:hAnsi="Arial"/>
                <w:sz w:val="18"/>
                <w:szCs w:val="18"/>
                <w:color w:val="auto"/>
                <w:w w:val="92"/>
              </w:rPr>
              <w:t>(Date of Event Which Requires Filing of this Statement)</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Mairs and Power, Inc. 41 - 0844499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44" w:right="239" w:bottom="463"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5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50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2,057,500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2,444,391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60"/>
          </w:cols>
          <w:pgMar w:left="240" w:top="444" w:right="239" w:bottom="463" w:gutter="0" w:footer="0" w:header="0"/>
          <w:type w:val="continuous"/>
        </w:sectPr>
      </w:pPr>
    </w:p>
    <w:bookmarkStart w:id="1" w:name="page2"/>
    <w:bookmarkEnd w:id="1"/>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2,444,391</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6.9%</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right="8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jc w:val="both"/>
        <w:ind w:left="1440" w:right="812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440" w:right="78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3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360" w:type="dxa"/>
            <w:vAlign w:val="bottom"/>
            <w:vMerge w:val="restart"/>
          </w:tcPr>
          <w:p>
            <w:pPr>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380" w:type="dxa"/>
            <w:vAlign w:val="bottom"/>
          </w:tcPr>
          <w:p>
            <w:pPr>
              <w:ind w:left="220"/>
              <w:spacing w:after="0"/>
              <w:rPr>
                <w:sz w:val="20"/>
                <w:szCs w:val="20"/>
                <w:color w:val="auto"/>
              </w:rPr>
            </w:pPr>
            <w:r>
              <w:rPr>
                <w:rFonts w:ascii="Arial" w:cs="Arial" w:eastAsia="Arial" w:hAnsi="Arial"/>
                <w:sz w:val="18"/>
                <w:szCs w:val="18"/>
                <w:color w:val="auto"/>
                <w:w w:val="92"/>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2"/>
        </w:trPr>
        <w:tc>
          <w:tcPr>
            <w:tcW w:w="3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380" w:type="dxa"/>
            <w:vAlign w:val="bottom"/>
            <w:vMerge w:val="restart"/>
          </w:tcPr>
          <w:p>
            <w:pPr>
              <w:ind w:left="220"/>
              <w:spacing w:after="0"/>
              <w:rPr>
                <w:sz w:val="20"/>
                <w:szCs w:val="20"/>
                <w:color w:val="auto"/>
              </w:rPr>
            </w:pPr>
            <w:r>
              <w:rPr>
                <w:rFonts w:ascii="Arial" w:cs="Arial" w:eastAsia="Arial" w:hAnsi="Arial"/>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00" w:top="179" w:right="399" w:bottom="300" w:gutter="0" w:footer="0" w:header="0"/>
        </w:sectPr>
      </w:pP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30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40" w:hanging="394"/>
        <w:spacing w:after="0" w:line="324"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2,444,391</w:t>
      </w:r>
    </w:p>
    <w:p>
      <w:pPr>
        <w:spacing w:after="0" w:line="116"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49"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6.9%</w:t>
      </w:r>
    </w:p>
    <w:p>
      <w:pPr>
        <w:spacing w:after="0" w:line="211"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229235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-627380</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20" w:right="6280" w:hanging="453"/>
        <w:spacing w:after="0" w:line="324"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2,057,500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5715</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20" w:right="6100" w:hanging="478"/>
        <w:spacing w:after="0" w:line="324"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5715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20" w:right="5360" w:hanging="503"/>
        <w:spacing w:after="0" w:line="324"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2,444,391</w:t>
      </w:r>
    </w:p>
    <w:p>
      <w:pPr>
        <w:spacing w:after="0" w:line="116" w:lineRule="exact"/>
        <w:rPr>
          <w:rFonts w:ascii="Arial" w:cs="Arial" w:eastAsia="Arial" w:hAnsi="Arial"/>
          <w:sz w:val="18"/>
          <w:szCs w:val="18"/>
          <w:color w:val="auto"/>
        </w:rPr>
      </w:pPr>
    </w:p>
    <w:p>
      <w:pPr>
        <w:ind w:left="2220" w:right="5180" w:hanging="498"/>
        <w:spacing w:after="0" w:line="324"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5715</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-422275</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**Note 1** Mairs and Power, Inc. (“Mairs and Power”), an investment adviser registered under Section 203 of the Investment Advisers Act of 1940, furnishes investment advice to two investment companies registered under the Investment Company Act of 1940 and serves as investment manager to certain other commingled group trusts and separate accounts. These investment companies, trusts and accounts are the “Funds”. In its role as investment advisor or manager, Mairs and Power possesses investment and/or voting power over the securities of the Issuer described in this schedule that are owned by the Funds, and may be deemed to be the beneficial owner of the shares of the Issuer held by the Funds. All of the securities reported in this schedule are owned by the Funds. Mairs and Power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00"/>
        <w:spacing w:after="0" w:line="259" w:lineRule="auto"/>
        <w:rPr>
          <w:sz w:val="20"/>
          <w:szCs w:val="20"/>
          <w:color w:val="auto"/>
        </w:rPr>
      </w:pPr>
      <w:r>
        <w:rPr>
          <w:rFonts w:ascii="Arial" w:cs="Arial" w:eastAsia="Arial" w:hAnsi="Arial"/>
          <w:sz w:val="18"/>
          <w:szCs w:val="18"/>
          <w:color w:val="auto"/>
        </w:rPr>
        <w:t>Various persons have the right to receive or the power to direct the receipt of dividends from, or the proceeds from the sale of, the Common Stock of Toro Company. The interest of one person, Mairs and Power Growth Fund, Inc., an investment company registered under the Investment Company Act of 1940, in the Common Stock of Toro Company, amounted to 1,860,000 shares or 5.2% of the total outstanding Common Stock at December 31, 2008.</w:t>
      </w:r>
    </w:p>
    <w:p>
      <w:pPr>
        <w:spacing w:after="0" w:line="291" w:lineRule="exact"/>
        <w:rPr>
          <w:sz w:val="20"/>
          <w:szCs w:val="20"/>
          <w:color w:val="auto"/>
        </w:rPr>
      </w:pPr>
    </w:p>
    <w:p>
      <w:pPr>
        <w:ind w:left="1120" w:right="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460" w:hanging="499"/>
        <w:spacing w:after="0" w:line="259"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00"/>
          </w:cols>
          <w:pgMar w:left="300" w:top="391" w:right="299" w:bottom="7"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2009</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Jon A. Theobald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Jon A. Theobald/President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60"/>
      </w:cols>
      <w:pgMar w:left="24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1"/>
    </w:lvl>
    <w:lvl w:ilvl="1">
      <w:lvlJc w:val="left"/>
      <w:lvlText w:val="%2."/>
      <w:numFmt w:val="decimal"/>
      <w:start w:val="8"/>
    </w:lvl>
  </w:abstractNum>
  <w:abstractNum w:abstractNumId="3">
    <w:nsid w:val="7545E146"/>
    <w:multiLevelType w:val="hybridMultilevel"/>
    <w:lvl w:ilvl="0">
      <w:lvlJc w:val="left"/>
      <w:lvlText w:val="%1."/>
      <w:numFmt w:val="decimal"/>
      <w:start w:val="9"/>
    </w:lvl>
    <w:lvl w:ilvl="1">
      <w:lvlJc w:val="left"/>
      <w:lvlText w:val="%2"/>
      <w:numFmt w:val="decimal"/>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2019-12-10T05:41:01Z</dcterms:created>
  <dcterms:modified xsi:type="dcterms:W3CDTF">2019-12-10T05:41:01Z</dcterms:modified>
</cp:coreProperties>
</file>