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5855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8553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DAHL AMY E</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12/15/2021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00"/>
        <w:spacing w:after="0"/>
        <w:rPr>
          <w:sz w:val="20"/>
          <w:szCs w:val="20"/>
          <w:color w:val="auto"/>
        </w:rPr>
      </w:pPr>
      <w:r>
        <w:rPr>
          <w:rFonts w:ascii="Arial" w:cs="Arial" w:eastAsia="Arial" w:hAnsi="Arial"/>
          <w:sz w:val="17"/>
          <w:szCs w:val="17"/>
          <w:color w:val="0000FF"/>
        </w:rPr>
        <w:t>VP, HR &amp; GC</w:t>
      </w:r>
    </w:p>
    <w:p>
      <w:pPr>
        <w:spacing w:after="0" w:line="307"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2060" w:type="dxa"/>
            <w:vAlign w:val="bottom"/>
            <w:gridSpan w:val="2"/>
          </w:tcPr>
          <w:p>
            <w:pPr>
              <w:ind w:left="20"/>
              <w:spacing w:after="0"/>
              <w:rPr>
                <w:sz w:val="20"/>
                <w:szCs w:val="20"/>
                <w:color w:val="auto"/>
              </w:rPr>
            </w:pPr>
            <w:r>
              <w:rPr>
                <w:rFonts w:ascii="Arial" w:cs="Arial" w:eastAsia="Arial" w:hAnsi="Arial"/>
                <w:sz w:val="17"/>
                <w:szCs w:val="17"/>
                <w:color w:val="0000FF"/>
              </w:rPr>
              <w:t>BLOOMINGTON MN</w:t>
            </w:r>
          </w:p>
        </w:tc>
        <w:tc>
          <w:tcPr>
            <w:tcW w:w="1600" w:type="dxa"/>
            <w:vAlign w:val="bottom"/>
          </w:tcPr>
          <w:p>
            <w:pPr>
              <w:ind w:left="440"/>
              <w:spacing w:after="0"/>
              <w:rPr>
                <w:sz w:val="20"/>
                <w:szCs w:val="20"/>
                <w:color w:val="auto"/>
              </w:rPr>
            </w:pPr>
            <w:r>
              <w:rPr>
                <w:rFonts w:ascii="Arial" w:cs="Arial" w:eastAsia="Arial" w:hAnsi="Arial"/>
                <w:sz w:val="17"/>
                <w:szCs w:val="17"/>
                <w:color w:val="0000FF"/>
              </w:rPr>
              <w:t>55420</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98" w:lineRule="exact"/>
        <w:rPr>
          <w:sz w:val="24"/>
          <w:szCs w:val="24"/>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2A. Deemed</w:t>
            </w:r>
          </w:p>
        </w:tc>
        <w:tc>
          <w:tcPr>
            <w:tcW w:w="3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00"/>
              <w:spacing w:after="0" w:line="126"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0"/>
                <w:szCs w:val="10"/>
                <w:color w:val="auto"/>
              </w:rPr>
            </w:pPr>
          </w:p>
        </w:tc>
        <w:tc>
          <w:tcPr>
            <w:tcW w:w="106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6"/>
              </w:rPr>
              <w:t>Transaction</w:t>
            </w:r>
          </w:p>
        </w:tc>
        <w:tc>
          <w:tcPr>
            <w:tcW w:w="1960" w:type="dxa"/>
            <w:vAlign w:val="bottom"/>
            <w:gridSpan w:val="4"/>
          </w:tcPr>
          <w:p>
            <w:pPr>
              <w:ind w:left="10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7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0"/>
                <w:szCs w:val="10"/>
                <w:color w:val="auto"/>
              </w:rPr>
            </w:pPr>
          </w:p>
        </w:tc>
        <w:tc>
          <w:tcPr>
            <w:tcW w:w="88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80"/>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2"/>
          </w:tcPr>
          <w:p>
            <w:pPr>
              <w:ind w:left="7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Beneficially</w:t>
            </w:r>
          </w:p>
        </w:tc>
        <w:tc>
          <w:tcPr>
            <w:tcW w:w="4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12/15/2021</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1"/>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2,812</w:t>
            </w:r>
            <w:r>
              <w:rPr>
                <w:rFonts w:ascii="Arial" w:cs="Arial" w:eastAsia="Arial" w:hAnsi="Arial"/>
                <w:sz w:val="21"/>
                <w:szCs w:val="21"/>
                <w:color w:val="008000"/>
                <w:vertAlign w:val="superscript"/>
              </w:rPr>
              <w:t>(1)</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right="9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6"/>
              </w:rPr>
              <w:t>18,221.261</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2"/>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740" w:type="dxa"/>
            <w:vAlign w:val="bottom"/>
            <w:gridSpan w:val="2"/>
          </w:tcPr>
          <w:p>
            <w:pPr>
              <w:ind w:left="780"/>
              <w:spacing w:after="0"/>
              <w:rPr>
                <w:sz w:val="20"/>
                <w:szCs w:val="20"/>
                <w:color w:val="auto"/>
              </w:rPr>
            </w:pPr>
            <w:r>
              <w:rPr>
                <w:rFonts w:ascii="Arial" w:cs="Arial" w:eastAsia="Arial" w:hAnsi="Arial"/>
                <w:sz w:val="17"/>
                <w:szCs w:val="17"/>
                <w:color w:val="0000FF"/>
              </w:rPr>
              <w:t>12/15/2021</w:t>
            </w: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jc w:val="center"/>
              <w:ind w:right="241"/>
              <w:spacing w:after="0"/>
              <w:rPr>
                <w:sz w:val="20"/>
                <w:szCs w:val="20"/>
                <w:color w:val="auto"/>
              </w:rPr>
            </w:pPr>
            <w:r>
              <w:rPr>
                <w:rFonts w:ascii="Arial" w:cs="Arial" w:eastAsia="Arial" w:hAnsi="Arial"/>
                <w:sz w:val="13"/>
                <w:szCs w:val="13"/>
                <w:color w:val="0000FF"/>
              </w:rPr>
              <w:t>F</w:t>
            </w:r>
          </w:p>
        </w:tc>
        <w:tc>
          <w:tcPr>
            <w:tcW w:w="720" w:type="dxa"/>
            <w:vAlign w:val="bottom"/>
          </w:tcPr>
          <w:p>
            <w:pPr>
              <w:jc w:val="right"/>
              <w:ind w:right="96"/>
              <w:spacing w:after="0"/>
              <w:rPr>
                <w:sz w:val="20"/>
                <w:szCs w:val="20"/>
                <w:color w:val="auto"/>
              </w:rPr>
            </w:pPr>
            <w:r>
              <w:rPr>
                <w:rFonts w:ascii="Arial" w:cs="Arial" w:eastAsia="Arial" w:hAnsi="Arial"/>
                <w:sz w:val="17"/>
                <w:szCs w:val="17"/>
                <w:color w:val="0000FF"/>
              </w:rPr>
              <w:t>861</w:t>
            </w:r>
          </w:p>
        </w:tc>
        <w:tc>
          <w:tcPr>
            <w:tcW w:w="660" w:type="dxa"/>
            <w:vAlign w:val="bottom"/>
          </w:tcPr>
          <w:p>
            <w:pPr>
              <w:ind w:left="300"/>
              <w:spacing w:after="0"/>
              <w:rPr>
                <w:sz w:val="20"/>
                <w:szCs w:val="20"/>
                <w:color w:val="auto"/>
              </w:rPr>
            </w:pPr>
            <w:r>
              <w:rPr>
                <w:rFonts w:ascii="Arial" w:cs="Arial" w:eastAsia="Arial" w:hAnsi="Arial"/>
                <w:sz w:val="17"/>
                <w:szCs w:val="17"/>
                <w:color w:val="0000FF"/>
              </w:rPr>
              <w:t>D</w:t>
            </w:r>
          </w:p>
        </w:tc>
        <w:tc>
          <w:tcPr>
            <w:tcW w:w="54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98.03</w:t>
            </w:r>
          </w:p>
        </w:tc>
        <w:tc>
          <w:tcPr>
            <w:tcW w:w="4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86"/>
              </w:rPr>
              <w:t>17,360.261</w:t>
            </w:r>
          </w:p>
        </w:tc>
        <w:tc>
          <w:tcPr>
            <w:tcW w:w="340" w:type="dxa"/>
            <w:vAlign w:val="bottom"/>
          </w:tcPr>
          <w:p>
            <w:pPr>
              <w:spacing w:after="0"/>
              <w:rPr>
                <w:sz w:val="22"/>
                <w:szCs w:val="22"/>
                <w:color w:val="auto"/>
              </w:rPr>
            </w:pPr>
          </w:p>
        </w:tc>
        <w:tc>
          <w:tcPr>
            <w:tcW w:w="540" w:type="dxa"/>
            <w:vAlign w:val="bottom"/>
          </w:tcPr>
          <w:p>
            <w:pPr>
              <w:jc w:val="center"/>
              <w:ind w:right="312"/>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4"/>
              </w:rPr>
              <w:t>3,722.765</w:t>
            </w:r>
            <w:r>
              <w:rPr>
                <w:rFonts w:ascii="Arial" w:cs="Arial" w:eastAsia="Arial" w:hAnsi="Arial"/>
                <w:sz w:val="21"/>
                <w:szCs w:val="21"/>
                <w:color w:val="008000"/>
                <w:w w:val="84"/>
                <w:vertAlign w:val="superscript"/>
              </w:rPr>
              <w:t>(2)</w:t>
            </w:r>
          </w:p>
        </w:tc>
        <w:tc>
          <w:tcPr>
            <w:tcW w:w="340" w:type="dxa"/>
            <w:vAlign w:val="bottom"/>
          </w:tcPr>
          <w:p>
            <w:pPr>
              <w:spacing w:after="0"/>
              <w:rPr>
                <w:sz w:val="17"/>
                <w:szCs w:val="17"/>
                <w:color w:val="auto"/>
              </w:rPr>
            </w:pPr>
          </w:p>
        </w:tc>
        <w:tc>
          <w:tcPr>
            <w:tcW w:w="540" w:type="dxa"/>
            <w:vAlign w:val="bottom"/>
            <w:vMerge w:val="restart"/>
          </w:tcPr>
          <w:p>
            <w:pPr>
              <w:jc w:val="center"/>
              <w:ind w:right="292"/>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4"/>
            <w:vMerge w:val="restart"/>
          </w:tcPr>
          <w:p>
            <w:pPr>
              <w:ind w:left="80"/>
              <w:spacing w:after="0"/>
              <w:rPr>
                <w:sz w:val="20"/>
                <w:szCs w:val="20"/>
                <w:color w:val="auto"/>
              </w:rPr>
            </w:pPr>
            <w:r>
              <w:rPr>
                <w:rFonts w:ascii="Arial" w:cs="Arial" w:eastAsia="Arial" w:hAnsi="Arial"/>
                <w:sz w:val="17"/>
                <w:szCs w:val="17"/>
                <w:color w:val="0000FF"/>
              </w:rPr>
              <w:t>Retirement</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7,139.898</w:t>
            </w:r>
            <w:r>
              <w:rPr>
                <w:rFonts w:ascii="Arial" w:cs="Arial" w:eastAsia="Arial" w:hAnsi="Arial"/>
                <w:sz w:val="21"/>
                <w:szCs w:val="21"/>
                <w:color w:val="008000"/>
                <w:w w:val="84"/>
                <w:vertAlign w:val="superscript"/>
              </w:rPr>
              <w:t>(3)</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2"/>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jc w:val="center"/>
              <w:ind w:right="11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46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4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4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4"/>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20"/>
                <w:szCs w:val="20"/>
                <w:color w:val="auto"/>
              </w:rPr>
            </w:pPr>
            <w:r>
              <w:rPr>
                <w:rFonts w:ascii="Arial" w:cs="Arial" w:eastAsia="Arial" w:hAnsi="Arial"/>
                <w:sz w:val="12"/>
                <w:szCs w:val="12"/>
                <w:b w:val="1"/>
                <w:bCs w:val="1"/>
                <w:color w:val="auto"/>
                <w:w w:val="92"/>
              </w:rPr>
              <w:t>(Instr. 4)</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99.34</w:t>
            </w:r>
          </w:p>
        </w:tc>
        <w:tc>
          <w:tcPr>
            <w:tcW w:w="1040" w:type="dxa"/>
            <w:vAlign w:val="bottom"/>
          </w:tcPr>
          <w:p>
            <w:pPr>
              <w:jc w:val="right"/>
              <w:ind w:right="140"/>
              <w:spacing w:after="0"/>
              <w:rPr>
                <w:sz w:val="20"/>
                <w:szCs w:val="20"/>
                <w:color w:val="auto"/>
              </w:rPr>
            </w:pPr>
            <w:r>
              <w:rPr>
                <w:rFonts w:ascii="Arial" w:cs="Arial" w:eastAsia="Arial" w:hAnsi="Arial"/>
                <w:sz w:val="13"/>
                <w:szCs w:val="13"/>
                <w:color w:val="0000FF"/>
              </w:rPr>
              <w:t>12/16/2021</w:t>
            </w:r>
          </w:p>
        </w:tc>
        <w:tc>
          <w:tcPr>
            <w:tcW w:w="1140" w:type="dxa"/>
            <w:vAlign w:val="bottom"/>
          </w:tcPr>
          <w:p>
            <w:pPr>
              <w:spacing w:after="0"/>
              <w:rPr>
                <w:sz w:val="16"/>
                <w:szCs w:val="16"/>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0000FF"/>
              </w:rPr>
              <w:t>A</w:t>
            </w:r>
          </w:p>
        </w:tc>
        <w:tc>
          <w:tcPr>
            <w:tcW w:w="180" w:type="dxa"/>
            <w:vAlign w:val="bottom"/>
          </w:tcPr>
          <w:p>
            <w:pPr>
              <w:spacing w:after="0"/>
              <w:rPr>
                <w:sz w:val="16"/>
                <w:szCs w:val="16"/>
                <w:color w:val="auto"/>
              </w:rPr>
            </w:pPr>
          </w:p>
        </w:tc>
        <w:tc>
          <w:tcPr>
            <w:tcW w:w="560" w:type="dxa"/>
            <w:vAlign w:val="bottom"/>
          </w:tcPr>
          <w:p>
            <w:pPr>
              <w:ind w:left="100"/>
              <w:spacing w:after="0"/>
              <w:rPr>
                <w:sz w:val="20"/>
                <w:szCs w:val="20"/>
                <w:color w:val="auto"/>
              </w:rPr>
            </w:pPr>
            <w:r>
              <w:rPr>
                <w:rFonts w:ascii="Arial" w:cs="Arial" w:eastAsia="Arial" w:hAnsi="Arial"/>
                <w:sz w:val="13"/>
                <w:szCs w:val="13"/>
                <w:color w:val="0000FF"/>
              </w:rPr>
              <w:t>16,900</w:t>
            </w:r>
          </w:p>
        </w:tc>
        <w:tc>
          <w:tcPr>
            <w:tcW w:w="320" w:type="dxa"/>
            <w:vAlign w:val="bottom"/>
          </w:tcPr>
          <w:p>
            <w:pPr>
              <w:spacing w:after="0"/>
              <w:rPr>
                <w:sz w:val="16"/>
                <w:szCs w:val="16"/>
                <w:color w:val="auto"/>
              </w:rPr>
            </w:pPr>
          </w:p>
        </w:tc>
        <w:tc>
          <w:tcPr>
            <w:tcW w:w="740" w:type="dxa"/>
            <w:vAlign w:val="bottom"/>
          </w:tcPr>
          <w:p>
            <w:pPr>
              <w:ind w:left="260"/>
              <w:spacing w:after="0"/>
              <w:rPr>
                <w:sz w:val="20"/>
                <w:szCs w:val="20"/>
                <w:color w:val="auto"/>
              </w:rPr>
            </w:pPr>
            <w:r>
              <w:rPr>
                <w:rFonts w:ascii="Arial" w:cs="Arial" w:eastAsia="Arial" w:hAnsi="Arial"/>
                <w:sz w:val="11"/>
                <w:szCs w:val="11"/>
                <w:color w:val="008000"/>
              </w:rPr>
              <w:t>(4)</w:t>
            </w:r>
          </w:p>
        </w:tc>
        <w:tc>
          <w:tcPr>
            <w:tcW w:w="720" w:type="dxa"/>
            <w:vAlign w:val="bottom"/>
          </w:tcPr>
          <w:p>
            <w:pPr>
              <w:ind w:left="40"/>
              <w:spacing w:after="0"/>
              <w:rPr>
                <w:sz w:val="20"/>
                <w:szCs w:val="20"/>
                <w:color w:val="auto"/>
              </w:rPr>
            </w:pPr>
            <w:r>
              <w:rPr>
                <w:rFonts w:ascii="Arial" w:cs="Arial" w:eastAsia="Arial" w:hAnsi="Arial"/>
                <w:sz w:val="13"/>
                <w:szCs w:val="13"/>
                <w:color w:val="0000FF"/>
              </w:rPr>
              <w:t>12/16/2031</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16,900</w:t>
            </w:r>
          </w:p>
        </w:tc>
        <w:tc>
          <w:tcPr>
            <w:tcW w:w="40" w:type="dxa"/>
            <w:vAlign w:val="bottom"/>
          </w:tcPr>
          <w:p>
            <w:pPr>
              <w:spacing w:after="0"/>
              <w:rPr>
                <w:sz w:val="16"/>
                <w:szCs w:val="16"/>
                <w:color w:val="auto"/>
              </w:rPr>
            </w:pPr>
          </w:p>
        </w:tc>
        <w:tc>
          <w:tcPr>
            <w:tcW w:w="7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00" w:type="dxa"/>
            <w:vAlign w:val="bottom"/>
            <w:gridSpan w:val="2"/>
          </w:tcPr>
          <w:p>
            <w:pPr>
              <w:ind w:left="220"/>
              <w:spacing w:after="0"/>
              <w:rPr>
                <w:sz w:val="20"/>
                <w:szCs w:val="20"/>
                <w:color w:val="auto"/>
              </w:rPr>
            </w:pPr>
            <w:r>
              <w:rPr>
                <w:rFonts w:ascii="Arial" w:cs="Arial" w:eastAsia="Arial" w:hAnsi="Arial"/>
                <w:sz w:val="13"/>
                <w:szCs w:val="13"/>
                <w:color w:val="0000FF"/>
              </w:rPr>
              <w:t>16,900</w:t>
            </w:r>
          </w:p>
        </w:tc>
        <w:tc>
          <w:tcPr>
            <w:tcW w:w="540" w:type="dxa"/>
            <w:vAlign w:val="bottom"/>
          </w:tcPr>
          <w:p>
            <w:pPr>
              <w:ind w:left="380"/>
              <w:spacing w:after="0"/>
              <w:rPr>
                <w:sz w:val="20"/>
                <w:szCs w:val="20"/>
                <w:color w:val="auto"/>
              </w:rPr>
            </w:pPr>
            <w:r>
              <w:rPr>
                <w:rFonts w:ascii="Arial" w:cs="Arial" w:eastAsia="Arial" w:hAnsi="Arial"/>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Arial" w:cs="Arial" w:eastAsia="Arial" w:hAnsi="Arial"/>
                <w:sz w:val="12"/>
                <w:szCs w:val="12"/>
                <w:color w:val="0000FF"/>
              </w:rPr>
              <w:t>Stock</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ind w:left="14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180" w:firstLine="2"/>
        <w:spacing w:after="0" w:line="236"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payout of a Performance Share Award for the Fiscal 2019 to Fiscal 2021 Performance Period under The Toro Company Amended and Restated 2010 Equity and Incentive Plan, as amended and restated (the "Amended and Restated 2010 Plan"), as approved by the Issuer's Compensation &amp; Human Resources Committee of its Board of Directors on December 14, 2021, and which was conditioned upon and subject to confirmation by the Issuer's Fiscal 2021 financial results that were released on December 15, 2021. Performance Share Awards are paid in shares of common stock under the Amended and Restated 2010 Plan.</w:t>
      </w:r>
    </w:p>
    <w:p>
      <w:pPr>
        <w:spacing w:after="0" w:line="30" w:lineRule="exact"/>
        <w:rPr>
          <w:rFonts w:ascii="Arial" w:cs="Arial" w:eastAsia="Arial" w:hAnsi="Arial"/>
          <w:sz w:val="13"/>
          <w:szCs w:val="13"/>
          <w:color w:val="008000"/>
        </w:rPr>
      </w:pPr>
    </w:p>
    <w:p>
      <w:pPr>
        <w:ind w:left="40" w:right="300" w:firstLine="2"/>
        <w:spacing w:after="0" w:line="290"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the following shares of common stock acquired by the reporting person since the date of her last report: 26.2390 shares acquired through regular individual and issuer matching contributions to The Toro Company Retirement Plan (the "Plan") and 36.442 net shares acquired under the dividend reinvestment feature of the Plan less quarterly non-discretionary administrative fees.</w:t>
      </w:r>
    </w:p>
    <w:p>
      <w:pPr>
        <w:spacing w:after="0" w:line="1" w:lineRule="exact"/>
        <w:rPr>
          <w:rFonts w:ascii="Arial" w:cs="Arial" w:eastAsia="Arial" w:hAnsi="Arial"/>
          <w:sz w:val="12"/>
          <w:szCs w:val="12"/>
          <w:color w:val="008000"/>
        </w:rPr>
      </w:pPr>
    </w:p>
    <w:p>
      <w:pPr>
        <w:ind w:left="40" w:right="32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65.046 performance share units acquired by the reporting person since the date of her last report under the dividend reinvestment feature of the The Toro Company Deferred Compensation Plan for Officers.</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5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8"/>
              </w:rPr>
              <w:t>/s/ Angela D. Snavely,</w:t>
            </w:r>
          </w:p>
        </w:tc>
        <w:tc>
          <w:tcPr>
            <w:tcW w:w="7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12/17/2021</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Arial" w:cs="Arial" w:eastAsia="Arial" w:hAnsi="Arial"/>
                <w:sz w:val="17"/>
                <w:szCs w:val="17"/>
                <w:color w:val="0000FF"/>
                <w:w w:val="90"/>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197" w:lineRule="exact"/>
        <w:rPr>
          <w:sz w:val="20"/>
          <w:szCs w:val="20"/>
          <w:color w:val="auto"/>
        </w:rPr>
      </w:pPr>
    </w:p>
    <w:p>
      <w:pPr>
        <w:ind w:right="2759"/>
        <w:spacing w:after="0"/>
        <w:rPr>
          <w:sz w:val="20"/>
          <w:szCs w:val="20"/>
          <w:color w:val="auto"/>
        </w:rPr>
      </w:pPr>
      <w:r>
        <w:rPr>
          <w:rFonts w:ascii="Courier New" w:cs="Courier New" w:eastAsia="Courier New" w:hAnsi="Courier New"/>
          <w:sz w:val="17"/>
          <w:szCs w:val="17"/>
          <w:color w:val="auto"/>
        </w:rPr>
        <w:t>Know all by these presents, that the undersigned hereby constitutes and appoints each of Amy Culbert and Timothy C. Quist, signing singly, true and lawful attorneys-in-fact relative to the filings identified below in connection with the undersigned's derivative and non-derivative securities ofThe Toro Company (the ?Company?) to:</w:t>
      </w:r>
    </w:p>
    <w:p>
      <w:pPr>
        <w:spacing w:after="0" w:line="198" w:lineRule="exact"/>
        <w:rPr>
          <w:sz w:val="20"/>
          <w:szCs w:val="20"/>
          <w:color w:val="auto"/>
        </w:rPr>
      </w:pPr>
    </w:p>
    <w:p>
      <w:pPr>
        <w:ind w:right="3159" w:firstLine="3"/>
        <w:spacing w:after="0"/>
        <w:tabs>
          <w:tab w:leader="none" w:pos="80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194" w:lineRule="exact"/>
        <w:rPr>
          <w:rFonts w:ascii="Courier New" w:cs="Courier New" w:eastAsia="Courier New" w:hAnsi="Courier New"/>
          <w:sz w:val="17"/>
          <w:szCs w:val="17"/>
          <w:color w:val="auto"/>
        </w:rPr>
      </w:pPr>
    </w:p>
    <w:p>
      <w:pPr>
        <w:ind w:left="800" w:hanging="797"/>
        <w:spacing w:after="0"/>
        <w:tabs>
          <w:tab w:leader="none" w:pos="8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w:t>
      </w:r>
    </w:p>
    <w:p>
      <w:pPr>
        <w:spacing w:after="0" w:line="4" w:lineRule="exact"/>
        <w:rPr>
          <w:sz w:val="20"/>
          <w:szCs w:val="20"/>
          <w:color w:val="auto"/>
        </w:rPr>
      </w:pPr>
    </w:p>
    <w:p>
      <w:pPr>
        <w:ind w:right="3559"/>
        <w:spacing w:after="0" w:line="239" w:lineRule="auto"/>
        <w:rPr>
          <w:sz w:val="20"/>
          <w:szCs w:val="20"/>
          <w:color w:val="auto"/>
        </w:rPr>
      </w:pPr>
      <w:r>
        <w:rPr>
          <w:rFonts w:ascii="Courier New" w:cs="Courier New" w:eastAsia="Courier New" w:hAnsi="Courier New"/>
          <w:sz w:val="17"/>
          <w:szCs w:val="17"/>
          <w:color w:val="auto"/>
        </w:rPr>
        <w:t>in the undersigned?s capacity as an officer of the Company, any Form 144 in accordance with Rule 144 under the Securities Act of 1933, as amended, and the rules and regulations thereunder (the ?Securities Act?);</w:t>
      </w:r>
    </w:p>
    <w:p>
      <w:pPr>
        <w:spacing w:after="0" w:line="200" w:lineRule="exact"/>
        <w:rPr>
          <w:sz w:val="20"/>
          <w:szCs w:val="20"/>
          <w:color w:val="auto"/>
        </w:rPr>
      </w:pPr>
    </w:p>
    <w:p>
      <w:pPr>
        <w:ind w:right="3159" w:firstLine="3"/>
        <w:spacing w:after="0"/>
        <w:tabs>
          <w:tab w:leader="none" w:pos="805"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197" w:lineRule="exact"/>
        <w:rPr>
          <w:rFonts w:ascii="Courier New" w:cs="Courier New" w:eastAsia="Courier New" w:hAnsi="Courier New"/>
          <w:sz w:val="17"/>
          <w:szCs w:val="17"/>
          <w:color w:val="auto"/>
        </w:rPr>
      </w:pPr>
    </w:p>
    <w:p>
      <w:pPr>
        <w:ind w:right="3159" w:firstLine="3"/>
        <w:spacing w:after="0"/>
        <w:tabs>
          <w:tab w:leader="none" w:pos="805"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3059"/>
        <w:spacing w:after="0" w:line="256"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60" w:type="dxa"/>
            <w:vAlign w:val="bottom"/>
            <w:gridSpan w:val="2"/>
          </w:tcPr>
          <w:p>
            <w:pPr>
              <w:spacing w:after="0"/>
              <w:rPr>
                <w:sz w:val="20"/>
                <w:szCs w:val="20"/>
                <w:color w:val="auto"/>
              </w:rPr>
            </w:pPr>
            <w:r>
              <w:rPr>
                <w:rFonts w:ascii="Courier New" w:cs="Courier New" w:eastAsia="Courier New" w:hAnsi="Courier New"/>
                <w:sz w:val="17"/>
                <w:szCs w:val="17"/>
                <w:color w:val="auto"/>
              </w:rPr>
              <w:t>IN WITNESS WHEREOF,</w:t>
            </w:r>
          </w:p>
        </w:tc>
        <w:tc>
          <w:tcPr>
            <w:tcW w:w="400" w:type="dxa"/>
            <w:vAlign w:val="bottom"/>
          </w:tcPr>
          <w:p>
            <w:pPr>
              <w:ind w:left="60"/>
              <w:spacing w:after="0"/>
              <w:rPr>
                <w:sz w:val="20"/>
                <w:szCs w:val="20"/>
                <w:color w:val="auto"/>
              </w:rPr>
            </w:pPr>
            <w:r>
              <w:rPr>
                <w:rFonts w:ascii="Courier New" w:cs="Courier New" w:eastAsia="Courier New" w:hAnsi="Courier New"/>
                <w:sz w:val="17"/>
                <w:szCs w:val="17"/>
                <w:color w:val="auto"/>
              </w:rPr>
              <w:t>the</w:t>
            </w:r>
          </w:p>
        </w:tc>
        <w:tc>
          <w:tcPr>
            <w:tcW w:w="16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undersigned has</w:t>
            </w:r>
          </w:p>
        </w:tc>
        <w:tc>
          <w:tcPr>
            <w:tcW w:w="700" w:type="dxa"/>
            <w:vAlign w:val="bottom"/>
          </w:tcPr>
          <w:p>
            <w:pPr>
              <w:ind w:left="40"/>
              <w:spacing w:after="0"/>
              <w:rPr>
                <w:sz w:val="20"/>
                <w:szCs w:val="20"/>
                <w:color w:val="auto"/>
              </w:rPr>
            </w:pPr>
            <w:r>
              <w:rPr>
                <w:rFonts w:ascii="Courier New" w:cs="Courier New" w:eastAsia="Courier New" w:hAnsi="Courier New"/>
                <w:sz w:val="17"/>
                <w:szCs w:val="17"/>
                <w:color w:val="auto"/>
              </w:rPr>
              <w:t>caused</w:t>
            </w:r>
          </w:p>
        </w:tc>
        <w:tc>
          <w:tcPr>
            <w:tcW w:w="2160" w:type="dxa"/>
            <w:vAlign w:val="bottom"/>
          </w:tcPr>
          <w:p>
            <w:pPr>
              <w:ind w:left="60"/>
              <w:spacing w:after="0"/>
              <w:rPr>
                <w:sz w:val="20"/>
                <w:szCs w:val="20"/>
                <w:color w:val="auto"/>
              </w:rPr>
            </w:pPr>
            <w:r>
              <w:rPr>
                <w:rFonts w:ascii="Courier New" w:cs="Courier New" w:eastAsia="Courier New" w:hAnsi="Courier New"/>
                <w:sz w:val="17"/>
                <w:szCs w:val="17"/>
                <w:color w:val="auto"/>
              </w:rPr>
              <w:t>this Limited Power</w:t>
            </w:r>
          </w:p>
        </w:tc>
      </w:tr>
      <w:tr>
        <w:trPr>
          <w:trHeight w:val="193"/>
        </w:trPr>
        <w:tc>
          <w:tcPr>
            <w:tcW w:w="3980" w:type="dxa"/>
            <w:vAlign w:val="bottom"/>
            <w:gridSpan w:val="5"/>
          </w:tcPr>
          <w:p>
            <w:pPr>
              <w:spacing w:after="0"/>
              <w:rPr>
                <w:sz w:val="20"/>
                <w:szCs w:val="20"/>
                <w:color w:val="auto"/>
              </w:rPr>
            </w:pPr>
            <w:r>
              <w:rPr>
                <w:rFonts w:ascii="Courier New" w:cs="Courier New" w:eastAsia="Courier New" w:hAnsi="Courier New"/>
                <w:sz w:val="17"/>
                <w:szCs w:val="17"/>
                <w:color w:val="auto"/>
                <w:w w:val="99"/>
              </w:rPr>
              <w:t>of Attorney to be executed effective as</w:t>
            </w:r>
          </w:p>
        </w:tc>
        <w:tc>
          <w:tcPr>
            <w:tcW w:w="2860" w:type="dxa"/>
            <w:vAlign w:val="bottom"/>
            <w:gridSpan w:val="2"/>
          </w:tcPr>
          <w:p>
            <w:pPr>
              <w:ind w:left="40"/>
              <w:spacing w:after="0"/>
              <w:rPr>
                <w:sz w:val="20"/>
                <w:szCs w:val="20"/>
                <w:color w:val="auto"/>
              </w:rPr>
            </w:pPr>
            <w:r>
              <w:rPr>
                <w:rFonts w:ascii="Courier New" w:cs="Courier New" w:eastAsia="Courier New" w:hAnsi="Courier New"/>
                <w:sz w:val="17"/>
                <w:szCs w:val="17"/>
                <w:color w:val="auto"/>
                <w:w w:val="98"/>
              </w:rPr>
              <w:t>of the date indicated below,</w:t>
            </w:r>
          </w:p>
        </w:tc>
      </w:tr>
      <w:tr>
        <w:trPr>
          <w:trHeight w:val="193"/>
        </w:trPr>
        <w:tc>
          <w:tcPr>
            <w:tcW w:w="3980" w:type="dxa"/>
            <w:vAlign w:val="bottom"/>
            <w:gridSpan w:val="5"/>
          </w:tcPr>
          <w:p>
            <w:pPr>
              <w:spacing w:after="0"/>
              <w:rPr>
                <w:sz w:val="20"/>
                <w:szCs w:val="20"/>
                <w:color w:val="auto"/>
              </w:rPr>
            </w:pPr>
            <w:r>
              <w:rPr>
                <w:rFonts w:ascii="Courier New" w:cs="Courier New" w:eastAsia="Courier New" w:hAnsi="Courier New"/>
                <w:sz w:val="17"/>
                <w:szCs w:val="17"/>
                <w:color w:val="auto"/>
                <w:w w:val="99"/>
              </w:rPr>
              <w:t>and said Power of Attorney shall remain</w:t>
            </w:r>
          </w:p>
        </w:tc>
        <w:tc>
          <w:tcPr>
            <w:tcW w:w="28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in effect until revoked by</w:t>
            </w:r>
          </w:p>
        </w:tc>
      </w:tr>
      <w:tr>
        <w:trPr>
          <w:trHeight w:val="193"/>
        </w:trPr>
        <w:tc>
          <w:tcPr>
            <w:tcW w:w="2760" w:type="dxa"/>
            <w:vAlign w:val="bottom"/>
            <w:gridSpan w:val="4"/>
          </w:tcPr>
          <w:p>
            <w:pPr>
              <w:spacing w:after="0"/>
              <w:rPr>
                <w:sz w:val="20"/>
                <w:szCs w:val="20"/>
                <w:color w:val="auto"/>
              </w:rPr>
            </w:pPr>
            <w:r>
              <w:rPr>
                <w:rFonts w:ascii="Courier New" w:cs="Courier New" w:eastAsia="Courier New" w:hAnsi="Courier New"/>
                <w:sz w:val="17"/>
                <w:szCs w:val="17"/>
                <w:color w:val="auto"/>
                <w:w w:val="99"/>
              </w:rPr>
              <w:t>the undersigned in writing,</w:t>
            </w:r>
          </w:p>
        </w:tc>
        <w:tc>
          <w:tcPr>
            <w:tcW w:w="408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or at such time as the undersigned is</w:t>
            </w:r>
          </w:p>
        </w:tc>
      </w:tr>
      <w:tr>
        <w:trPr>
          <w:trHeight w:val="193"/>
        </w:trPr>
        <w:tc>
          <w:tcPr>
            <w:tcW w:w="2360" w:type="dxa"/>
            <w:vAlign w:val="bottom"/>
            <w:gridSpan w:val="3"/>
          </w:tcPr>
          <w:p>
            <w:pPr>
              <w:spacing w:after="0"/>
              <w:rPr>
                <w:sz w:val="20"/>
                <w:szCs w:val="20"/>
                <w:color w:val="auto"/>
              </w:rPr>
            </w:pPr>
            <w:r>
              <w:rPr>
                <w:rFonts w:ascii="Courier New" w:cs="Courier New" w:eastAsia="Courier New" w:hAnsi="Courier New"/>
                <w:sz w:val="17"/>
                <w:szCs w:val="17"/>
                <w:color w:val="auto"/>
                <w:w w:val="99"/>
              </w:rPr>
              <w:t>no longer an officer of</w:t>
            </w:r>
          </w:p>
        </w:tc>
        <w:tc>
          <w:tcPr>
            <w:tcW w:w="400" w:type="dxa"/>
            <w:vAlign w:val="bottom"/>
          </w:tcPr>
          <w:p>
            <w:pPr>
              <w:ind w:left="60"/>
              <w:spacing w:after="0"/>
              <w:rPr>
                <w:sz w:val="20"/>
                <w:szCs w:val="20"/>
                <w:color w:val="auto"/>
              </w:rPr>
            </w:pPr>
            <w:r>
              <w:rPr>
                <w:rFonts w:ascii="Courier New" w:cs="Courier New" w:eastAsia="Courier New" w:hAnsi="Courier New"/>
                <w:sz w:val="17"/>
                <w:szCs w:val="17"/>
                <w:color w:val="auto"/>
              </w:rPr>
              <w:t>the</w:t>
            </w:r>
          </w:p>
        </w:tc>
        <w:tc>
          <w:tcPr>
            <w:tcW w:w="408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Company, whichever first occurs.</w:t>
            </w:r>
          </w:p>
        </w:tc>
      </w:tr>
      <w:tr>
        <w:trPr>
          <w:trHeight w:val="580"/>
        </w:trPr>
        <w:tc>
          <w:tcPr>
            <w:tcW w:w="760" w:type="dxa"/>
            <w:vAlign w:val="bottom"/>
          </w:tcPr>
          <w:p>
            <w:pPr>
              <w:spacing w:after="0"/>
              <w:rPr>
                <w:sz w:val="20"/>
                <w:szCs w:val="20"/>
                <w:color w:val="auto"/>
              </w:rPr>
            </w:pPr>
            <w:r>
              <w:rPr>
                <w:rFonts w:ascii="Courier New" w:cs="Courier New" w:eastAsia="Courier New" w:hAnsi="Courier New"/>
                <w:sz w:val="17"/>
                <w:szCs w:val="17"/>
                <w:color w:val="auto"/>
              </w:rPr>
              <w:t>Signed:</w:t>
            </w:r>
          </w:p>
        </w:tc>
        <w:tc>
          <w:tcPr>
            <w:tcW w:w="1200" w:type="dxa"/>
            <w:vAlign w:val="bottom"/>
          </w:tcPr>
          <w:p>
            <w:pPr>
              <w:ind w:left="860"/>
              <w:spacing w:after="0"/>
              <w:rPr>
                <w:sz w:val="20"/>
                <w:szCs w:val="20"/>
                <w:color w:val="auto"/>
              </w:rPr>
            </w:pPr>
            <w:r>
              <w:rPr>
                <w:rFonts w:ascii="Courier New" w:cs="Courier New" w:eastAsia="Courier New" w:hAnsi="Courier New"/>
                <w:sz w:val="17"/>
                <w:szCs w:val="17"/>
                <w:color w:val="auto"/>
              </w:rPr>
              <w:t>/s/</w:t>
            </w:r>
          </w:p>
        </w:tc>
        <w:tc>
          <w:tcPr>
            <w:tcW w:w="400" w:type="dxa"/>
            <w:vAlign w:val="bottom"/>
          </w:tcPr>
          <w:p>
            <w:pPr>
              <w:ind w:left="60"/>
              <w:spacing w:after="0"/>
              <w:rPr>
                <w:sz w:val="20"/>
                <w:szCs w:val="20"/>
                <w:color w:val="auto"/>
              </w:rPr>
            </w:pPr>
            <w:r>
              <w:rPr>
                <w:rFonts w:ascii="Courier New" w:cs="Courier New" w:eastAsia="Courier New" w:hAnsi="Courier New"/>
                <w:sz w:val="17"/>
                <w:szCs w:val="17"/>
                <w:color w:val="auto"/>
              </w:rPr>
              <w:t>Amy</w:t>
            </w:r>
          </w:p>
        </w:tc>
        <w:tc>
          <w:tcPr>
            <w:tcW w:w="16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E. Dahl</w:t>
            </w:r>
          </w:p>
        </w:tc>
        <w:tc>
          <w:tcPr>
            <w:tcW w:w="7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93"/>
        </w:trPr>
        <w:tc>
          <w:tcPr>
            <w:tcW w:w="760" w:type="dxa"/>
            <w:vAlign w:val="bottom"/>
          </w:tcPr>
          <w:p>
            <w:pPr>
              <w:spacing w:after="0"/>
              <w:rPr>
                <w:sz w:val="16"/>
                <w:szCs w:val="16"/>
                <w:color w:val="auto"/>
              </w:rPr>
            </w:pPr>
          </w:p>
        </w:tc>
        <w:tc>
          <w:tcPr>
            <w:tcW w:w="1200" w:type="dxa"/>
            <w:vAlign w:val="bottom"/>
          </w:tcPr>
          <w:p>
            <w:pPr>
              <w:ind w:left="860"/>
              <w:spacing w:after="0"/>
              <w:rPr>
                <w:sz w:val="20"/>
                <w:szCs w:val="20"/>
                <w:color w:val="auto"/>
              </w:rPr>
            </w:pPr>
            <w:r>
              <w:rPr>
                <w:rFonts w:ascii="Courier New" w:cs="Courier New" w:eastAsia="Courier New" w:hAnsi="Courier New"/>
                <w:sz w:val="17"/>
                <w:szCs w:val="17"/>
                <w:color w:val="auto"/>
              </w:rPr>
              <w:t>Amy</w:t>
            </w:r>
          </w:p>
        </w:tc>
        <w:tc>
          <w:tcPr>
            <w:tcW w:w="8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E. Dahl</w:t>
            </w:r>
          </w:p>
        </w:tc>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387"/>
        </w:trPr>
        <w:tc>
          <w:tcPr>
            <w:tcW w:w="760" w:type="dxa"/>
            <w:vAlign w:val="bottom"/>
          </w:tcPr>
          <w:p>
            <w:pPr>
              <w:spacing w:after="0"/>
              <w:rPr>
                <w:sz w:val="20"/>
                <w:szCs w:val="20"/>
                <w:color w:val="auto"/>
              </w:rPr>
            </w:pPr>
            <w:r>
              <w:rPr>
                <w:rFonts w:ascii="Courier New" w:cs="Courier New" w:eastAsia="Courier New" w:hAnsi="Courier New"/>
                <w:sz w:val="17"/>
                <w:szCs w:val="17"/>
                <w:color w:val="auto"/>
              </w:rPr>
              <w:t>Dated:</w:t>
            </w:r>
          </w:p>
        </w:tc>
        <w:tc>
          <w:tcPr>
            <w:tcW w:w="12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11/11/2021</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6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99"/>
      </w:cols>
      <w:pgMar w:left="46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38979"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2021-12-17T11:39:44Z</dcterms:created>
  <dcterms:modified xsi:type="dcterms:W3CDTF">2021-12-17T11:39:44Z</dcterms:modified>
</cp:coreProperties>
</file>