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257810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186055</wp:posOffset>
            </wp:positionV>
            <wp:extent cx="1792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180340</wp:posOffset>
            </wp:positionV>
            <wp:extent cx="1792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163830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3000" w:type="dxa"/>
            <w:vAlign w:val="bottom"/>
          </w:tcPr>
          <w:p>
            <w:pPr>
              <w:jc w:val="center"/>
              <w:spacing w:after="0"/>
              <w:rPr>
                <w:sz w:val="20"/>
                <w:szCs w:val="20"/>
                <w:color w:val="auto"/>
              </w:rPr>
            </w:pPr>
            <w:r>
              <w:rPr>
                <w:rFonts w:ascii="Arial" w:cs="Arial" w:eastAsia="Arial" w:hAnsi="Arial"/>
                <w:sz w:val="20"/>
                <w:szCs w:val="20"/>
                <w:b w:val="1"/>
                <w:bCs w:val="1"/>
                <w:color w:val="auto"/>
                <w:w w:val="91"/>
              </w:rPr>
              <w:t>Delaware</w:t>
            </w:r>
          </w:p>
        </w:tc>
        <w:tc>
          <w:tcPr>
            <w:tcW w:w="4600" w:type="dxa"/>
            <w:vAlign w:val="bottom"/>
          </w:tcPr>
          <w:p>
            <w:pPr>
              <w:jc w:val="right"/>
              <w:ind w:right="1950"/>
              <w:spacing w:after="0"/>
              <w:rPr>
                <w:sz w:val="20"/>
                <w:szCs w:val="20"/>
                <w:color w:val="auto"/>
              </w:rPr>
            </w:pPr>
            <w:r>
              <w:rPr>
                <w:rFonts w:ascii="Arial" w:cs="Arial" w:eastAsia="Arial" w:hAnsi="Arial"/>
                <w:sz w:val="20"/>
                <w:szCs w:val="20"/>
                <w:b w:val="1"/>
                <w:bCs w:val="1"/>
                <w:color w:val="auto"/>
              </w:rPr>
              <w:t>1-8649</w:t>
            </w:r>
          </w:p>
        </w:tc>
        <w:tc>
          <w:tcPr>
            <w:tcW w:w="2620" w:type="dxa"/>
            <w:vAlign w:val="bottom"/>
          </w:tcPr>
          <w:p>
            <w:pPr>
              <w:jc w:val="right"/>
              <w:ind w:right="61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3000" w:type="dxa"/>
            <w:vAlign w:val="bottom"/>
          </w:tcPr>
          <w:p>
            <w:pPr>
              <w:jc w:val="center"/>
              <w:ind w:right="8"/>
              <w:spacing w:after="0"/>
              <w:rPr>
                <w:sz w:val="20"/>
                <w:szCs w:val="20"/>
                <w:color w:val="auto"/>
              </w:rPr>
            </w:pPr>
            <w:r>
              <w:rPr>
                <w:rFonts w:ascii="Arial" w:cs="Arial" w:eastAsia="Arial" w:hAnsi="Arial"/>
                <w:sz w:val="16"/>
                <w:szCs w:val="16"/>
                <w:color w:val="auto"/>
                <w:w w:val="93"/>
              </w:rPr>
              <w:t>(State or Other Jurisdiction of Incorporation)</w:t>
            </w:r>
          </w:p>
        </w:tc>
        <w:tc>
          <w:tcPr>
            <w:tcW w:w="4600" w:type="dxa"/>
            <w:vAlign w:val="bottom"/>
          </w:tcPr>
          <w:p>
            <w:pPr>
              <w:jc w:val="center"/>
              <w:spacing w:after="0"/>
              <w:rPr>
                <w:sz w:val="20"/>
                <w:szCs w:val="20"/>
                <w:color w:val="auto"/>
              </w:rPr>
            </w:pPr>
            <w:r>
              <w:rPr>
                <w:rFonts w:ascii="Arial" w:cs="Arial" w:eastAsia="Arial" w:hAnsi="Arial"/>
                <w:sz w:val="16"/>
                <w:szCs w:val="16"/>
                <w:color w:val="auto"/>
                <w:w w:val="94"/>
              </w:rPr>
              <w:t>(Commission File Number)</w:t>
            </w:r>
          </w:p>
        </w:tc>
        <w:tc>
          <w:tcPr>
            <w:tcW w:w="2620" w:type="dxa"/>
            <w:vAlign w:val="bottom"/>
          </w:tcPr>
          <w:p>
            <w:pPr>
              <w:jc w:val="center"/>
              <w:ind w:left="170"/>
              <w:spacing w:after="0"/>
              <w:rPr>
                <w:sz w:val="20"/>
                <w:szCs w:val="20"/>
                <w:color w:val="auto"/>
              </w:rPr>
            </w:pPr>
            <w:r>
              <w:rPr>
                <w:rFonts w:ascii="Arial" w:cs="Arial" w:eastAsia="Arial" w:hAnsi="Arial"/>
                <w:sz w:val="16"/>
                <w:szCs w:val="16"/>
                <w:color w:val="auto"/>
                <w:w w:val="95"/>
              </w:rPr>
              <w:t>(I.R.S. Employer Identification No.)</w:t>
            </w:r>
          </w:p>
        </w:tc>
      </w:tr>
      <w:tr>
        <w:trPr>
          <w:trHeight w:val="591"/>
        </w:trPr>
        <w:tc>
          <w:tcPr>
            <w:tcW w:w="3000" w:type="dxa"/>
            <w:vAlign w:val="bottom"/>
          </w:tcPr>
          <w:p>
            <w:pPr>
              <w:jc w:val="center"/>
              <w:spacing w:after="0"/>
              <w:rPr>
                <w:sz w:val="20"/>
                <w:szCs w:val="20"/>
                <w:color w:val="auto"/>
              </w:rPr>
            </w:pPr>
            <w:r>
              <w:rPr>
                <w:rFonts w:ascii="Arial" w:cs="Arial" w:eastAsia="Arial" w:hAnsi="Arial"/>
                <w:sz w:val="20"/>
                <w:szCs w:val="20"/>
                <w:b w:val="1"/>
                <w:bCs w:val="1"/>
                <w:color w:val="auto"/>
                <w:w w:val="87"/>
              </w:rPr>
              <w:t>8111 Lyndale Avenue South</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56"/>
        </w:trPr>
        <w:tc>
          <w:tcPr>
            <w:tcW w:w="3000" w:type="dxa"/>
            <w:vAlign w:val="bottom"/>
          </w:tcPr>
          <w:p>
            <w:pPr>
              <w:jc w:val="center"/>
              <w:spacing w:after="0"/>
              <w:rPr>
                <w:sz w:val="20"/>
                <w:szCs w:val="20"/>
                <w:color w:val="auto"/>
              </w:rPr>
            </w:pPr>
            <w:r>
              <w:rPr>
                <w:rFonts w:ascii="Arial" w:cs="Arial" w:eastAsia="Arial" w:hAnsi="Arial"/>
                <w:sz w:val="20"/>
                <w:szCs w:val="20"/>
                <w:b w:val="1"/>
                <w:bCs w:val="1"/>
                <w:color w:val="auto"/>
                <w:w w:val="89"/>
              </w:rPr>
              <w:t>Bloomington, Minnesota</w:t>
            </w:r>
          </w:p>
        </w:tc>
        <w:tc>
          <w:tcPr>
            <w:tcW w:w="4600" w:type="dxa"/>
            <w:vAlign w:val="bottom"/>
          </w:tcPr>
          <w:p>
            <w:pPr>
              <w:spacing w:after="0"/>
              <w:rPr>
                <w:sz w:val="22"/>
                <w:szCs w:val="22"/>
                <w:color w:val="auto"/>
              </w:rPr>
            </w:pPr>
          </w:p>
        </w:tc>
        <w:tc>
          <w:tcPr>
            <w:tcW w:w="2620" w:type="dxa"/>
            <w:vAlign w:val="bottom"/>
          </w:tcPr>
          <w:p>
            <w:pPr>
              <w:jc w:val="right"/>
              <w:ind w:right="830"/>
              <w:spacing w:after="0"/>
              <w:rPr>
                <w:sz w:val="20"/>
                <w:szCs w:val="20"/>
                <w:color w:val="auto"/>
              </w:rPr>
            </w:pPr>
            <w:r>
              <w:rPr>
                <w:rFonts w:ascii="Arial" w:cs="Arial" w:eastAsia="Arial" w:hAnsi="Arial"/>
                <w:sz w:val="20"/>
                <w:szCs w:val="20"/>
                <w:b w:val="1"/>
                <w:bCs w:val="1"/>
                <w:color w:val="auto"/>
              </w:rPr>
              <w:t>55420</w:t>
            </w:r>
          </w:p>
        </w:tc>
      </w:tr>
      <w:tr>
        <w:trPr>
          <w:trHeight w:val="260"/>
        </w:trPr>
        <w:tc>
          <w:tcPr>
            <w:tcW w:w="300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4600" w:type="dxa"/>
            <w:vAlign w:val="bottom"/>
          </w:tcPr>
          <w:p>
            <w:pPr>
              <w:spacing w:after="0"/>
              <w:rPr>
                <w:sz w:val="22"/>
                <w:szCs w:val="22"/>
                <w:color w:val="auto"/>
              </w:rPr>
            </w:pPr>
          </w:p>
        </w:tc>
        <w:tc>
          <w:tcPr>
            <w:tcW w:w="2620" w:type="dxa"/>
            <w:vAlign w:val="bottom"/>
          </w:tcPr>
          <w:p>
            <w:pPr>
              <w:jc w:val="center"/>
              <w:ind w:left="170"/>
              <w:spacing w:after="0"/>
              <w:rPr>
                <w:sz w:val="20"/>
                <w:szCs w:val="20"/>
                <w:color w:val="auto"/>
              </w:rPr>
            </w:pPr>
            <w:r>
              <w:rPr>
                <w:rFonts w:ascii="Arial" w:cs="Arial" w:eastAsia="Arial" w:hAnsi="Arial"/>
                <w:sz w:val="16"/>
                <w:szCs w:val="16"/>
                <w:color w:val="auto"/>
                <w:w w:val="95"/>
              </w:rPr>
              <w:t>(Zip Code)</w:t>
            </w:r>
          </w:p>
        </w:tc>
      </w:tr>
      <w:tr>
        <w:trPr>
          <w:trHeight w:val="374"/>
        </w:trPr>
        <w:tc>
          <w:tcPr>
            <w:tcW w:w="3000" w:type="dxa"/>
            <w:vAlign w:val="bottom"/>
          </w:tcPr>
          <w:p>
            <w:pPr>
              <w:spacing w:after="0"/>
              <w:rPr>
                <w:sz w:val="24"/>
                <w:szCs w:val="24"/>
                <w:color w:val="auto"/>
              </w:rPr>
            </w:pPr>
          </w:p>
        </w:tc>
        <w:tc>
          <w:tcPr>
            <w:tcW w:w="4600" w:type="dxa"/>
            <w:vAlign w:val="bottom"/>
          </w:tcPr>
          <w:p>
            <w:pPr>
              <w:jc w:val="center"/>
              <w:ind w:right="70"/>
              <w:spacing w:after="0"/>
              <w:rPr>
                <w:sz w:val="20"/>
                <w:szCs w:val="20"/>
                <w:color w:val="auto"/>
              </w:rPr>
            </w:pPr>
            <w:r>
              <w:rPr>
                <w:rFonts w:ascii="Arial" w:cs="Arial" w:eastAsia="Arial" w:hAnsi="Arial"/>
                <w:sz w:val="20"/>
                <w:szCs w:val="20"/>
                <w:b w:val="1"/>
                <w:bCs w:val="1"/>
                <w:color w:val="auto"/>
                <w:w w:val="90"/>
              </w:rPr>
              <w:t>(952) 888-8801</w:t>
            </w:r>
          </w:p>
        </w:tc>
        <w:tc>
          <w:tcPr>
            <w:tcW w:w="2620" w:type="dxa"/>
            <w:vAlign w:val="bottom"/>
          </w:tcPr>
          <w:p>
            <w:pPr>
              <w:spacing w:after="0"/>
              <w:rPr>
                <w:sz w:val="24"/>
                <w:szCs w:val="24"/>
                <w:color w:val="auto"/>
              </w:rPr>
            </w:pPr>
          </w:p>
        </w:tc>
      </w:tr>
      <w:tr>
        <w:trPr>
          <w:trHeight w:val="206"/>
        </w:trPr>
        <w:tc>
          <w:tcPr>
            <w:tcW w:w="3000" w:type="dxa"/>
            <w:vAlign w:val="bottom"/>
          </w:tcPr>
          <w:p>
            <w:pPr>
              <w:spacing w:after="0"/>
              <w:rPr>
                <w:sz w:val="17"/>
                <w:szCs w:val="17"/>
                <w:color w:val="auto"/>
              </w:rPr>
            </w:pPr>
          </w:p>
        </w:tc>
        <w:tc>
          <w:tcPr>
            <w:tcW w:w="4600" w:type="dxa"/>
            <w:vAlign w:val="bottom"/>
          </w:tcPr>
          <w:p>
            <w:pPr>
              <w:jc w:val="center"/>
              <w:ind w:right="70"/>
              <w:spacing w:after="0"/>
              <w:rPr>
                <w:sz w:val="20"/>
                <w:szCs w:val="20"/>
                <w:color w:val="auto"/>
              </w:rPr>
            </w:pPr>
            <w:r>
              <w:rPr>
                <w:rFonts w:ascii="Arial" w:cs="Arial" w:eastAsia="Arial" w:hAnsi="Arial"/>
                <w:sz w:val="16"/>
                <w:szCs w:val="16"/>
                <w:color w:val="auto"/>
                <w:w w:val="91"/>
              </w:rPr>
              <w:t>Registrant's Telephone Number, Including Area Code</w:t>
            </w:r>
          </w:p>
        </w:tc>
        <w:tc>
          <w:tcPr>
            <w:tcW w:w="2620" w:type="dxa"/>
            <w:vAlign w:val="bottom"/>
          </w:tcPr>
          <w:p>
            <w:pPr>
              <w:spacing w:after="0"/>
              <w:rPr>
                <w:sz w:val="17"/>
                <w:szCs w:val="17"/>
                <w:color w:val="auto"/>
              </w:rPr>
            </w:pPr>
          </w:p>
        </w:tc>
      </w:tr>
      <w:tr>
        <w:trPr>
          <w:trHeight w:val="334"/>
        </w:trPr>
        <w:tc>
          <w:tcPr>
            <w:tcW w:w="3000" w:type="dxa"/>
            <w:vAlign w:val="bottom"/>
          </w:tcPr>
          <w:p>
            <w:pPr>
              <w:spacing w:after="0"/>
              <w:rPr>
                <w:sz w:val="24"/>
                <w:szCs w:val="24"/>
                <w:color w:val="auto"/>
              </w:rPr>
            </w:pPr>
          </w:p>
        </w:tc>
        <w:tc>
          <w:tcPr>
            <w:tcW w:w="4600" w:type="dxa"/>
            <w:vAlign w:val="bottom"/>
          </w:tcPr>
          <w:p>
            <w:pPr>
              <w:jc w:val="center"/>
              <w:ind w:right="90"/>
              <w:spacing w:after="0"/>
              <w:rPr>
                <w:sz w:val="20"/>
                <w:szCs w:val="20"/>
                <w:color w:val="auto"/>
              </w:rPr>
            </w:pPr>
            <w:r>
              <w:rPr>
                <w:rFonts w:ascii="Arial" w:cs="Arial" w:eastAsia="Arial" w:hAnsi="Arial"/>
                <w:sz w:val="20"/>
                <w:szCs w:val="20"/>
                <w:b w:val="1"/>
                <w:bCs w:val="1"/>
                <w:color w:val="auto"/>
                <w:w w:val="89"/>
              </w:rPr>
              <w:t>Not Applicable</w:t>
            </w:r>
          </w:p>
        </w:tc>
        <w:tc>
          <w:tcPr>
            <w:tcW w:w="2620" w:type="dxa"/>
            <w:vAlign w:val="bottom"/>
          </w:tcPr>
          <w:p>
            <w:pPr>
              <w:spacing w:after="0"/>
              <w:rPr>
                <w:sz w:val="24"/>
                <w:szCs w:val="24"/>
                <w:color w:val="auto"/>
              </w:rPr>
            </w:pPr>
          </w:p>
        </w:tc>
      </w:tr>
      <w:tr>
        <w:trPr>
          <w:trHeight w:val="206"/>
        </w:trPr>
        <w:tc>
          <w:tcPr>
            <w:tcW w:w="3000" w:type="dxa"/>
            <w:vAlign w:val="bottom"/>
          </w:tcPr>
          <w:p>
            <w:pPr>
              <w:spacing w:after="0"/>
              <w:rPr>
                <w:sz w:val="17"/>
                <w:szCs w:val="17"/>
                <w:color w:val="auto"/>
              </w:rPr>
            </w:pPr>
          </w:p>
        </w:tc>
        <w:tc>
          <w:tcPr>
            <w:tcW w:w="4600" w:type="dxa"/>
            <w:vAlign w:val="bottom"/>
          </w:tcPr>
          <w:p>
            <w:pPr>
              <w:jc w:val="center"/>
              <w:ind w:right="70"/>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26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158115</wp:posOffset>
            </wp:positionV>
            <wp:extent cx="1792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28"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 (see General Instructions A.2. below):</w:t>
      </w:r>
    </w:p>
    <w:p>
      <w:pPr>
        <w:spacing w:after="0" w:line="179"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0" w:lineRule="exact"/>
        <w:rPr>
          <w:sz w:val="24"/>
          <w:szCs w:val="24"/>
          <w:color w:val="auto"/>
        </w:rPr>
      </w:pPr>
    </w:p>
    <w:p>
      <w:pPr>
        <w:ind w:right="20"/>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4"/>
          <w:szCs w:val="24"/>
          <w:color w:val="auto"/>
        </w:rPr>
      </w:pPr>
    </w:p>
    <w:p>
      <w:pPr>
        <w:spacing w:after="0"/>
        <w:rPr>
          <w:sz w:val="20"/>
          <w:szCs w:val="20"/>
          <w:color w:val="auto"/>
        </w:rPr>
      </w:pPr>
      <w:r>
        <w:rPr>
          <w:rFonts w:ascii="Arial" w:cs="Arial" w:eastAsia="Arial" w:hAnsi="Arial"/>
          <w:sz w:val="19"/>
          <w:szCs w:val="19"/>
          <w:color w:val="auto"/>
        </w:rPr>
        <w:t>Emerging growth company o</w:t>
      </w:r>
    </w:p>
    <w:p>
      <w:pPr>
        <w:spacing w:after="0" w:line="235" w:lineRule="exact"/>
        <w:rPr>
          <w:sz w:val="24"/>
          <w:szCs w:val="24"/>
          <w:color w:val="auto"/>
        </w:rPr>
      </w:pPr>
    </w:p>
    <w:p>
      <w:pPr>
        <w:spacing w:after="0" w:line="27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On February 21, 2019, The Toro Company announced its earnings for the three months ended February 1, 2019.</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4720" w:type="dxa"/>
            <w:vAlign w:val="bottom"/>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720" w:type="dxa"/>
            <w:vAlign w:val="bottom"/>
            <w:tcBorders>
              <w:bottom w:val="single" w:sz="8" w:color="0000FF"/>
            </w:tcBorders>
          </w:tcPr>
          <w:p>
            <w:pPr>
              <w:spacing w:after="0"/>
              <w:rPr>
                <w:rFonts w:ascii="Arial" w:cs="Arial" w:eastAsia="Arial" w:hAnsi="Arial"/>
                <w:sz w:val="20"/>
                <w:szCs w:val="20"/>
                <w:color w:val="0000FF"/>
                <w:w w:val="87"/>
              </w:rPr>
            </w:pPr>
            <w:hyperlink w:anchor="page6">
              <w:r>
                <w:rPr>
                  <w:rFonts w:ascii="Arial" w:cs="Arial" w:eastAsia="Arial" w:hAnsi="Arial"/>
                  <w:sz w:val="20"/>
                  <w:szCs w:val="20"/>
                  <w:color w:val="0000FF"/>
                  <w:w w:val="87"/>
                </w:rPr>
                <w:t>Press release dated February 21, 2019 (furnished herewith).</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February 21, 2019</w:t>
      </w:r>
      <w:r>
        <w:rPr>
          <w:sz w:val="20"/>
          <w:szCs w:val="20"/>
          <w:color w:val="auto"/>
        </w:rPr>
        <w:tab/>
      </w:r>
      <w:r>
        <w:rPr>
          <w:rFonts w:ascii="Arial" w:cs="Arial" w:eastAsia="Arial" w:hAnsi="Arial"/>
          <w:sz w:val="16"/>
          <w:szCs w:val="16"/>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2"/>
          </w:tcPr>
          <w:p>
            <w:pPr>
              <w:ind w:left="202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0"/>
        </w:trPr>
        <w:tc>
          <w:tcPr>
            <w:tcW w:w="290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gridSpan w:val="3"/>
          </w:tcPr>
          <w:p>
            <w:pPr>
              <w:ind w:left="20"/>
              <w:spacing w:after="0" w:line="209" w:lineRule="exact"/>
              <w:rPr>
                <w:rFonts w:ascii="Arial" w:cs="Arial" w:eastAsia="Arial" w:hAnsi="Arial"/>
                <w:sz w:val="20"/>
                <w:szCs w:val="20"/>
                <w:color w:val="0000FF"/>
              </w:rPr>
            </w:pPr>
            <w:hyperlink w:anchor="page6">
              <w:r>
                <w:rPr>
                  <w:rFonts w:ascii="Arial" w:cs="Arial" w:eastAsia="Arial" w:hAnsi="Arial"/>
                  <w:sz w:val="20"/>
                  <w:szCs w:val="20"/>
                  <w:color w:val="0000FF"/>
                </w:rPr>
                <w:t>Press release dated February 21, 2019 (furnished herewith).</w:t>
              </w:r>
            </w:hyperlink>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720" w:type="dxa"/>
            <w:vAlign w:val="bottom"/>
            <w:tcBorders>
              <w:top w:val="single" w:sz="8" w:color="0000FF"/>
              <w:bottom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The Toro Company Reports Record First Quarter Results</w:t>
      </w:r>
    </w:p>
    <w:p>
      <w:pPr>
        <w:spacing w:after="0" w:line="23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First quarter sales increase 10 percent to a record $603.0 million</w:t>
      </w:r>
    </w:p>
    <w:p>
      <w:pPr>
        <w:ind w:left="340" w:hanging="332"/>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Reported quarterly EPS of $0.55; adjusted quarterly EPS of $0.51, up 6.3 percent over comparable 2018 period adjusted EPS of $0.48, includes $0.03 acquisition related expenses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Strength of new products across the portfolio drove positive performance for the quarter</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BLOOMINGTON, Minn. (February 21, 2019) - The Toro Company (NYSE: TTC) today reported net earnings of $59.5 million, or</w:t>
      </w:r>
    </w:p>
    <w:p>
      <w:pPr>
        <w:spacing w:after="0"/>
        <w:rPr>
          <w:sz w:val="20"/>
          <w:szCs w:val="20"/>
          <w:color w:val="auto"/>
        </w:rPr>
      </w:pPr>
      <w:r>
        <w:rPr>
          <w:rFonts w:ascii="Arial" w:cs="Arial" w:eastAsia="Arial" w:hAnsi="Arial"/>
          <w:sz w:val="20"/>
          <w:szCs w:val="20"/>
          <w:color w:val="auto"/>
        </w:rPr>
        <w:t>$0.55 per share, on a net sales increase of 10 percent to $603 million for its first quarter ended February 1, 2019. In the</w:t>
      </w:r>
    </w:p>
    <w:p>
      <w:pPr>
        <w:spacing w:after="0"/>
        <w:rPr>
          <w:sz w:val="20"/>
          <w:szCs w:val="20"/>
          <w:color w:val="auto"/>
        </w:rPr>
      </w:pPr>
      <w:r>
        <w:rPr>
          <w:rFonts w:ascii="Arial" w:cs="Arial" w:eastAsia="Arial" w:hAnsi="Arial"/>
          <w:sz w:val="20"/>
          <w:szCs w:val="20"/>
          <w:color w:val="auto"/>
        </w:rPr>
        <w:t>comparable fiscal 2018 period, the company delivered net earnings of $22.6 million, or $0.21 per share, on net sales of $548.2</w:t>
      </w:r>
    </w:p>
    <w:p>
      <w:pPr>
        <w:spacing w:after="0"/>
        <w:rPr>
          <w:sz w:val="20"/>
          <w:szCs w:val="20"/>
          <w:color w:val="auto"/>
        </w:rPr>
      </w:pPr>
      <w:r>
        <w:rPr>
          <w:rFonts w:ascii="Arial" w:cs="Arial" w:eastAsia="Arial" w:hAnsi="Arial"/>
          <w:sz w:val="20"/>
          <w:szCs w:val="20"/>
          <w:color w:val="auto"/>
        </w:rPr>
        <w:t>million. Adjusted 2019 first quarter net earnings were $55.2 million, or $0.51 per share, compared to adjusted net earnings of</w:t>
      </w:r>
    </w:p>
    <w:p>
      <w:pPr>
        <w:spacing w:after="0"/>
        <w:rPr>
          <w:sz w:val="20"/>
          <w:szCs w:val="20"/>
          <w:color w:val="auto"/>
        </w:rPr>
      </w:pPr>
      <w:r>
        <w:rPr>
          <w:rFonts w:ascii="Arial" w:cs="Arial" w:eastAsia="Arial" w:hAnsi="Arial"/>
          <w:sz w:val="19"/>
          <w:szCs w:val="19"/>
          <w:color w:val="auto"/>
        </w:rPr>
        <w:t>$52.1 million, or $0.48 per share in the comparable 2018 period, an increase of 6.3 percent, including $0.03 of acquisition related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expenses in the quarter.</w:t>
      </w:r>
    </w:p>
    <w:p>
      <w:pPr>
        <w:spacing w:after="0" w:line="229"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“Our professional businesses delivered another good quarter, led by strength in landscape contractor sales, increased golf and grounds channel demand, and positive momentum in our BOSS® business,” said Richard M. Olson, Toro’s chairman and chief executive officer. “New products were again the key to success, as customers responded favorably to the latest lineup of our Exmark® Lazer®, and Radius® zero-turn riding mowers, and the BOSS® Stainless Steel XT V-Plow, which offers enhanced productivity and maneuverability for operators. Recent snow events in key regions also helped bolster sales of both professional and residential snow and ice management products in the quarter.”</w:t>
      </w:r>
    </w:p>
    <w:p>
      <w:pPr>
        <w:spacing w:after="0" w:line="2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“At recent industry trade shows, our team showcased several new products with the latest technology, designed to help our customers do their jobs more effectively. Key product lines like the Greensmaster® eTriFlex™ fully electric riding greensmower that effectively eliminates the potential for hydraulic leaks, while offering superior cutting performance, generated excitement among customers. The Outcross® 9060 continues to be a crowd favorite as customers learn more about the various attachments and versatility this machine offers to help address some of their biggest challenges. Our new Dingo® TXL 2000 also continues to impress with its vertical lifting capacity and telescoping arms for increased productivity and ease of use.”</w:t>
      </w:r>
    </w:p>
    <w:p>
      <w:pPr>
        <w:spacing w:after="0" w:line="22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“We are very excited about the recent announcement regarding the acquisition of Charles Machine Works, known as "The Underground Authority," with a portfolio of businesses including Ditch Witch®, and other leading brands in the underground construction market. As mentioned during our conference call last week, this acquisition will align very well with our strategic priorities and will naturally complement our existing business. Similarly, the cultural alignment, commitment to innovation and the importance of community shared by the two companies, should position us well for a successful integration."</w:t>
      </w:r>
    </w:p>
    <w:p>
      <w:pPr>
        <w:sectPr>
          <w:pgSz w:w="11900" w:h="16838" w:orient="portrait"/>
          <w:cols w:equalWidth="0" w:num="1">
            <w:col w:w="11360"/>
          </w:cols>
          <w:pgMar w:left="240" w:top="1440" w:right="29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“Looking ahead, we remain committed to effectively balancing tariffs and related commodity pressures, with productivity gains and pricing strategies. While we maintain our prudent approach to expense management, we will not sacrifice important investments in new product development, technologies or operating efficiencies. These factors, paired with the good work and dedication of our team, positions us well to execute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Assuming the acquisition of Charles Machine Works closes in the third quarter, we expect adjusted earnings per share of $1.15 to</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$1.20 for the second quarter. This includes an estimated $0.07 for the impact of acquisition-related expenses and share</w:t>
      </w:r>
    </w:p>
    <w:p>
      <w:pPr>
        <w:spacing w:after="0"/>
        <w:rPr>
          <w:sz w:val="20"/>
          <w:szCs w:val="20"/>
          <w:color w:val="auto"/>
        </w:rPr>
      </w:pPr>
      <w:r>
        <w:rPr>
          <w:rFonts w:ascii="Arial" w:cs="Arial" w:eastAsia="Arial" w:hAnsi="Arial"/>
          <w:sz w:val="19"/>
          <w:szCs w:val="19"/>
          <w:color w:val="auto"/>
        </w:rPr>
        <w:t>repurchase curtailment. These items are in addition to the $0.03 of acquisition expense incurred in the first quarter. This results in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an adjusted earnings per share estimate of $1.66 to $1.71 for the first six months, which equates to operational performance of</w:t>
      </w:r>
    </w:p>
    <w:p>
      <w:pPr>
        <w:spacing w:after="0"/>
        <w:rPr>
          <w:sz w:val="20"/>
          <w:szCs w:val="20"/>
          <w:color w:val="auto"/>
        </w:rPr>
      </w:pPr>
      <w:r>
        <w:rPr>
          <w:rFonts w:ascii="Arial" w:cs="Arial" w:eastAsia="Arial" w:hAnsi="Arial"/>
          <w:sz w:val="19"/>
          <w:szCs w:val="19"/>
          <w:color w:val="auto"/>
        </w:rPr>
        <w:t>$1.76 to $1.81, excluding acquisition-related impacts. We expect to update our guidance at, or after, the closing of the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right="180" w:hanging="332"/>
        <w:spacing w:after="0" w:line="241"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$455.0 million, up 12.7 percent from $403.7 million last year. Strong performance across our professional businesses drove positive results for the quarter. Our Exmark® businesses benefitted from strong sales of zero-turn mowers across the portfolio. In our golf and grounds business, increased shipments of our Groundsmaster® mowers and Workman utility vehicles generated momentum. Similarly, our BOSS® snow and ice management business also saw the benefits of favorable snowfall in key regions, as well as momentum generated by new products like the Exact Path™ drop spreader and the Drag Pro™.</w:t>
      </w:r>
    </w:p>
    <w:p>
      <w:pPr>
        <w:spacing w:after="0" w:line="221" w:lineRule="exact"/>
        <w:rPr>
          <w:rFonts w:ascii="Arial" w:cs="Arial" w:eastAsia="Arial" w:hAnsi="Arial"/>
          <w:sz w:val="20"/>
          <w:szCs w:val="20"/>
          <w:color w:val="auto"/>
        </w:rPr>
      </w:pPr>
    </w:p>
    <w:p>
      <w:pPr>
        <w:ind w:left="340" w:right="240" w:hanging="332"/>
        <w:spacing w:after="0" w:line="247"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$88.0 million, up 15.9 percent from $75.9 million in the same period last year.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240" w:hanging="332"/>
        <w:spacing w:after="0" w:line="243"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$145.2 million, up 1.9 percent from 142.5 million last year. Increased demand for snow throwers driven by higher snowfall totals across the Midwest and solid sales of walk power mowers led to the positive results for the quarter.</w:t>
      </w:r>
    </w:p>
    <w:p>
      <w:pPr>
        <w:spacing w:after="0" w:line="219" w:lineRule="exact"/>
        <w:rPr>
          <w:rFonts w:ascii="Arial" w:cs="Arial" w:eastAsia="Arial" w:hAnsi="Arial"/>
          <w:sz w:val="20"/>
          <w:szCs w:val="20"/>
          <w:color w:val="auto"/>
        </w:rPr>
      </w:pPr>
    </w:p>
    <w:p>
      <w:pPr>
        <w:ind w:left="340" w:right="160" w:hanging="332"/>
        <w:spacing w:after="0" w:line="247"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$13.1 million, down 16.8 percent from $15.7 million in the comparable period last year.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53" w:lineRule="exact"/>
        <w:rPr>
          <w:sz w:val="20"/>
          <w:szCs w:val="20"/>
          <w:color w:val="auto"/>
        </w:rPr>
      </w:pPr>
    </w:p>
    <w:p>
      <w:pPr>
        <w:jc w:val="both"/>
        <w:ind w:right="360"/>
        <w:spacing w:after="0" w:line="262" w:lineRule="auto"/>
        <w:rPr>
          <w:sz w:val="20"/>
          <w:szCs w:val="20"/>
          <w:color w:val="auto"/>
        </w:rPr>
      </w:pPr>
      <w:r>
        <w:rPr>
          <w:rFonts w:ascii="Arial" w:cs="Arial" w:eastAsia="Arial" w:hAnsi="Arial"/>
          <w:sz w:val="19"/>
          <w:szCs w:val="19"/>
          <w:color w:val="auto"/>
        </w:rPr>
        <w:t>Gross margin as a percent of sales for the first quarter was 35.8 percent, a decrease of 150 basis points compared to the prior year. Increased commodity and tariff-related costs, as well as the unfavorable accounting impact related to the acquisition of a distributor partner within the first quarter contributed to the decline, partially offset by pricing and productivity improvements.</w:t>
      </w:r>
    </w:p>
    <w:p>
      <w:pPr>
        <w:spacing w:after="0" w:line="203"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Selling, general and administrative (SG&amp;A) expense as a percent of sales for the first quarter was 24.2 percent, a decrease of 90 basis points from the same period last year. The decrease was primarily due to the prudent leveraging of expenses over higher sales volume. SG&amp;A improvement was offset by continued investment in our key strategic initiatives, including new product development and acquisition related growth opportunities.</w:t>
      </w:r>
    </w:p>
    <w:p>
      <w:pPr>
        <w:spacing w:after="0" w:line="220"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First quarter operating earnings as a percent of sales were 11.6 percent, a decrease of 60 basis points compared to 12.2 percent in the same period last year.</w:t>
      </w:r>
    </w:p>
    <w:p>
      <w:pPr>
        <w:sectPr>
          <w:pgSz w:w="11900" w:h="16838" w:orient="portrait"/>
          <w:cols w:equalWidth="0" w:num="1">
            <w:col w:w="11400"/>
          </w:cols>
          <w:pgMar w:left="240" w:top="760" w:right="25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effective tax rate for the first quarter was 15.0 percent, compared to 66.0 percent for the first quarter of last year. The fiscal 2018 first quarter reported tax rate was significantly impacted by one-time items associated with the enactment of U.S. tax reform. The fiscal 2019 first quarter adjusted tax rate was 21.2 percent. The company continues to expect its full year effective tax rate to be about 21.5 percent.</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Accounts receivable at the end of the first quarter were $225.5 million, up 13.5 percent from last year. Net inventories were $ 416.7 million, down 5.2 percent from last year. Trade payables were $281.5 million, up 5.6 percent from the comparable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maintenance, snow and ice management, landscape, rental and specialty construction equipment, and irrigation and outdoor lighting solutions. With sales of $2.6 billion in fiscal 2018,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t>
      </w:r>
      <w:r>
        <w:rPr>
          <w:rFonts w:ascii="Arial" w:cs="Arial" w:eastAsia="Arial" w:hAnsi="Arial"/>
          <w:sz w:val="20"/>
          <w:szCs w:val="20"/>
          <w:u w:val="single" w:color="auto"/>
          <w:color w:val="0563C1"/>
        </w:rPr>
        <w:t>www.thetorocompany.com</w:t>
      </w:r>
      <w:r>
        <w:rPr>
          <w:rFonts w:ascii="Arial" w:cs="Arial" w:eastAsia="Arial" w:hAnsi="Arial"/>
          <w:sz w:val="20"/>
          <w:szCs w:val="20"/>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21, 2019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February 21, 2019.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4"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This press release and our related earnings call contain certain non-GAAP financial measures, consisting of “adjusted" effective tax rate, net earnings and net earnings per diluted share as measures of our operating performance. Management believes these measures may be useful in performing meaningful comparisons of past and present operating results, to understand the performance of its ongoing operations and how</w:t>
      </w:r>
    </w:p>
    <w:p>
      <w:pPr>
        <w:spacing w:after="0" w:line="2"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management views the business. Reconciliations of adjusted non-GAAP measures to reported GAAP measures are included in the financial tables contained in this press release. These measures, however, should not be construed as an alternative to any other measure of performance determined in accordance with GAAP.</w:t>
      </w:r>
    </w:p>
    <w:p>
      <w:pPr>
        <w:spacing w:after="0" w:line="220"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 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w:t>
      </w:r>
    </w:p>
    <w:p>
      <w:pPr>
        <w:sectPr>
          <w:pgSz w:w="11900" w:h="16838" w:orient="portrait"/>
          <w:cols w:equalWidth="0" w:num="1">
            <w:col w:w="11380"/>
          </w:cols>
          <w:pgMar w:left="240" w:top="760" w:right="27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including those related to our pending acquisition of The Charles Machine Works, Inc., such as delays in completing the acquisition or not completing it at all, delays or failure by us in achieving the net sales, earnings and any cost or revenue synergies expected from the acquisition, delays and challenges in integrating the businesses after the acquisition is completed, business disruptions due to the acquisition, and unanticipated liabilities or exposures for which we have not been indemnified or may not recover;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76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29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3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February 1,</w:t>
            </w:r>
          </w:p>
        </w:tc>
        <w:tc>
          <w:tcPr>
            <w:tcW w:w="2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February 2,</w:t>
            </w:r>
          </w:p>
        </w:tc>
      </w:tr>
      <w:tr>
        <w:trPr>
          <w:trHeight w:val="234"/>
        </w:trPr>
        <w:tc>
          <w:tcPr>
            <w:tcW w:w="2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602,956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548,246</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215,617</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204,239</w:t>
            </w:r>
          </w:p>
        </w:tc>
      </w:tr>
      <w:tr>
        <w:trPr>
          <w:trHeight w:val="27"/>
        </w:trPr>
        <w:tc>
          <w:tcPr>
            <w:tcW w:w="2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Gross profit percentage</w:t>
            </w: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145,563</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137,317</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70,054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66,922</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(4,742)</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(4,818)</w:t>
            </w:r>
          </w:p>
        </w:tc>
      </w:tr>
      <w:tr>
        <w:trPr>
          <w:trHeight w:val="27"/>
        </w:trPr>
        <w:tc>
          <w:tcPr>
            <w:tcW w:w="2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4,708</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4,281</w:t>
            </w:r>
          </w:p>
        </w:tc>
      </w:tr>
      <w:tr>
        <w:trPr>
          <w:trHeight w:val="237"/>
        </w:trPr>
        <w:tc>
          <w:tcPr>
            <w:tcW w:w="76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1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70,020</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66,385</w:t>
            </w:r>
          </w:p>
        </w:tc>
      </w:tr>
      <w:tr>
        <w:trPr>
          <w:trHeight w:val="27"/>
        </w:trPr>
        <w:tc>
          <w:tcPr>
            <w:tcW w:w="2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9"/>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10,480</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43,781</w:t>
            </w:r>
          </w:p>
        </w:tc>
      </w:tr>
      <w:tr>
        <w:trPr>
          <w:trHeight w:val="237"/>
        </w:trPr>
        <w:tc>
          <w:tcPr>
            <w:tcW w:w="76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59,540</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22,604</w:t>
            </w:r>
          </w:p>
        </w:tc>
      </w:tr>
      <w:tr>
        <w:trPr>
          <w:trHeight w:val="67"/>
        </w:trPr>
        <w:tc>
          <w:tcPr>
            <w:tcW w:w="2580" w:type="dxa"/>
            <w:vAlign w:val="bottom"/>
            <w:tcBorders>
              <w:bottom w:val="single" w:sz="8" w:color="auto"/>
            </w:tcBorders>
          </w:tcPr>
          <w:p>
            <w:pPr>
              <w:spacing w:after="0"/>
              <w:rPr>
                <w:sz w:val="5"/>
                <w:szCs w:val="5"/>
                <w:color w:val="auto"/>
              </w:rPr>
            </w:pPr>
          </w:p>
        </w:tc>
        <w:tc>
          <w:tcPr>
            <w:tcW w:w="50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2580" w:type="dxa"/>
            <w:vAlign w:val="bottom"/>
            <w:tcBorders>
              <w:bottom w:val="single" w:sz="8" w:color="auto"/>
            </w:tcBorders>
            <w:shd w:val="clear" w:color="auto" w:fill="CCEEFF"/>
          </w:tcPr>
          <w:p>
            <w:pPr>
              <w:spacing w:after="0"/>
              <w:rPr>
                <w:sz w:val="24"/>
                <w:szCs w:val="24"/>
                <w:color w:val="auto"/>
              </w:rPr>
            </w:pPr>
          </w:p>
        </w:tc>
        <w:tc>
          <w:tcPr>
            <w:tcW w:w="50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7"/>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0.56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0.21</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2580" w:type="dxa"/>
            <w:vAlign w:val="bottom"/>
            <w:tcBorders>
              <w:bottom w:val="single" w:sz="8" w:color="auto"/>
            </w:tcBorders>
            <w:shd w:val="clear" w:color="auto" w:fill="CCEEFF"/>
          </w:tcPr>
          <w:p>
            <w:pPr>
              <w:spacing w:after="0"/>
              <w:rPr>
                <w:sz w:val="24"/>
                <w:szCs w:val="24"/>
                <w:color w:val="auto"/>
              </w:rPr>
            </w:pPr>
          </w:p>
        </w:tc>
        <w:tc>
          <w:tcPr>
            <w:tcW w:w="50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7"/>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0.55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0.21</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2580" w:type="dxa"/>
            <w:vAlign w:val="bottom"/>
            <w:shd w:val="clear" w:color="auto" w:fill="CCEEFF"/>
          </w:tcPr>
          <w:p>
            <w:pPr>
              <w:spacing w:after="0"/>
              <w:rPr>
                <w:sz w:val="24"/>
                <w:szCs w:val="24"/>
                <w:color w:val="auto"/>
              </w:rPr>
            </w:pPr>
          </w:p>
        </w:tc>
        <w:tc>
          <w:tcPr>
            <w:tcW w:w="5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106,258</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107,225</w:t>
            </w:r>
          </w:p>
        </w:tc>
      </w:tr>
      <w:tr>
        <w:trPr>
          <w:trHeight w:val="27"/>
        </w:trPr>
        <w:tc>
          <w:tcPr>
            <w:tcW w:w="2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2580" w:type="dxa"/>
            <w:vAlign w:val="bottom"/>
            <w:shd w:val="clear" w:color="auto" w:fill="CCEEFF"/>
          </w:tcPr>
          <w:p>
            <w:pPr>
              <w:spacing w:after="0"/>
              <w:rPr>
                <w:sz w:val="24"/>
                <w:szCs w:val="24"/>
                <w:color w:val="auto"/>
              </w:rPr>
            </w:pPr>
          </w:p>
        </w:tc>
        <w:tc>
          <w:tcPr>
            <w:tcW w:w="5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107,781</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109,855</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11"/>
        </w:trPr>
        <w:tc>
          <w:tcPr>
            <w:tcW w:w="2580" w:type="dxa"/>
            <w:vAlign w:val="bottom"/>
          </w:tcPr>
          <w:p>
            <w:pPr>
              <w:spacing w:after="0"/>
              <w:rPr>
                <w:sz w:val="24"/>
                <w:szCs w:val="24"/>
                <w:color w:val="auto"/>
              </w:rPr>
            </w:pPr>
          </w:p>
        </w:tc>
        <w:tc>
          <w:tcPr>
            <w:tcW w:w="5060" w:type="dxa"/>
            <w:vAlign w:val="bottom"/>
          </w:tcPr>
          <w:p>
            <w:pPr>
              <w:jc w:val="center"/>
              <w:ind w:left="1101"/>
              <w:spacing w:after="0"/>
              <w:rPr>
                <w:sz w:val="20"/>
                <w:szCs w:val="20"/>
                <w:color w:val="auto"/>
              </w:rPr>
            </w:pPr>
            <w:r>
              <w:rPr>
                <w:rFonts w:ascii="Arial" w:cs="Arial" w:eastAsia="Arial" w:hAnsi="Arial"/>
                <w:sz w:val="20"/>
                <w:szCs w:val="20"/>
                <w:b w:val="1"/>
                <w:bCs w:val="1"/>
                <w:color w:val="auto"/>
                <w:w w:val="90"/>
              </w:rPr>
              <w:t>Segment Data (Unaudited)</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2580" w:type="dxa"/>
            <w:vAlign w:val="bottom"/>
          </w:tcPr>
          <w:p>
            <w:pPr>
              <w:spacing w:after="0"/>
              <w:rPr>
                <w:sz w:val="22"/>
                <w:szCs w:val="22"/>
                <w:color w:val="auto"/>
              </w:rPr>
            </w:pPr>
          </w:p>
        </w:tc>
        <w:tc>
          <w:tcPr>
            <w:tcW w:w="5060" w:type="dxa"/>
            <w:vAlign w:val="bottom"/>
          </w:tcPr>
          <w:p>
            <w:pPr>
              <w:jc w:val="center"/>
              <w:ind w:left="1101"/>
              <w:spacing w:after="0"/>
              <w:rPr>
                <w:sz w:val="20"/>
                <w:szCs w:val="20"/>
                <w:color w:val="auto"/>
              </w:rPr>
            </w:pPr>
            <w:r>
              <w:rPr>
                <w:rFonts w:ascii="Arial" w:cs="Arial" w:eastAsia="Arial" w:hAnsi="Arial"/>
                <w:sz w:val="20"/>
                <w:szCs w:val="20"/>
                <w:b w:val="1"/>
                <w:bCs w:val="1"/>
                <w:color w:val="auto"/>
                <w:w w:val="88"/>
              </w:rPr>
              <w:t>(Dollars in thousands)</w:t>
            </w:r>
          </w:p>
        </w:tc>
        <w:tc>
          <w:tcPr>
            <w:tcW w:w="1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96"/>
        </w:trPr>
        <w:tc>
          <w:tcPr>
            <w:tcW w:w="2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February 1,</w:t>
            </w:r>
          </w:p>
        </w:tc>
        <w:tc>
          <w:tcPr>
            <w:tcW w:w="2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February 2,</w:t>
            </w:r>
          </w:p>
        </w:tc>
      </w:tr>
      <w:tr>
        <w:trPr>
          <w:trHeight w:val="234"/>
        </w:trPr>
        <w:tc>
          <w:tcPr>
            <w:tcW w:w="7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 Net Sales</w:t>
            </w:r>
          </w:p>
        </w:tc>
        <w:tc>
          <w:tcPr>
            <w:tcW w:w="11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455,006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403,669</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145,158</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142,507</w:t>
            </w:r>
          </w:p>
        </w:tc>
      </w:tr>
      <w:tr>
        <w:trPr>
          <w:trHeight w:val="27"/>
        </w:trPr>
        <w:tc>
          <w:tcPr>
            <w:tcW w:w="2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r>
      <w:tr>
        <w:trPr>
          <w:trHeight w:val="237"/>
        </w:trPr>
        <w:tc>
          <w:tcPr>
            <w:tcW w:w="76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Total net sales*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602,956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548,246</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shd w:val="clear" w:color="auto" w:fill="CCEEFF"/>
              </w:rPr>
              <w:t>*Includes international net sales of:</w:t>
            </w:r>
          </w:p>
        </w:tc>
        <w:tc>
          <w:tcPr>
            <w:tcW w:w="50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141,545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146,790</w:t>
            </w:r>
          </w:p>
        </w:tc>
      </w:tr>
      <w:tr>
        <w:trPr>
          <w:trHeight w:val="372"/>
        </w:trPr>
        <w:tc>
          <w:tcPr>
            <w:tcW w:w="2580" w:type="dxa"/>
            <w:vAlign w:val="bottom"/>
            <w:tcBorders>
              <w:top w:val="single" w:sz="8" w:color="auto"/>
            </w:tcBorders>
          </w:tcPr>
          <w:p>
            <w:pPr>
              <w:spacing w:after="0"/>
              <w:rPr>
                <w:sz w:val="24"/>
                <w:szCs w:val="24"/>
                <w:color w:val="auto"/>
              </w:rPr>
            </w:pPr>
          </w:p>
        </w:tc>
        <w:tc>
          <w:tcPr>
            <w:tcW w:w="50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February 1,</w:t>
            </w:r>
          </w:p>
        </w:tc>
        <w:tc>
          <w:tcPr>
            <w:tcW w:w="2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February 2,</w:t>
            </w:r>
          </w:p>
        </w:tc>
      </w:tr>
      <w:tr>
        <w:trPr>
          <w:trHeight w:val="234"/>
        </w:trPr>
        <w:tc>
          <w:tcPr>
            <w:tcW w:w="7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 Earnings (Loss)</w:t>
            </w:r>
          </w:p>
        </w:tc>
        <w:tc>
          <w:tcPr>
            <w:tcW w:w="11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75,912</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13,072</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15,713</w:t>
            </w:r>
          </w:p>
        </w:tc>
      </w:tr>
      <w:tr>
        <w:trPr>
          <w:trHeight w:val="27"/>
        </w:trPr>
        <w:tc>
          <w:tcPr>
            <w:tcW w:w="2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(31,030)</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(25,240)</w:t>
            </w:r>
          </w:p>
        </w:tc>
      </w:tr>
      <w:tr>
        <w:trPr>
          <w:trHeight w:val="237"/>
        </w:trPr>
        <w:tc>
          <w:tcPr>
            <w:tcW w:w="76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Total segment earnings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70,020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66,385</w:t>
            </w:r>
          </w:p>
        </w:tc>
      </w:tr>
      <w:tr>
        <w:trPr>
          <w:trHeight w:val="27"/>
        </w:trPr>
        <w:tc>
          <w:tcPr>
            <w:tcW w:w="2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February 1,</w:t>
            </w:r>
          </w:p>
        </w:tc>
        <w:tc>
          <w:tcPr>
            <w:tcW w:w="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February 2,</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249,965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219,730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225,528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198,736</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416,650</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439,343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41,789</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43,039</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933,932</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900,848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279,270</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234,448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39,589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44,752</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370,023</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336,758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1,622,814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1,516,806</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13,000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281,526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266,586</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283,452</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292,903</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564,978</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572,489</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312,551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302,465</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49,478</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59,232</w:t>
            </w:r>
          </w:p>
        </w:tc>
      </w:tr>
      <w:tr>
        <w:trPr>
          <w:trHeight w:val="237"/>
        </w:trPr>
        <w:tc>
          <w:tcPr>
            <w:tcW w:w="618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2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694,397</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580,781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1,622,814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1,516,806</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44"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February 1,</w:t>
            </w:r>
          </w:p>
        </w:tc>
        <w:tc>
          <w:tcPr>
            <w:tcW w:w="2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February 2,</w:t>
            </w:r>
          </w:p>
        </w:tc>
      </w:tr>
      <w:tr>
        <w:trPr>
          <w:trHeight w:val="234"/>
        </w:trPr>
        <w:tc>
          <w:tcPr>
            <w:tcW w:w="7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59,540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22,604</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15,583</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15,226</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19,682</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(12,989)</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(52,380)</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(107,017)</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26,643</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72,523</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25,985</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8,095</w:t>
            </w:r>
          </w:p>
        </w:tc>
      </w:tr>
      <w:tr>
        <w:trPr>
          <w:trHeight w:val="318"/>
        </w:trPr>
        <w:tc>
          <w:tcPr>
            <w:tcW w:w="74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(14,180)</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(10,784)</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(26,825)</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(10,784)</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7,569</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4,436</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(20,043)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(50,066)</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(23,923)</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(21,425)</w:t>
            </w:r>
          </w:p>
        </w:tc>
      </w:tr>
      <w:tr>
        <w:trPr>
          <w:trHeight w:val="237"/>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(38,269)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(88,149)</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(39,159)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(90,526)</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289,124</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310,256</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249,965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219,730</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8 -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Reconciliation of Non-GAAP Financial Measures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Such non-GAAP financial measures should not be considered superior to, as a substitute for, or as an alternative to, and should be considered in conjunction with, the GAAP financial measures presented in the accompanying press release. The non-GAAP financial measures in the accompanying press release may differ from similar measures used by other companies.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reconciliations of financial measures calculated and reported in accordance with GAAP as well as adjusted non-GAAP financial measures presented in the accompanying press release for the three month periods ended February 1, 2019 and February 2, 2018. The company believes these measures may be useful in performing meaningful comparisons of past and present operating results, to understand the performance of its ongoing operations, and how management views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our net earnings, diluted earnings per share ("EPS"), and effective tax rate to our adjusted net earnings, adjusted diluted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EPS, and adjusted effective tax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spacing w:after="0"/>
              <w:rPr>
                <w:sz w:val="18"/>
                <w:szCs w:val="18"/>
                <w:color w:val="auto"/>
              </w:rPr>
            </w:pPr>
          </w:p>
        </w:tc>
        <w:tc>
          <w:tcPr>
            <w:tcW w:w="258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Diluted EPS</w:t>
            </w:r>
          </w:p>
        </w:tc>
        <w:tc>
          <w:tcPr>
            <w:tcW w:w="272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February 1,</w:t>
            </w:r>
          </w:p>
        </w:tc>
        <w:tc>
          <w:tcPr>
            <w:tcW w:w="22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February 2,</w:t>
            </w:r>
          </w:p>
        </w:tc>
        <w:tc>
          <w:tcPr>
            <w:tcW w:w="22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February 1,</w:t>
            </w:r>
          </w:p>
        </w:tc>
        <w:tc>
          <w:tcPr>
            <w:tcW w:w="22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February 2,</w:t>
            </w: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1,</w:t>
            </w: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w:t>
            </w: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59,540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0.21</w:t>
            </w: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66.0 %</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Impacts of tax reform:</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20,513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0.19</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70"/>
        </w:trPr>
        <w:tc>
          <w:tcPr>
            <w:tcW w:w="31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12,600</w:t>
            </w:r>
          </w:p>
        </w:tc>
        <w:tc>
          <w:tcPr>
            <w:tcW w:w="22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0.11</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Benefit of the excess tax deduction for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(3,576)</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(0.03)</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31"/>
        </w:trPr>
        <w:tc>
          <w:tcPr>
            <w:tcW w:w="31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55,179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52,141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0.48</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21.2%</w:t>
            </w:r>
          </w:p>
        </w:tc>
        <w:tc>
          <w:tcPr>
            <w:tcW w:w="1300" w:type="dxa"/>
            <w:vAlign w:val="bottom"/>
          </w:tcPr>
          <w:p>
            <w:pPr>
              <w:jc w:val="right"/>
              <w:spacing w:after="0"/>
              <w:rPr>
                <w:sz w:val="20"/>
                <w:szCs w:val="20"/>
                <w:color w:val="auto"/>
              </w:rPr>
            </w:pPr>
            <w:r>
              <w:rPr>
                <w:rFonts w:ascii="Arial" w:cs="Arial" w:eastAsia="Arial" w:hAnsi="Arial"/>
                <w:sz w:val="16"/>
                <w:szCs w:val="16"/>
                <w:color w:val="auto"/>
              </w:rPr>
              <w:t>21.5 %</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left="180" w:hanging="172"/>
        <w:spacing w:after="0" w:line="230" w:lineRule="auto"/>
        <w:tabs>
          <w:tab w:leader="none" w:pos="1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Signed into law on December 22, 2017, the Tax Cuts and Jobs Act ("Tax Act"), reduced the U.S. federal corporate tax rate from 35.0 percent to 21.0 percent, effective January 1, 2018, which resulted in a blended U.S. federal statutory tax rate for the company of 23.3 percent for the fiscal year ended October 31, 2018. This reduction in rate required the re-measurement of the company's net deferred taxes as of the date of enactment, which resulted in a non-cash charge of $20.5 million during the three month period ended February 2, 2018.</w:t>
      </w:r>
    </w:p>
    <w:p>
      <w:pPr>
        <w:spacing w:after="0" w:line="174" w:lineRule="exact"/>
        <w:rPr>
          <w:sz w:val="20"/>
          <w:szCs w:val="20"/>
          <w:color w:val="auto"/>
        </w:rPr>
      </w:pPr>
    </w:p>
    <w:p>
      <w:pPr>
        <w:ind w:left="180" w:hanging="172"/>
        <w:spacing w:after="0" w:line="217" w:lineRule="auto"/>
        <w:tabs>
          <w:tab w:leader="none" w:pos="18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Tax Act imposed a one-time deemed repatriation tax on the company's historical undistributed earnings and profits of foreign affiliates, which resulted in a charge of $12.6 million during the three month period ended February 2, 2018, payable over eight years.</w:t>
      </w:r>
    </w:p>
    <w:p>
      <w:pPr>
        <w:spacing w:after="0" w:line="172" w:lineRule="exact"/>
        <w:rPr>
          <w:sz w:val="20"/>
          <w:szCs w:val="20"/>
          <w:color w:val="auto"/>
        </w:rPr>
      </w:pPr>
    </w:p>
    <w:p>
      <w:pPr>
        <w:jc w:val="both"/>
        <w:ind w:left="180" w:hanging="172"/>
        <w:spacing w:after="0" w:line="230" w:lineRule="auto"/>
        <w:tabs>
          <w:tab w:leader="none" w:pos="18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 xml:space="preserve">In the first quarter of fiscal 2017, the company adopted Accounting Standards Update No. 2016-09, </w:t>
      </w:r>
      <w:r>
        <w:rPr>
          <w:rFonts w:ascii="Arial" w:cs="Arial" w:eastAsia="Arial" w:hAnsi="Arial"/>
          <w:sz w:val="16"/>
          <w:szCs w:val="16"/>
          <w:i w:val="1"/>
          <w:iCs w:val="1"/>
          <w:color w:val="auto"/>
        </w:rPr>
        <w:t>Stock-based Compensation: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requires that any excess tax deduction for share-based compensation be immediately recorded within income tax expense.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discrete tax benefits of $4.4 million and $3.6 million as excess tax deductions for share-based compensation during the three month periods ended February 1, 2019 and February 2, 2018,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952"/>
    </w:lvl>
  </w:abstractNum>
  <w:abstractNum w:abstractNumId="1">
    <w:nsid w:val="46E87CCD"/>
    <w:multiLevelType w:val="hybridMultilevel"/>
    <w:lvl w:ilvl="0">
      <w:lvlJc w:val="left"/>
      <w:lvlText w:val="(%1)"/>
      <w:numFmt w:val="decimal"/>
      <w:start w:val="95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2019-12-28T16:23:55Z</dcterms:created>
  <dcterms:modified xsi:type="dcterms:W3CDTF">2019-12-28T16:23:55Z</dcterms:modified>
</cp:coreProperties>
</file>