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87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HAMILTON BRADLEY 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12/23/2020</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20"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557"/>
        <w:spacing w:after="0"/>
        <w:rPr>
          <w:sz w:val="20"/>
          <w:szCs w:val="20"/>
          <w:color w:val="auto"/>
        </w:rPr>
      </w:pPr>
      <w:r>
        <w:rPr>
          <w:rFonts w:ascii="Times New Roman" w:cs="Times New Roman" w:eastAsia="Times New Roman" w:hAnsi="Times New Roman"/>
          <w:sz w:val="17"/>
          <w:szCs w:val="17"/>
          <w:color w:val="0000FF"/>
        </w:rPr>
        <w:t>Group VP, Comm, Intl &amp; Irrig</w:t>
      </w:r>
    </w:p>
    <w:p>
      <w:pPr>
        <w:spacing w:after="0" w:line="306" w:lineRule="exact"/>
        <w:rPr>
          <w:sz w:val="24"/>
          <w:szCs w:val="24"/>
          <w:color w:val="auto"/>
        </w:rPr>
      </w:pPr>
    </w:p>
    <w:p>
      <w:pPr>
        <w:sectPr>
          <w:pgSz w:w="11900" w:h="16838" w:orient="portrait"/>
          <w:cols w:equalWidth="0" w:num="3">
            <w:col w:w="3200" w:space="720"/>
            <w:col w:w="3103" w:space="720"/>
            <w:col w:w="3337"/>
          </w:cols>
          <w:pgMar w:left="460" w:top="216" w:right="359" w:bottom="876"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665"/>
              <w:spacing w:after="0"/>
              <w:rPr>
                <w:sz w:val="20"/>
                <w:szCs w:val="20"/>
                <w:color w:val="auto"/>
              </w:rPr>
            </w:pPr>
            <w:r>
              <w:rPr>
                <w:rFonts w:ascii="Times New Roman" w:cs="Times New Roman" w:eastAsia="Times New Roman" w:hAnsi="Times New Roman"/>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2564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2564130"/>
                    </a:xfrm>
                    <a:prstGeom prst="rect">
                      <a:avLst/>
                    </a:prstGeom>
                    <a:noFill/>
                  </pic:spPr>
                </pic:pic>
              </a:graphicData>
            </a:graphic>
          </wp:anchor>
        </w:drawing>
      </w:r>
    </w:p>
    <w:p>
      <w:pPr>
        <w:spacing w:after="0" w:line="297" w:lineRule="exact"/>
        <w:rPr>
          <w:sz w:val="24"/>
          <w:szCs w:val="24"/>
          <w:color w:val="auto"/>
        </w:rPr>
      </w:pPr>
    </w:p>
    <w:p>
      <w:pPr>
        <w:sectPr>
          <w:pgSz w:w="11900" w:h="16838" w:orient="portrait"/>
          <w:cols w:equalWidth="0" w:num="2">
            <w:col w:w="3760" w:space="160"/>
            <w:col w:w="7160"/>
          </w:cols>
          <w:pgMar w:left="460" w:top="216" w:right="359" w:bottom="87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500"/>
              <w:spacing w:after="0" w:line="125"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0"/>
                <w:szCs w:val="10"/>
                <w:color w:val="auto"/>
              </w:rPr>
            </w:pPr>
          </w:p>
        </w:tc>
        <w:tc>
          <w:tcPr>
            <w:tcW w:w="110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6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5"/>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1"/>
                <w:szCs w:val="11"/>
                <w:color w:val="auto"/>
              </w:rPr>
            </w:pP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12/23/2020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1,940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29.75</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3,790.72</w:t>
            </w:r>
          </w:p>
        </w:tc>
        <w:tc>
          <w:tcPr>
            <w:tcW w:w="300" w:type="dxa"/>
            <w:vAlign w:val="bottom"/>
          </w:tcPr>
          <w:p>
            <w:pPr>
              <w:spacing w:after="0"/>
              <w:rPr>
                <w:sz w:val="22"/>
                <w:szCs w:val="22"/>
                <w:color w:val="auto"/>
              </w:rPr>
            </w:pPr>
          </w:p>
        </w:tc>
        <w:tc>
          <w:tcPr>
            <w:tcW w:w="540" w:type="dxa"/>
            <w:vAlign w:val="bottom"/>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12/23/2020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1,940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93.51</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1,850.72</w:t>
            </w:r>
          </w:p>
        </w:tc>
        <w:tc>
          <w:tcPr>
            <w:tcW w:w="300" w:type="dxa"/>
            <w:vAlign w:val="bottom"/>
          </w:tcPr>
          <w:p>
            <w:pPr>
              <w:spacing w:after="0"/>
              <w:rPr>
                <w:sz w:val="22"/>
                <w:szCs w:val="22"/>
                <w:color w:val="auto"/>
              </w:rPr>
            </w:pPr>
          </w:p>
        </w:tc>
        <w:tc>
          <w:tcPr>
            <w:tcW w:w="540" w:type="dxa"/>
            <w:vAlign w:val="bottom"/>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12/23/2020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1,940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29.75</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3,790.72</w:t>
            </w:r>
          </w:p>
        </w:tc>
        <w:tc>
          <w:tcPr>
            <w:tcW w:w="300" w:type="dxa"/>
            <w:vAlign w:val="bottom"/>
          </w:tcPr>
          <w:p>
            <w:pPr>
              <w:spacing w:after="0"/>
              <w:rPr>
                <w:sz w:val="22"/>
                <w:szCs w:val="22"/>
                <w:color w:val="auto"/>
              </w:rPr>
            </w:pPr>
          </w:p>
        </w:tc>
        <w:tc>
          <w:tcPr>
            <w:tcW w:w="540" w:type="dxa"/>
            <w:vAlign w:val="bottom"/>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12/23/2020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1,940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93.492</w:t>
            </w:r>
            <w:r>
              <w:rPr>
                <w:rFonts w:ascii="Times New Roman" w:cs="Times New Roman" w:eastAsia="Times New Roman" w:hAnsi="Times New Roman"/>
                <w:sz w:val="21"/>
                <w:szCs w:val="21"/>
                <w:color w:val="008000"/>
                <w:w w:val="93"/>
                <w:vertAlign w:val="superscript"/>
              </w:rPr>
              <w:t>(1)</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1,850.72</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1,008.373</w:t>
            </w:r>
          </w:p>
        </w:tc>
        <w:tc>
          <w:tcPr>
            <w:tcW w:w="300" w:type="dxa"/>
            <w:vAlign w:val="bottom"/>
          </w:tcPr>
          <w:p>
            <w:pPr>
              <w:spacing w:after="0"/>
              <w:rPr>
                <w:sz w:val="18"/>
                <w:szCs w:val="18"/>
                <w:color w:val="auto"/>
              </w:rPr>
            </w:pPr>
          </w:p>
        </w:tc>
        <w:tc>
          <w:tcPr>
            <w:tcW w:w="5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8,869.1</w:t>
            </w:r>
          </w:p>
        </w:tc>
        <w:tc>
          <w:tcPr>
            <w:tcW w:w="300" w:type="dxa"/>
            <w:vAlign w:val="bottom"/>
          </w:tcPr>
          <w:p>
            <w:pPr>
              <w:spacing w:after="0"/>
              <w:rPr>
                <w:sz w:val="22"/>
                <w:szCs w:val="22"/>
                <w:color w:val="auto"/>
              </w:rPr>
            </w:pPr>
          </w:p>
        </w:tc>
        <w:tc>
          <w:tcPr>
            <w:tcW w:w="540" w:type="dxa"/>
            <w:vAlign w:val="bottom"/>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60" w:type="dxa"/>
            <w:vAlign w:val="bottom"/>
            <w:tcBorders>
              <w:bottom w:val="single" w:sz="8" w:color="2C2C2C"/>
            </w:tcBorders>
            <w:gridSpan w:val="9"/>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vMerge w:val="continue"/>
          </w:tcPr>
          <w:p>
            <w:pPr>
              <w:spacing w:after="0"/>
              <w:rPr>
                <w:sz w:val="14"/>
                <w:szCs w:val="14"/>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29.75</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12/23/2020</w:t>
            </w:r>
          </w:p>
        </w:tc>
        <w:tc>
          <w:tcPr>
            <w:tcW w:w="11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1,940</w:t>
            </w: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12/06/2023</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1,940</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ind w:lef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29.75</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12/23/2020</w:t>
            </w:r>
          </w:p>
        </w:tc>
        <w:tc>
          <w:tcPr>
            <w:tcW w:w="11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1,940</w:t>
            </w: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12/06/2023</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1,940</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-2498725</wp:posOffset>
            </wp:positionV>
            <wp:extent cx="7033260" cy="26384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63842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2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$93.47 to $93.53,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full on the third anniversary of the date of grant, which was December 6, 2013.</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date of grant, which was December 6, 2013.</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Angela D. Snavely,</w:t>
            </w:r>
          </w:p>
        </w:tc>
        <w:tc>
          <w:tcPr>
            <w:tcW w:w="52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12/24/2020</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87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87576"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2020-12-28T15:21:52Z</dcterms:created>
  <dcterms:modified xsi:type="dcterms:W3CDTF">2020-12-28T15:21:52Z</dcterms:modified>
</cp:coreProperties>
</file>