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932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9321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49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MOELLER PETER D</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438"/>
        <w:spacing w:after="0"/>
        <w:rPr>
          <w:sz w:val="20"/>
          <w:szCs w:val="20"/>
          <w:color w:val="auto"/>
        </w:rPr>
      </w:pPr>
      <w:r>
        <w:rPr>
          <w:rFonts w:ascii="Times New Roman" w:cs="Times New Roman" w:eastAsia="Times New Roman" w:hAnsi="Times New Roman"/>
          <w:sz w:val="17"/>
          <w:szCs w:val="17"/>
          <w:color w:val="0000FF"/>
        </w:rPr>
        <w:t>Group VP, Undg &amp; Spec Construc</w:t>
      </w:r>
    </w:p>
    <w:p>
      <w:pPr>
        <w:spacing w:after="0" w:line="310" w:lineRule="exact"/>
        <w:rPr>
          <w:sz w:val="24"/>
          <w:szCs w:val="24"/>
          <w:color w:val="auto"/>
        </w:rPr>
      </w:pPr>
    </w:p>
    <w:p>
      <w:pPr>
        <w:sectPr>
          <w:pgSz w:w="11900" w:h="16838" w:orient="portrait"/>
          <w:cols w:equalWidth="0" w:num="3">
            <w:col w:w="3180" w:space="720"/>
            <w:col w:w="3102" w:space="720"/>
            <w:col w:w="3358"/>
          </w:cols>
          <w:pgMar w:left="460" w:top="217" w:right="359" w:bottom="494"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40" w:type="dxa"/>
            <w:vAlign w:val="bottom"/>
            <w:gridSpan w:val="8"/>
          </w:tcPr>
          <w:p>
            <w:pPr>
              <w:ind w:left="2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01/15/2025</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595</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0.077</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vMerge w:val="restart"/>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Moeller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2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01/15/2025</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3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595</w:t>
            </w:r>
          </w:p>
        </w:tc>
        <w:tc>
          <w:tcPr>
            <w:tcW w:w="30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center"/>
              <w:spacing w:after="0" w:line="206" w:lineRule="exact"/>
              <w:rPr>
                <w:sz w:val="20"/>
                <w:szCs w:val="20"/>
                <w:color w:val="auto"/>
              </w:rPr>
            </w:pPr>
            <w:r>
              <w:rPr>
                <w:rFonts w:ascii="Times New Roman" w:cs="Times New Roman" w:eastAsia="Times New Roman" w:hAnsi="Times New Roman"/>
                <w:sz w:val="17"/>
                <w:szCs w:val="17"/>
                <w:color w:val="0000FF"/>
                <w:w w:val="94"/>
              </w:rPr>
              <w:t>5,523.01</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7"/>
                <w:szCs w:val="17"/>
                <w:color w:val="auto"/>
              </w:rPr>
            </w:pPr>
          </w:p>
        </w:tc>
        <w:tc>
          <w:tcPr>
            <w:tcW w:w="54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2"/>
              </w:rPr>
              <w:t>4,111.438</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2,698.816</w:t>
            </w:r>
            <w:r>
              <w:rPr>
                <w:rFonts w:ascii="Times New Roman" w:cs="Times New Roman" w:eastAsia="Times New Roman" w:hAnsi="Times New Roman"/>
                <w:sz w:val="21"/>
                <w:szCs w:val="21"/>
                <w:color w:val="008000"/>
                <w:w w:val="94"/>
                <w:vertAlign w:val="superscript"/>
              </w:rPr>
              <w:t>(4)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center"/>
              <w:ind w:right="81"/>
              <w:spacing w:after="0"/>
              <w:rPr>
                <w:sz w:val="20"/>
                <w:szCs w:val="20"/>
                <w:color w:val="auto"/>
              </w:rPr>
            </w:pPr>
            <w:r>
              <w:rPr>
                <w:rFonts w:ascii="Times New Roman" w:cs="Times New Roman" w:eastAsia="Times New Roman" w:hAnsi="Times New Roman"/>
                <w:sz w:val="11"/>
                <w:szCs w:val="11"/>
                <w:color w:val="008000"/>
                <w:w w:val="93"/>
              </w:rPr>
              <w:t>(6)</w:t>
            </w:r>
          </w:p>
        </w:tc>
        <w:tc>
          <w:tcPr>
            <w:tcW w:w="32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1,864.12</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1,864.12</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-1923415</wp:posOffset>
            </wp:positionV>
            <wp:extent cx="29210" cy="192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1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2.896 shares of common stock acquired by the reporting person since the date of his last report under a dividend reinvestment feature of the account in which the shares are held.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23.981 shares of common stock acquired by the reporting person since the date of his last report under a dividend reinvestment feature of the account in which the shares are held.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19.825 shares acquired by the reporting person since the date of his last report under the dividend reinvestment feature of The Toro Company Retirement Plan.</w:t>
      </w:r>
    </w:p>
    <w:p>
      <w:pPr>
        <w:spacing w:after="0" w:line="43" w:lineRule="exact"/>
        <w:rPr>
          <w:rFonts w:ascii="Times New Roman" w:cs="Times New Roman" w:eastAsia="Times New Roman" w:hAnsi="Times New Roman"/>
          <w:sz w:val="13"/>
          <w:szCs w:val="13"/>
          <w:color w:val="008000"/>
        </w:rPr>
      </w:pPr>
    </w:p>
    <w:p>
      <w:pPr>
        <w:ind w:left="40" w:right="5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13.025 performance share units acquired by the reporting person since the date of his last report under the dividend reinvestment feature of The Toro Company Deferred Compensation Plan for Officers.</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01/16/2025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2025-01-16T08:48:19Z</dcterms:created>
  <dcterms:modified xsi:type="dcterms:W3CDTF">2025-01-16T08:48:19Z</dcterms:modified>
</cp:coreProperties>
</file>