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9"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0"/>
        <w:spacing w:after="0"/>
        <w:rPr>
          <w:sz w:val="20"/>
          <w:szCs w:val="20"/>
          <w:color w:val="auto"/>
        </w:rPr>
      </w:pPr>
      <w:r>
        <w:rPr>
          <w:rFonts w:ascii="Arial" w:cs="Arial" w:eastAsia="Arial" w:hAnsi="Arial"/>
          <w:sz w:val="32"/>
          <w:szCs w:val="32"/>
          <w:b w:val="1"/>
          <w:bCs w:val="1"/>
          <w:color w:val="auto"/>
        </w:rPr>
        <w:t>Washington, D.C. 20549</w:t>
      </w:r>
    </w:p>
    <w:p>
      <w:pPr>
        <w:spacing w:after="0" w:line="204"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2800" w:right="240" w:hanging="2612"/>
        <w:spacing w:after="0" w:line="595" w:lineRule="auto"/>
        <w:tabs>
          <w:tab w:leader="none" w:pos="6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15(d) OF THE SECURITIES EXCHANGE ACT OF 1934 For the fiscal year ended </w:t>
      </w:r>
      <w:r>
        <w:rPr>
          <w:rFonts w:ascii="Arial" w:cs="Arial" w:eastAsia="Arial" w:hAnsi="Arial"/>
          <w:sz w:val="18"/>
          <w:szCs w:val="18"/>
          <w:b w:val="1"/>
          <w:bCs w:val="1"/>
          <w:u w:val="single" w:color="auto"/>
          <w:color w:val="auto"/>
        </w:rPr>
        <w:t>December 31, 2006</w:t>
      </w:r>
      <w:r>
        <w:rPr>
          <w:rFonts w:ascii="Arial" w:cs="Arial" w:eastAsia="Arial" w:hAnsi="Arial"/>
          <w:sz w:val="18"/>
          <w:szCs w:val="18"/>
          <w:b w:val="1"/>
          <w:bCs w:val="1"/>
          <w:color w:val="auto"/>
        </w:rPr>
        <w:t>.</w:t>
      </w:r>
    </w:p>
    <w:p>
      <w:pPr>
        <w:spacing w:after="0" w:line="378" w:lineRule="exact"/>
        <w:rPr>
          <w:sz w:val="24"/>
          <w:szCs w:val="24"/>
          <w:color w:val="auto"/>
        </w:rPr>
      </w:pPr>
    </w:p>
    <w:p>
      <w:pPr>
        <w:ind w:left="560" w:hanging="532"/>
        <w:spacing w:after="0"/>
        <w:tabs>
          <w:tab w:leader="none" w:pos="5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91"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jc w:val="center"/>
        <w:ind w:right="60"/>
        <w:spacing w:after="0"/>
        <w:tabs>
          <w:tab w:leader="none" w:pos="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52"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ind w:left="1240"/>
        <w:spacing w:after="0"/>
        <w:tabs>
          <w:tab w:leader="none" w:pos="15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869950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80"/>
          </w:cols>
          <w:pgMar w:left="1440" w:top="1017" w:right="1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EMPLOYEE STOCK OWNERSHIP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40" w:type="dxa"/>
            <w:vAlign w:val="bottom"/>
          </w:tcPr>
          <w:p>
            <w:pPr>
              <w:ind w:left="38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tcPr>
          <w:p>
            <w:pPr>
              <w:ind w:left="6080"/>
              <w:spacing w:after="0"/>
              <w:rPr>
                <w:sz w:val="20"/>
                <w:szCs w:val="20"/>
                <w:color w:val="auto"/>
              </w:rPr>
            </w:pPr>
            <w:r>
              <w:rPr>
                <w:rFonts w:ascii="Arial" w:cs="Arial" w:eastAsia="Arial" w:hAnsi="Arial"/>
                <w:sz w:val="18"/>
                <w:szCs w:val="18"/>
                <w:b w:val="1"/>
                <w:bCs w:val="1"/>
                <w:color w:val="auto"/>
                <w:w w:val="78"/>
              </w:rPr>
              <w:t>Page</w:t>
            </w:r>
          </w:p>
        </w:tc>
      </w:tr>
      <w:tr>
        <w:trPr>
          <w:trHeight w:val="190"/>
        </w:trPr>
        <w:tc>
          <w:tcPr>
            <w:tcW w:w="4660" w:type="dxa"/>
            <w:vAlign w:val="bottom"/>
            <w:gridSpan w:val="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6440" w:type="dxa"/>
            <w:vAlign w:val="bottom"/>
          </w:tcPr>
          <w:p>
            <w:pPr>
              <w:jc w:val="center"/>
              <w:ind w:left="5990"/>
              <w:spacing w:after="0" w:line="190" w:lineRule="exact"/>
              <w:rPr>
                <w:sz w:val="20"/>
                <w:szCs w:val="20"/>
                <w:color w:val="auto"/>
              </w:rPr>
            </w:pPr>
            <w:r>
              <w:rPr>
                <w:rFonts w:ascii="Arial" w:cs="Arial" w:eastAsia="Arial" w:hAnsi="Arial"/>
                <w:sz w:val="18"/>
                <w:szCs w:val="18"/>
                <w:color w:val="auto"/>
                <w:w w:val="79"/>
              </w:rPr>
              <w:t>1</w:t>
            </w: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17"/>
                <w:szCs w:val="17"/>
                <w:color w:val="auto"/>
              </w:rPr>
            </w:pPr>
          </w:p>
        </w:tc>
        <w:tc>
          <w:tcPr>
            <w:tcW w:w="6440" w:type="dxa"/>
            <w:vAlign w:val="bottom"/>
          </w:tcPr>
          <w:p>
            <w:pPr>
              <w:jc w:val="center"/>
              <w:ind w:left="5990"/>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2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17"/>
                <w:szCs w:val="17"/>
                <w:color w:val="auto"/>
              </w:rPr>
            </w:pPr>
          </w:p>
        </w:tc>
        <w:tc>
          <w:tcPr>
            <w:tcW w:w="6440" w:type="dxa"/>
            <w:vAlign w:val="bottom"/>
          </w:tcPr>
          <w:p>
            <w:pPr>
              <w:jc w:val="center"/>
              <w:ind w:left="5990"/>
              <w:spacing w:after="0" w:line="196" w:lineRule="exact"/>
              <w:rPr>
                <w:sz w:val="20"/>
                <w:szCs w:val="20"/>
                <w:color w:val="auto"/>
              </w:rPr>
            </w:pPr>
            <w:r>
              <w:rPr>
                <w:rFonts w:ascii="Arial" w:cs="Arial" w:eastAsia="Arial" w:hAnsi="Arial"/>
                <w:sz w:val="18"/>
                <w:szCs w:val="18"/>
                <w:color w:val="auto"/>
                <w:w w:val="79"/>
              </w:rPr>
              <w:t>3</w:t>
            </w:r>
          </w:p>
        </w:tc>
      </w:tr>
      <w:tr>
        <w:trPr>
          <w:trHeight w:val="196"/>
        </w:trPr>
        <w:tc>
          <w:tcPr>
            <w:tcW w:w="466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6440" w:type="dxa"/>
            <w:vAlign w:val="bottom"/>
          </w:tcPr>
          <w:p>
            <w:pPr>
              <w:jc w:val="center"/>
              <w:ind w:left="5990"/>
              <w:spacing w:after="0" w:line="196" w:lineRule="exact"/>
              <w:rPr>
                <w:sz w:val="20"/>
                <w:szCs w:val="20"/>
                <w:color w:val="auto"/>
              </w:rPr>
            </w:pPr>
            <w:r>
              <w:rPr>
                <w:rFonts w:ascii="Arial" w:cs="Arial" w:eastAsia="Arial" w:hAnsi="Arial"/>
                <w:sz w:val="18"/>
                <w:szCs w:val="18"/>
                <w:color w:val="auto"/>
                <w:w w:val="79"/>
              </w:rPr>
              <w:t>4</w:t>
            </w:r>
          </w:p>
        </w:tc>
      </w:tr>
      <w:tr>
        <w:trPr>
          <w:trHeight w:val="222"/>
        </w:trPr>
        <w:tc>
          <w:tcPr>
            <w:tcW w:w="21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Schedule *</w:t>
            </w:r>
          </w:p>
        </w:tc>
        <w:tc>
          <w:tcPr>
            <w:tcW w:w="2500" w:type="dxa"/>
            <w:vAlign w:val="bottom"/>
            <w:gridSpan w:val="5"/>
          </w:tcPr>
          <w:p>
            <w:pPr>
              <w:spacing w:after="0"/>
              <w:rPr>
                <w:sz w:val="19"/>
                <w:szCs w:val="19"/>
                <w:color w:val="auto"/>
              </w:rPr>
            </w:pPr>
          </w:p>
        </w:tc>
        <w:tc>
          <w:tcPr>
            <w:tcW w:w="6440" w:type="dxa"/>
            <w:vAlign w:val="bottom"/>
          </w:tcPr>
          <w:p>
            <w:pPr>
              <w:spacing w:after="0"/>
              <w:rPr>
                <w:sz w:val="19"/>
                <w:szCs w:val="19"/>
                <w:color w:val="auto"/>
              </w:rPr>
            </w:pPr>
          </w:p>
        </w:tc>
      </w:tr>
      <w:tr>
        <w:trPr>
          <w:trHeight w:val="190"/>
        </w:trPr>
        <w:tc>
          <w:tcPr>
            <w:tcW w:w="298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Schedule of Assets (Held at End of Year)</w:t>
              </w:r>
            </w:hyperlink>
          </w:p>
        </w:tc>
        <w:tc>
          <w:tcPr>
            <w:tcW w:w="1680" w:type="dxa"/>
            <w:vAlign w:val="bottom"/>
            <w:gridSpan w:val="4"/>
          </w:tcPr>
          <w:p>
            <w:pPr>
              <w:spacing w:after="0"/>
              <w:rPr>
                <w:sz w:val="16"/>
                <w:szCs w:val="16"/>
                <w:color w:val="auto"/>
              </w:rPr>
            </w:pPr>
          </w:p>
        </w:tc>
        <w:tc>
          <w:tcPr>
            <w:tcW w:w="6440" w:type="dxa"/>
            <w:vAlign w:val="bottom"/>
          </w:tcPr>
          <w:p>
            <w:pPr>
              <w:jc w:val="center"/>
              <w:ind w:left="6010"/>
              <w:spacing w:after="0" w:line="190" w:lineRule="exact"/>
              <w:rPr>
                <w:sz w:val="20"/>
                <w:szCs w:val="20"/>
                <w:color w:val="auto"/>
              </w:rPr>
            </w:pPr>
            <w:r>
              <w:rPr>
                <w:rFonts w:ascii="Arial" w:cs="Arial" w:eastAsia="Arial" w:hAnsi="Arial"/>
                <w:sz w:val="18"/>
                <w:szCs w:val="18"/>
                <w:color w:val="auto"/>
                <w:w w:val="89"/>
              </w:rPr>
              <w:t>13</w:t>
            </w: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0" w:right="27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Employee Stock Ownership Plan: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2006 and 2005,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as of December 31, 2006 and 2005, and the changes in net assets available for benefits for the years then ended, in conformity with U.S. generally accepted accounting principles.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audits were performed for the purpose of forming an opinion on the basic financial statements taken as a whole. The supplemental schedule of assets (held at end of the year) as of December 31, 2006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699135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850"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Assets held by Trustee:</w:t>
      </w:r>
    </w:p>
    <w:p>
      <w:pPr>
        <w:spacing w:after="0" w:line="36" w:lineRule="exact"/>
        <w:rPr>
          <w:sz w:val="20"/>
          <w:szCs w:val="20"/>
          <w:color w:val="auto"/>
        </w:rPr>
      </w:pPr>
    </w:p>
    <w:p>
      <w:pPr>
        <w:ind w:right="1600"/>
        <w:spacing w:after="0" w:line="310" w:lineRule="auto"/>
        <w:rPr>
          <w:sz w:val="20"/>
          <w:szCs w:val="20"/>
          <w:color w:val="auto"/>
        </w:rPr>
      </w:pPr>
      <w:r>
        <w:rPr>
          <w:rFonts w:ascii="Arial" w:cs="Arial" w:eastAsia="Arial" w:hAnsi="Arial"/>
          <w:sz w:val="15"/>
          <w:szCs w:val="15"/>
          <w:color w:val="auto"/>
        </w:rPr>
        <w:t>Cash and cash equivalents Investments at fair value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Mutual funds</w:t>
      </w:r>
    </w:p>
    <w:p>
      <w:pPr>
        <w:spacing w:after="0" w:line="9" w:lineRule="exact"/>
        <w:rPr>
          <w:sz w:val="20"/>
          <w:szCs w:val="20"/>
          <w:color w:val="auto"/>
        </w:rPr>
      </w:pPr>
    </w:p>
    <w:p>
      <w:pPr>
        <w:ind w:left="240" w:right="680"/>
        <w:spacing w:after="0" w:line="255" w:lineRule="auto"/>
        <w:rPr>
          <w:sz w:val="20"/>
          <w:szCs w:val="20"/>
          <w:color w:val="auto"/>
        </w:rPr>
      </w:pPr>
      <w:r>
        <w:rPr>
          <w:rFonts w:ascii="Arial" w:cs="Arial" w:eastAsia="Arial" w:hAnsi="Arial"/>
          <w:sz w:val="18"/>
          <w:szCs w:val="18"/>
          <w:color w:val="auto"/>
        </w:rPr>
        <w:t>The Toro Company Common Stock Bond collective funds Master Trust fund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contribution receivable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Employer contribution receivable</w:t>
      </w:r>
    </w:p>
    <w:p>
      <w:pPr>
        <w:spacing w:after="0" w:line="49"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Net assets available for benefits at fair value Adjustment from fair value to contract value for fully benefit-responsive investment contracts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assets available for benefits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Statements of Net Assets Available for Benefits</w:t>
      </w: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120" w:type="dxa"/>
        <w:tblCellMar>
          <w:top w:w="0" w:type="dxa"/>
          <w:left w:w="0" w:type="dxa"/>
          <w:bottom w:w="0" w:type="dxa"/>
          <w:right w:w="0" w:type="dxa"/>
        </w:tblCellMar>
      </w:tblPr>
      <w:tr>
        <w:trPr>
          <w:trHeight w:val="241"/>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r>
      <w:tr>
        <w:trPr>
          <w:trHeight w:val="439"/>
        </w:trPr>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101,157</w:t>
            </w:r>
          </w:p>
        </w:tc>
        <w:tc>
          <w:tcPr>
            <w:tcW w:w="2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275,322,648</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227,893,705</w:t>
            </w:r>
          </w:p>
        </w:tc>
      </w:tr>
      <w:tr>
        <w:trPr>
          <w:trHeight w:val="216"/>
        </w:trPr>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211,063,851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219,066,721</w:t>
            </w:r>
          </w:p>
        </w:tc>
      </w:tr>
      <w:tr>
        <w:trPr>
          <w:trHeight w:val="216"/>
        </w:trPr>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21,643,424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17,845,756</w:t>
            </w:r>
          </w:p>
        </w:tc>
      </w:tr>
      <w:tr>
        <w:trPr>
          <w:trHeight w:val="216"/>
        </w:trPr>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85,386,077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78,713,802</w:t>
            </w:r>
          </w:p>
        </w:tc>
      </w:tr>
      <w:tr>
        <w:trPr>
          <w:trHeight w:val="237"/>
        </w:trPr>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23,871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30,622</w:t>
            </w:r>
          </w:p>
        </w:tc>
      </w:tr>
      <w:tr>
        <w:trPr>
          <w:trHeight w:val="432"/>
        </w:trPr>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593,439,871</w:t>
            </w:r>
          </w:p>
        </w:tc>
        <w:tc>
          <w:tcPr>
            <w:tcW w:w="22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543,550,606</w:t>
            </w:r>
          </w:p>
        </w:tc>
        <w:tc>
          <w:tcPr>
            <w:tcW w:w="2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47,511</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44,272</w:t>
            </w:r>
          </w:p>
        </w:tc>
      </w:tr>
      <w:tr>
        <w:trPr>
          <w:trHeight w:val="237"/>
        </w:trPr>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12,107,989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11,852,788</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605,725,497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555,548,823</w:t>
            </w:r>
          </w:p>
        </w:tc>
        <w:tc>
          <w:tcPr>
            <w:tcW w:w="20" w:type="dxa"/>
            <w:vAlign w:val="bottom"/>
          </w:tcPr>
          <w:p>
            <w:pPr>
              <w:spacing w:after="0"/>
              <w:rPr>
                <w:sz w:val="19"/>
                <w:szCs w:val="19"/>
                <w:color w:val="auto"/>
              </w:rPr>
            </w:pPr>
          </w:p>
        </w:tc>
      </w:tr>
      <w:tr>
        <w:trPr>
          <w:trHeight w:val="418"/>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1,153,751</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1,022,208</w:t>
            </w:r>
          </w:p>
        </w:tc>
      </w:tr>
      <w:tr>
        <w:trPr>
          <w:trHeight w:val="230"/>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606,879,248</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556,571,031</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-2434590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-2143125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-1868805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-1594485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-1303020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-1028700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-753745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-445135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-170815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137160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00" w:space="200"/>
            <w:col w:w="7620"/>
          </w:cols>
          <w:pgMar w:left="240" w:top="634" w:right="339" w:bottom="1440" w:gutter="0" w:footer="0" w:header="0"/>
        </w:sectPr>
      </w:pPr>
    </w:p>
    <w:bookmarkStart w:id="4" w:name="page5"/>
    <w:bookmarkEnd w:id="4"/>
    <w:p>
      <w:pPr>
        <w:ind w:left="37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Interest and dividends</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16,349,796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8,500,775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realized/unrealized gain in the fair value of investments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38,404,540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26,907,407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Pro rata share of income from Master Trust</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3,784,694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120"/>
              <w:spacing w:after="0"/>
              <w:rPr>
                <w:sz w:val="20"/>
                <w:szCs w:val="20"/>
                <w:color w:val="auto"/>
              </w:rPr>
            </w:pPr>
            <w:r>
              <w:rPr>
                <w:rFonts w:ascii="Arial" w:cs="Arial" w:eastAsia="Arial" w:hAnsi="Arial"/>
                <w:sz w:val="18"/>
                <w:szCs w:val="18"/>
                <w:color w:val="auto"/>
              </w:rPr>
              <w:t>Net investment income</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58,539,030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38,603,336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15,084,808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14,695,150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12,500,531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11,994,170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Rollover contributions</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525,472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120"/>
              <w:spacing w:after="0"/>
              <w:rPr>
                <w:sz w:val="20"/>
                <w:szCs w:val="20"/>
                <w:color w:val="auto"/>
              </w:rPr>
            </w:pPr>
            <w:r>
              <w:rPr>
                <w:rFonts w:ascii="Arial" w:cs="Arial" w:eastAsia="Arial" w:hAnsi="Arial"/>
                <w:sz w:val="18"/>
                <w:szCs w:val="18"/>
                <w:color w:val="auto"/>
              </w:rPr>
              <w:t>Total contributions</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28,110,811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27,546,096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Benefit payments</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(36,341,624)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(25,541,450)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120"/>
              <w:spacing w:after="0"/>
              <w:rPr>
                <w:sz w:val="20"/>
                <w:szCs w:val="20"/>
                <w:color w:val="auto"/>
              </w:rPr>
            </w:pPr>
            <w:r>
              <w:rPr>
                <w:rFonts w:ascii="Arial" w:cs="Arial" w:eastAsia="Arial" w:hAnsi="Arial"/>
                <w:sz w:val="18"/>
                <w:szCs w:val="18"/>
                <w:color w:val="auto"/>
              </w:rPr>
              <w:t>Net increase in net assets available for benefits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50,308,217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40,607,982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year</w:t>
            </w:r>
          </w:p>
        </w:tc>
        <w:tc>
          <w:tcPr>
            <w:tcW w:w="2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556,571,031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515,963,049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End of year</w:t>
            </w:r>
          </w:p>
        </w:tc>
        <w:tc>
          <w:tcPr>
            <w:tcW w:w="2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5"/>
              </w:rPr>
              <w:t>606,879,248</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556,571,031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 w:name="page6"/>
    <w:bookmarkEnd w:id="5"/>
    <w:p>
      <w:pPr>
        <w:ind w:left="37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1060" w:hanging="809"/>
        <w:spacing w:after="0"/>
        <w:tabs>
          <w:tab w:leader="none" w:pos="10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79" w:lineRule="exact"/>
        <w:rPr>
          <w:sz w:val="20"/>
          <w:szCs w:val="20"/>
          <w:color w:val="auto"/>
        </w:rPr>
      </w:pPr>
    </w:p>
    <w:p>
      <w:pPr>
        <w:ind w:left="980" w:right="20"/>
        <w:spacing w:after="0" w:line="308" w:lineRule="auto"/>
        <w:rPr>
          <w:sz w:val="20"/>
          <w:szCs w:val="20"/>
          <w:color w:val="auto"/>
        </w:rPr>
      </w:pPr>
      <w:r>
        <w:rPr>
          <w:rFonts w:ascii="Arial" w:cs="Arial" w:eastAsia="Arial" w:hAnsi="Arial"/>
          <w:sz w:val="17"/>
          <w:szCs w:val="17"/>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74" w:lineRule="exact"/>
        <w:rPr>
          <w:sz w:val="20"/>
          <w:szCs w:val="20"/>
          <w:color w:val="auto"/>
        </w:rPr>
      </w:pPr>
    </w:p>
    <w:p>
      <w:pPr>
        <w:ind w:left="1060" w:hanging="809"/>
        <w:spacing w:after="0"/>
        <w:tabs>
          <w:tab w:leader="none" w:pos="10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79"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investments are held by JP Morgan Retirement Plan Services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208"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Company maintains one Master Trust, the Wells Fargo Stable Value Fund 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0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2006 and 2005.</w:t>
      </w:r>
    </w:p>
    <w:p>
      <w:pPr>
        <w:spacing w:after="0" w:line="208" w:lineRule="exact"/>
        <w:rPr>
          <w:sz w:val="20"/>
          <w:szCs w:val="20"/>
          <w:color w:val="auto"/>
        </w:rPr>
      </w:pPr>
    </w:p>
    <w:p>
      <w:pPr>
        <w:ind w:left="1060" w:hanging="764"/>
        <w:spacing w:after="0"/>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7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214" w:lineRule="exact"/>
        <w:rPr>
          <w:sz w:val="20"/>
          <w:szCs w:val="20"/>
          <w:color w:val="auto"/>
        </w:rPr>
      </w:pPr>
    </w:p>
    <w:p>
      <w:pPr>
        <w:ind w:left="1060" w:hanging="764"/>
        <w:spacing w:after="0"/>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7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214"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Since the assets held by the Trust include The Toro Company Common Stock, the anticipated assets available for benefits in 2007 will be the result of the Company’s future stock market performance, which is subject to various risk factors described more fully in the Company’s periodic filings with the Securities and Exchange Commission.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ind w:right="-66"/>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jc w:val="center"/>
        <w:ind w:right="-66"/>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7" w:hanging="456"/>
        <w:spacing w:after="0"/>
        <w:tabs>
          <w:tab w:leader="none" w:pos="987"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Adoption of New Accounting Guidance</w:t>
      </w:r>
    </w:p>
    <w:p>
      <w:pPr>
        <w:spacing w:after="0" w:line="252" w:lineRule="exact"/>
        <w:rPr>
          <w:sz w:val="20"/>
          <w:szCs w:val="20"/>
          <w:color w:val="auto"/>
        </w:rPr>
      </w:pPr>
    </w:p>
    <w:p>
      <w:pPr>
        <w:jc w:val="both"/>
        <w:ind w:left="927"/>
        <w:spacing w:after="0" w:line="270" w:lineRule="auto"/>
        <w:rPr>
          <w:sz w:val="20"/>
          <w:szCs w:val="20"/>
          <w:color w:val="auto"/>
        </w:rPr>
      </w:pPr>
      <w:r>
        <w:rPr>
          <w:rFonts w:ascii="Arial" w:cs="Arial" w:eastAsia="Arial" w:hAnsi="Arial"/>
          <w:sz w:val="17"/>
          <w:szCs w:val="17"/>
          <w:color w:val="auto"/>
        </w:rPr>
        <w:t xml:space="preserve">The financial statements reflect the retroactive adoption of Financial Accounting Standards Board Staff Position AAG INV-1 and SOP 94-4-1, </w:t>
      </w:r>
      <w:r>
        <w:rPr>
          <w:rFonts w:ascii="Arial" w:cs="Arial" w:eastAsia="Arial" w:hAnsi="Arial"/>
          <w:sz w:val="17"/>
          <w:szCs w:val="17"/>
          <w:i w:val="1"/>
          <w:iCs w:val="1"/>
          <w:color w:val="auto"/>
        </w:rPr>
        <w:t xml:space="preserve">Reporting of Fully Benefit-Responsive Investment Contracts Held by Certain Investment Companies Subject to the AICPA Investment Company guide and Defined-Contribution Health and Welfare and Pension Plans </w:t>
      </w:r>
      <w:r>
        <w:rPr>
          <w:rFonts w:ascii="Arial" w:cs="Arial" w:eastAsia="Arial" w:hAnsi="Arial"/>
          <w:sz w:val="17"/>
          <w:szCs w:val="17"/>
          <w:color w:val="auto"/>
        </w:rPr>
        <w:t>(the FSP). As required by the FSP, investment contracts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presented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09" w:lineRule="exact"/>
        <w:rPr>
          <w:sz w:val="20"/>
          <w:szCs w:val="20"/>
          <w:color w:val="auto"/>
        </w:rPr>
      </w:pPr>
    </w:p>
    <w:p>
      <w:pPr>
        <w:ind w:left="1007" w:hanging="485"/>
        <w:spacing w:after="0"/>
        <w:tabs>
          <w:tab w:leader="none" w:pos="1007"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79" w:lineRule="exact"/>
        <w:rPr>
          <w:sz w:val="20"/>
          <w:szCs w:val="20"/>
          <w:color w:val="auto"/>
        </w:rPr>
      </w:pPr>
    </w:p>
    <w:p>
      <w:pPr>
        <w:ind w:left="927"/>
        <w:spacing w:after="0"/>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248" w:lineRule="exact"/>
        <w:rPr>
          <w:sz w:val="20"/>
          <w:szCs w:val="20"/>
          <w:color w:val="auto"/>
        </w:rPr>
      </w:pPr>
    </w:p>
    <w:p>
      <w:pPr>
        <w:ind w:left="607" w:hanging="607"/>
        <w:spacing w:after="0"/>
        <w:tabs>
          <w:tab w:leader="none" w:pos="60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rFonts w:ascii="Arial" w:cs="Arial" w:eastAsia="Arial" w:hAnsi="Arial"/>
          <w:sz w:val="18"/>
          <w:szCs w:val="18"/>
          <w:b w:val="1"/>
          <w:bCs w:val="1"/>
          <w:color w:val="auto"/>
        </w:rPr>
      </w:pPr>
    </w:p>
    <w:p>
      <w:pPr>
        <w:jc w:val="both"/>
        <w:ind w:left="607"/>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Investment, Savings, and Employee Stock Ownership Plan (the Plan) is provided for general information purposes only. Participants should refer to the Plan document restated as of January 1, 2006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w:t>
      </w:r>
    </w:p>
    <w:p>
      <w:pPr>
        <w:spacing w:after="0" w:line="193" w:lineRule="exact"/>
        <w:rPr>
          <w:rFonts w:ascii="Arial" w:cs="Arial" w:eastAsia="Arial" w:hAnsi="Arial"/>
          <w:sz w:val="18"/>
          <w:szCs w:val="18"/>
          <w:b w:val="1"/>
          <w:bCs w:val="1"/>
          <w:color w:val="auto"/>
        </w:rPr>
      </w:pPr>
    </w:p>
    <w:p>
      <w:pPr>
        <w:jc w:val="both"/>
        <w:ind w:left="60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of The Toro Company. The portions of participant accounts that hold Company Common Stock are included in the ESOP portion of the Plan. The portions of participant accounts that do not hold such stock are included in the profit sharing portion of the Plan.</w:t>
      </w:r>
    </w:p>
    <w:p>
      <w:pPr>
        <w:spacing w:after="0" w:line="213" w:lineRule="exact"/>
        <w:rPr>
          <w:rFonts w:ascii="Arial" w:cs="Arial" w:eastAsia="Arial" w:hAnsi="Arial"/>
          <w:sz w:val="18"/>
          <w:szCs w:val="18"/>
          <w:b w:val="1"/>
          <w:bCs w:val="1"/>
          <w:color w:val="auto"/>
        </w:rPr>
      </w:pPr>
    </w:p>
    <w:p>
      <w:pPr>
        <w:ind w:left="607"/>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52" w:lineRule="exact"/>
        <w:rPr>
          <w:rFonts w:ascii="Arial" w:cs="Arial" w:eastAsia="Arial" w:hAnsi="Arial"/>
          <w:sz w:val="18"/>
          <w:szCs w:val="18"/>
          <w:b w:val="1"/>
          <w:bCs w:val="1"/>
          <w:color w:val="auto"/>
        </w:rPr>
      </w:pPr>
    </w:p>
    <w:p>
      <w:pPr>
        <w:jc w:val="both"/>
        <w:ind w:left="60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w:t>
      </w:r>
    </w:p>
    <w:p>
      <w:pPr>
        <w:spacing w:after="0" w:line="200" w:lineRule="exact"/>
        <w:rPr>
          <w:sz w:val="20"/>
          <w:szCs w:val="20"/>
          <w:color w:val="auto"/>
        </w:rPr>
      </w:pPr>
    </w:p>
    <w:p>
      <w:pPr>
        <w:spacing w:after="0" w:line="253" w:lineRule="exact"/>
        <w:rPr>
          <w:sz w:val="20"/>
          <w:szCs w:val="20"/>
          <w:color w:val="auto"/>
        </w:rPr>
      </w:pPr>
    </w:p>
    <w:p>
      <w:pPr>
        <w:jc w:val="center"/>
        <w:ind w:right="33"/>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93" w:top="391" w:right="239" w:bottom="1440" w:gutter="0" w:footer="0" w:header="0"/>
        </w:sectPr>
      </w:pPr>
    </w:p>
    <w:bookmarkStart w:id="7" w:name="page8"/>
    <w:bookmarkEnd w:id="7"/>
    <w:p>
      <w:pPr>
        <w:ind w:left="37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Common Stock.</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During the year ended December 31, 2006 and 2005, forfeited nonvested accounts totaled $4,921 and $10,400, respectively. These accounts are used to offset future employer contributions.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absorbs all administrative costs of the Plan, with the exception of investment management fees, which are netted against investment income.</w:t>
      </w:r>
    </w:p>
    <w:p>
      <w:pPr>
        <w:spacing w:after="0" w:line="19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21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21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made. That contribution is invested in Company Common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6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JP Morgan Retirement Plan Services (Trustee of the Plan) and The Toro Company are parties-in-interest with respect to the Plan. In the opinion of the Plan’s legal counsel, certain transactions between the Plan, the Trustee, and the Company are exempt from being considered as “prohibited transactions” under ERISA Section 408(b).</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certain assets of the Plan are held together with assets of other plans sponsored by the Company in the Master Trust.</w:t>
      </w:r>
    </w:p>
    <w:p>
      <w:pPr>
        <w:spacing w:after="0" w:line="213"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net assets available for benefits of the Master Trust as of December 31, 2006 and 2005 were $86,793,756 and $80,018,240, respectively. All assets of the Master Trust were held in short-term investment funds.</w:t>
      </w:r>
    </w:p>
    <w:p>
      <w:pPr>
        <w:spacing w:after="0" w:line="19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changes in net assets available for benefits of the Master Trust for the years ended December 31, 2006 and 2005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3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3,171,227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Deposits by participating plans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18,160,080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19,104,981</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Withdrawals by participating plans</w:t>
            </w: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(15,180,950)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(19,055,998)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120"/>
              <w:spacing w:after="0"/>
              <w:rPr>
                <w:sz w:val="20"/>
                <w:szCs w:val="20"/>
                <w:color w:val="auto"/>
              </w:rPr>
            </w:pPr>
            <w:r>
              <w:rPr>
                <w:rFonts w:ascii="Arial" w:cs="Arial" w:eastAsia="Arial" w:hAnsi="Arial"/>
                <w:sz w:val="18"/>
                <w:szCs w:val="18"/>
                <w:color w:val="auto"/>
              </w:rPr>
              <w:t>Increase in net assets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6,775,516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3,253,175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80,018,240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76,765,065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End of year</w:t>
            </w:r>
          </w:p>
        </w:tc>
        <w:tc>
          <w:tcPr>
            <w:tcW w:w="3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86,793,756</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80,018,240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investments represent more than 5% of the Plan’s net assets available for benefits as of December 31, 2006 and 2005: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62,649,042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56,368,332</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37,456,485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31,062,763</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 Fund</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66,868,298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57,941,563</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ICM Small Company</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30,696,096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25,006,040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47,724,396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34,135,926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211,063,851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219,066,721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Master Trust fund</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85,386,077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78,713,802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2006 and 2005, the Plan’s investments (including gains and losses on investments bought and sold, as well as held during the year)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appreciated in value by $38,404,540 and $26,907,407, respectively,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23,380,102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11,270,293</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14,193,226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15,276,179</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Bond collective funds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831,212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360,935</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38,404,540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26,907,407</w:t>
            </w: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ind w:left="368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investment in The Toro Company Common Stock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Toro 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realized/unrealized gain in the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investments</w:t>
      </w:r>
    </w:p>
    <w:p>
      <w:pPr>
        <w:spacing w:after="0" w:line="225"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Transfers to/from other funds</w:t>
      </w:r>
    </w:p>
    <w:p>
      <w:pPr>
        <w:spacing w:after="0" w:line="225"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Decrease in net assets</w:t>
      </w:r>
    </w:p>
    <w:p>
      <w:pPr>
        <w:spacing w:after="0" w:line="23"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available for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r>
      <w:tr>
        <w:trPr>
          <w:trHeight w:val="241"/>
        </w:trPr>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60" w:type="dxa"/>
            <w:vAlign w:val="bottom"/>
          </w:tcPr>
          <w:p>
            <w:pPr>
              <w:spacing w:after="0"/>
              <w:rPr>
                <w:sz w:val="20"/>
                <w:szCs w:val="20"/>
                <w:color w:val="auto"/>
              </w:rPr>
            </w:pP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211,063,851</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131,906,325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79,157,526</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1,739,003</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1,076,292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662,711</w:t>
            </w:r>
          </w:p>
        </w:tc>
      </w:tr>
      <w:tr>
        <w:trPr>
          <w:trHeight w:val="432"/>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14,193,226</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8,630,823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5,562,403</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15,932,229</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9,707,115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6,225,114</w:t>
            </w:r>
          </w:p>
        </w:tc>
      </w:tr>
      <w:tr>
        <w:trPr>
          <w:trHeight w:val="418"/>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7,190,973</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5,349,100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1,841,873</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(12,024,444)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(6,316,030)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(5,708,414)</w:t>
            </w:r>
          </w:p>
        </w:tc>
      </w:tr>
      <w:tr>
        <w:trPr>
          <w:trHeight w:val="230"/>
        </w:trPr>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(19,101,628)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(10,811,953)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(8,289,675)</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48"/>
        </w:trPr>
        <w:tc>
          <w:tcPr>
            <w:tcW w:w="1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(8,002,870)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(2,071,768)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(5,931,102)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-2263140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-1954530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-1680210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-1405890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-1114425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-839470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-565150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-273685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6720" w:space="720"/>
            <w:col w:w="3980"/>
          </w:cols>
          <w:pgMar w:left="240" w:top="391"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219,066,721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133,978,093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85,088,628</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End of year</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211,063,851</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131,906,325</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79,157,526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1" w:name="page12"/>
    <w:bookmarkEnd w:id="11"/>
    <w:p>
      <w:pPr>
        <w:ind w:left="37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Toro 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realized/unrealized gain in the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investments</w:t>
      </w:r>
    </w:p>
    <w:p>
      <w:pPr>
        <w:spacing w:after="0" w:line="225"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Transfers to/from other funds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Increase in net assets</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available for benefits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Beginning of year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End of year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78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r>
      <w:tr>
        <w:trPr>
          <w:trHeight w:val="241"/>
        </w:trPr>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20"/>
                <w:szCs w:val="20"/>
                <w:color w:val="auto"/>
              </w:rPr>
            </w:pP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219,066,721</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133,978,093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85,088,628</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1,266,548</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774,479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492,069</w:t>
            </w:r>
          </w:p>
        </w:tc>
      </w:tr>
      <w:tr>
        <w:trPr>
          <w:trHeight w:val="432"/>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15,280,857</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9,413,770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5,867,087</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16,547,405</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10,188,249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6,359,156</w:t>
            </w:r>
          </w:p>
        </w:tc>
      </w:tr>
      <w:tr>
        <w:trPr>
          <w:trHeight w:val="418"/>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7,264,491</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5,244,508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2,019,983</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(8,459,051)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(4,921,641)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(3,537,410)</w:t>
            </w:r>
          </w:p>
        </w:tc>
      </w:tr>
      <w:tr>
        <w:trPr>
          <w:trHeight w:val="230"/>
        </w:trPr>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(11,741,602)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(9,042,308)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(2,699,294)</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48"/>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3,611,243</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1,468,808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2,142,435</w:t>
            </w:r>
          </w:p>
        </w:tc>
      </w:tr>
      <w:tr>
        <w:trPr>
          <w:trHeight w:val="648"/>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215,455,478</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132,509,285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82,946,193</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219,066,721</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133,978,093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85,088,628</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-3001010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-2692400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-2417445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-2143125</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-1851660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-1577340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-1303020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-1011555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-736600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-462280</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-170815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90" w:lineRule="exact"/>
        <w:rPr>
          <w:sz w:val="20"/>
          <w:szCs w:val="20"/>
          <w:color w:val="auto"/>
        </w:rPr>
      </w:pPr>
    </w:p>
    <w:p>
      <w:pPr>
        <w:sectPr>
          <w:pgSz w:w="11900" w:h="16838" w:orient="portrait"/>
          <w:cols w:equalWidth="0" w:num="2">
            <w:col w:w="3940" w:space="720"/>
            <w:col w:w="6760"/>
          </w:cols>
          <w:pgMar w:left="240" w:top="391" w:right="239" w:bottom="1440" w:gutter="0" w:footer="0" w:header="0"/>
          <w:type w:val="continuous"/>
        </w:sectPr>
      </w:pPr>
    </w:p>
    <w:p>
      <w:pPr>
        <w:spacing w:after="0" w:line="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has been amended since the date of this letter, however the Plan Administrator believes that the Plan and its related trust continue to qualify under the provisions of Sections 401(a) and 501(a) of the Code and are exempt from federal income taxes.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2" w:name="page13"/>
    <w:bookmarkEnd w:id="12"/>
    <w:p>
      <w:pPr>
        <w:ind w:left="368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 w:hanging="484"/>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8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Plan’s investments are held by JP Morgan Retirement Plan Services (Trustee of the Plan). Some of the investment funds available to participants also include mutual funds managed by JP Morgan.</w:t>
      </w:r>
    </w:p>
    <w:p>
      <w:pPr>
        <w:sectPr>
          <w:pgSz w:w="11900" w:h="16838" w:orient="portrait"/>
          <w:cols w:equalWidth="0" w:num="1">
            <w:col w:w="11420"/>
          </w:cols>
          <w:pgMar w:left="240" w:top="391" w:right="239" w:bottom="1440" w:gutter="0" w:footer="0" w:header="0"/>
        </w:sectPr>
      </w:pPr>
    </w:p>
    <w:p>
      <w:pPr>
        <w:spacing w:after="0" w:line="193" w:lineRule="exact"/>
        <w:rPr>
          <w:sz w:val="20"/>
          <w:szCs w:val="20"/>
          <w:color w:val="auto"/>
        </w:rPr>
      </w:pPr>
    </w:p>
    <w:p>
      <w:pPr>
        <w:ind w:left="580" w:hanging="491"/>
        <w:spacing w:after="0"/>
        <w:tabs>
          <w:tab w:leader="none" w:pos="5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jc w:val="center"/>
        <w:ind w:right="6400"/>
        <w:spacing w:after="0"/>
        <w:rPr>
          <w:sz w:val="20"/>
          <w:szCs w:val="20"/>
          <w:color w:val="auto"/>
        </w:rPr>
      </w:pPr>
      <w:r>
        <w:rPr>
          <w:rFonts w:ascii="Arial" w:cs="Arial" w:eastAsia="Arial" w:hAnsi="Arial"/>
          <w:sz w:val="16"/>
          <w:szCs w:val="16"/>
          <w:color w:val="auto"/>
        </w:rPr>
        <w:t>Adjustment from contract value to fair value for</w:t>
      </w:r>
    </w:p>
    <w:p>
      <w:pPr>
        <w:spacing w:after="0" w:line="46" w:lineRule="exact"/>
        <w:rPr>
          <w:sz w:val="20"/>
          <w:szCs w:val="20"/>
          <w:color w:val="auto"/>
        </w:rPr>
      </w:pPr>
    </w:p>
    <w:p>
      <w:pPr>
        <w:jc w:val="center"/>
        <w:ind w:right="6400"/>
        <w:spacing w:after="0"/>
        <w:rPr>
          <w:sz w:val="20"/>
          <w:szCs w:val="20"/>
          <w:color w:val="auto"/>
        </w:rPr>
      </w:pPr>
      <w:r>
        <w:rPr>
          <w:rFonts w:ascii="Arial" w:cs="Arial" w:eastAsia="Arial" w:hAnsi="Arial"/>
          <w:sz w:val="17"/>
          <w:szCs w:val="17"/>
          <w:color w:val="auto"/>
        </w:rPr>
        <w:t>fully benefit-responsive investment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jc w:val="center"/>
        <w:ind w:right="6340"/>
        <w:spacing w:after="0"/>
        <w:rPr>
          <w:sz w:val="20"/>
          <w:szCs w:val="20"/>
          <w:color w:val="auto"/>
        </w:rPr>
      </w:pPr>
      <w:r>
        <w:rPr>
          <w:rFonts w:ascii="Arial" w:cs="Arial" w:eastAsia="Arial" w:hAnsi="Arial"/>
          <w:sz w:val="16"/>
          <w:szCs w:val="16"/>
          <w:color w:val="auto"/>
        </w:rPr>
        <w:t>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jc w:val="center"/>
        <w:ind w:right="6400"/>
        <w:spacing w:after="0"/>
        <w:rPr>
          <w:sz w:val="20"/>
          <w:szCs w:val="20"/>
          <w:color w:val="auto"/>
        </w:rPr>
      </w:pPr>
      <w:r>
        <w:rPr>
          <w:rFonts w:ascii="Arial" w:cs="Arial" w:eastAsia="Arial" w:hAnsi="Arial"/>
          <w:sz w:val="16"/>
          <w:szCs w:val="16"/>
          <w:color w:val="auto"/>
        </w:rPr>
        <w:t>Adjustment from contract value to fair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jc w:val="center"/>
        <w:ind w:right="6400"/>
        <w:spacing w:after="0"/>
        <w:rPr>
          <w:sz w:val="20"/>
          <w:szCs w:val="20"/>
          <w:color w:val="auto"/>
        </w:rPr>
      </w:pPr>
      <w:r>
        <w:rPr>
          <w:rFonts w:ascii="Arial" w:cs="Arial" w:eastAsia="Arial" w:hAnsi="Arial"/>
          <w:sz w:val="17"/>
          <w:szCs w:val="17"/>
          <w:color w:val="auto"/>
        </w:rPr>
        <w:t>fully benefit-responsive investment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employee contribution receivable at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on Form 5500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7"/>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3"/>
        <w:spacing w:after="0"/>
        <w:tabs>
          <w:tab w:leader="none" w:pos="22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606,879,248</w:t>
      </w:r>
    </w:p>
    <w:p>
      <w:pPr>
        <w:spacing w:after="0" w:line="200" w:lineRule="exact"/>
        <w:rPr>
          <w:sz w:val="20"/>
          <w:szCs w:val="20"/>
          <w:color w:val="auto"/>
        </w:rPr>
      </w:pPr>
    </w:p>
    <w:p>
      <w:pPr>
        <w:spacing w:after="0" w:line="24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(1,153,751)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(32,843)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(47,511)</w:t>
      </w:r>
    </w:p>
    <w:p>
      <w:pPr>
        <w:spacing w:after="0" w:line="238" w:lineRule="exact"/>
        <w:rPr>
          <w:sz w:val="20"/>
          <w:szCs w:val="20"/>
          <w:color w:val="auto"/>
        </w:rPr>
      </w:pPr>
    </w:p>
    <w:p>
      <w:pPr>
        <w:ind w:left="3"/>
        <w:spacing w:after="0"/>
        <w:tabs>
          <w:tab w:leader="none" w:pos="222"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605,645,143</w:t>
      </w:r>
    </w:p>
    <w:p>
      <w:pPr>
        <w:spacing w:after="0" w:line="275" w:lineRule="exact"/>
        <w:rPr>
          <w:sz w:val="20"/>
          <w:szCs w:val="20"/>
          <w:color w:val="auto"/>
        </w:rPr>
      </w:pPr>
    </w:p>
    <w:p>
      <w:pPr>
        <w:jc w:val="center"/>
        <w:ind w:left="43" w:right="117"/>
        <w:spacing w:after="0" w:line="266" w:lineRule="auto"/>
        <w:rPr>
          <w:sz w:val="20"/>
          <w:szCs w:val="20"/>
          <w:color w:val="auto"/>
        </w:rPr>
      </w:pPr>
      <w:r>
        <w:rPr>
          <w:rFonts w:ascii="Arial" w:cs="Arial" w:eastAsia="Arial" w:hAnsi="Arial"/>
          <w:sz w:val="18"/>
          <w:szCs w:val="18"/>
          <w:b w:val="1"/>
          <w:bCs w:val="1"/>
          <w:color w:val="auto"/>
        </w:rPr>
        <w:t>Year Ended December 31, 2006</w:t>
      </w:r>
    </w:p>
    <w:p>
      <w:pPr>
        <w:spacing w:after="0" w:line="207" w:lineRule="exact"/>
        <w:rPr>
          <w:sz w:val="20"/>
          <w:szCs w:val="20"/>
          <w:color w:val="auto"/>
        </w:rPr>
      </w:pPr>
    </w:p>
    <w:p>
      <w:pPr>
        <w:ind w:left="323" w:hanging="323"/>
        <w:spacing w:after="0"/>
        <w:tabs>
          <w:tab w:leader="none" w:pos="3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50,308,217</w:t>
      </w:r>
    </w:p>
    <w:p>
      <w:pPr>
        <w:spacing w:after="0" w:line="200" w:lineRule="exact"/>
        <w:rPr>
          <w:sz w:val="20"/>
          <w:szCs w:val="20"/>
          <w:color w:val="auto"/>
        </w:rPr>
      </w:pPr>
    </w:p>
    <w:p>
      <w:pPr>
        <w:spacing w:after="0" w:line="25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(1,153,751)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(32,843)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(47,511)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3" w:hanging="323"/>
        <w:spacing w:after="0"/>
        <w:tabs>
          <w:tab w:leader="none" w:pos="323" w:val="left"/>
        </w:tabs>
        <w:numPr>
          <w:ilvl w:val="0"/>
          <w:numId w:val="1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49,131,347</w:t>
      </w:r>
    </w:p>
    <w:p>
      <w:pPr>
        <w:spacing w:after="0" w:line="265" w:lineRule="exact"/>
        <w:rPr>
          <w:sz w:val="20"/>
          <w:szCs w:val="20"/>
          <w:color w:val="auto"/>
        </w:rPr>
      </w:pPr>
    </w:p>
    <w:p>
      <w:pPr>
        <w:sectPr>
          <w:pgSz w:w="11900" w:h="16838" w:orient="portrait"/>
          <w:cols w:equalWidth="0" w:num="2">
            <w:col w:w="9880" w:space="297"/>
            <w:col w:w="1243"/>
          </w:cols>
          <w:pgMar w:left="240" w:top="391" w:right="2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3" w:name="page14"/>
    <w:bookmarkEnd w:id="13"/>
    <w:p>
      <w:pPr>
        <w:jc w:val="right"/>
        <w:ind w:right="1677"/>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right"/>
        <w:ind w:right="2637"/>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right"/>
        <w:ind w:right="2617"/>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jc w:val="right"/>
        <w:ind w:right="6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556,571,031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(12,963)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(44,272)</w:t>
      </w:r>
    </w:p>
    <w:p>
      <w:pPr>
        <w:spacing w:after="0" w:line="238" w:lineRule="exact"/>
        <w:rPr>
          <w:sz w:val="20"/>
          <w:szCs w:val="20"/>
          <w:color w:val="auto"/>
        </w:rPr>
      </w:pPr>
    </w:p>
    <w:p>
      <w:pPr>
        <w:ind w:left="3"/>
        <w:spacing w:after="0"/>
        <w:tabs>
          <w:tab w:leader="none" w:pos="222"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556,513,796</w:t>
      </w:r>
    </w:p>
    <w:p>
      <w:pPr>
        <w:spacing w:after="0" w:line="275"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2005</w:t>
      </w:r>
    </w:p>
    <w:p>
      <w:pPr>
        <w:spacing w:after="0" w:line="238" w:lineRule="exact"/>
        <w:rPr>
          <w:sz w:val="20"/>
          <w:szCs w:val="20"/>
          <w:color w:val="auto"/>
        </w:rPr>
      </w:pPr>
    </w:p>
    <w:p>
      <w:pPr>
        <w:ind w:left="323" w:hanging="323"/>
        <w:spacing w:after="0"/>
        <w:tabs>
          <w:tab w:leader="none" w:pos="323" w:val="left"/>
        </w:tabs>
        <w:numPr>
          <w:ilvl w:val="0"/>
          <w:numId w:val="19"/>
        </w:numPr>
        <w:rPr>
          <w:rFonts w:ascii="Arial" w:cs="Arial" w:eastAsia="Arial" w:hAnsi="Arial"/>
          <w:sz w:val="17"/>
          <w:szCs w:val="17"/>
          <w:color w:val="auto"/>
        </w:rPr>
      </w:pPr>
      <w:r>
        <w:rPr>
          <w:rFonts w:ascii="Arial" w:cs="Arial" w:eastAsia="Arial" w:hAnsi="Arial"/>
          <w:sz w:val="17"/>
          <w:szCs w:val="17"/>
          <w:color w:val="auto"/>
        </w:rPr>
        <w:t>40,607,982</w:t>
      </w:r>
    </w:p>
    <w:p>
      <w:pPr>
        <w:spacing w:after="0" w:line="237" w:lineRule="exact"/>
        <w:rPr>
          <w:sz w:val="20"/>
          <w:szCs w:val="20"/>
          <w:color w:val="auto"/>
        </w:rPr>
      </w:pPr>
    </w:p>
    <w:p>
      <w:pPr>
        <w:jc w:val="center"/>
        <w:ind w:left="-302"/>
        <w:spacing w:after="0"/>
        <w:rPr>
          <w:sz w:val="20"/>
          <w:szCs w:val="20"/>
          <w:color w:val="auto"/>
        </w:rPr>
      </w:pPr>
      <w:r>
        <w:rPr>
          <w:rFonts w:ascii="Arial" w:cs="Arial" w:eastAsia="Arial" w:hAnsi="Arial"/>
          <w:sz w:val="16"/>
          <w:szCs w:val="16"/>
          <w:color w:val="auto"/>
        </w:rPr>
        <w:t>(12,963)</w:t>
      </w:r>
    </w:p>
    <w:p>
      <w:pPr>
        <w:spacing w:after="0" w:line="46" w:lineRule="exact"/>
        <w:rPr>
          <w:sz w:val="20"/>
          <w:szCs w:val="20"/>
          <w:color w:val="auto"/>
        </w:rPr>
      </w:pPr>
    </w:p>
    <w:p>
      <w:pPr>
        <w:jc w:val="center"/>
        <w:ind w:left="-302"/>
        <w:spacing w:after="0"/>
        <w:rPr>
          <w:sz w:val="20"/>
          <w:szCs w:val="20"/>
          <w:color w:val="auto"/>
        </w:rPr>
      </w:pPr>
      <w:r>
        <w:rPr>
          <w:rFonts w:ascii="Arial" w:cs="Arial" w:eastAsia="Arial" w:hAnsi="Arial"/>
          <w:sz w:val="16"/>
          <w:szCs w:val="16"/>
          <w:color w:val="auto"/>
        </w:rPr>
        <w:t>(44,272)</w:t>
      </w:r>
    </w:p>
    <w:p>
      <w:pPr>
        <w:spacing w:after="0" w:line="32" w:lineRule="exact"/>
        <w:rPr>
          <w:sz w:val="20"/>
          <w:szCs w:val="20"/>
          <w:color w:val="auto"/>
        </w:rPr>
      </w:pPr>
    </w:p>
    <w:p>
      <w:pPr>
        <w:jc w:val="center"/>
        <w:ind w:left="-302"/>
        <w:spacing w:after="0"/>
        <w:rPr>
          <w:sz w:val="20"/>
          <w:szCs w:val="20"/>
          <w:color w:val="auto"/>
        </w:rPr>
      </w:pPr>
      <w:r>
        <w:rPr>
          <w:rFonts w:ascii="Arial" w:cs="Arial" w:eastAsia="Arial" w:hAnsi="Arial"/>
          <w:sz w:val="18"/>
          <w:szCs w:val="18"/>
          <w:color w:val="auto"/>
        </w:rPr>
        <w:t>11,312</w:t>
      </w:r>
    </w:p>
    <w:p>
      <w:pPr>
        <w:spacing w:after="0" w:line="9" w:lineRule="exact"/>
        <w:rPr>
          <w:sz w:val="20"/>
          <w:szCs w:val="20"/>
          <w:color w:val="auto"/>
        </w:rPr>
      </w:pPr>
    </w:p>
    <w:p>
      <w:pPr>
        <w:jc w:val="center"/>
        <w:ind w:left="-302"/>
        <w:spacing w:after="0"/>
        <w:rPr>
          <w:sz w:val="20"/>
          <w:szCs w:val="20"/>
          <w:color w:val="auto"/>
        </w:rPr>
      </w:pPr>
      <w:r>
        <w:rPr>
          <w:rFonts w:ascii="Arial" w:cs="Arial" w:eastAsia="Arial" w:hAnsi="Arial"/>
          <w:sz w:val="18"/>
          <w:szCs w:val="18"/>
          <w:color w:val="auto"/>
        </w:rPr>
        <w:t>40,883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3" w:hanging="323"/>
        <w:spacing w:after="0"/>
        <w:tabs>
          <w:tab w:leader="none" w:pos="323" w:val="left"/>
        </w:tabs>
        <w:numPr>
          <w:ilvl w:val="0"/>
          <w:numId w:val="2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40,602,942</w:t>
      </w:r>
    </w:p>
    <w:p>
      <w:pPr>
        <w:sectPr>
          <w:pgSz w:w="11900" w:h="16838" w:orient="portrait"/>
          <w:cols w:equalWidth="0" w:num="2">
            <w:col w:w="9457" w:space="720"/>
            <w:col w:w="1203"/>
          </w:cols>
          <w:pgMar w:left="240" w:top="391" w:right="279" w:bottom="1440" w:gutter="0" w:footer="0" w:header="0"/>
        </w:sectPr>
      </w:pPr>
    </w:p>
    <w:bookmarkStart w:id="14" w:name="page15"/>
    <w:bookmarkEnd w:id="14"/>
    <w:p>
      <w:pPr>
        <w:ind w:left="37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EMPLOYEE STOCK OWNERSHIP PLAN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of Assets (Held at End of the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Face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ind w:left="32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or shares</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Barclays Global Investors</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1,599,516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21,643,423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294,499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JP Morgan MidCap Value*</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530,410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STI Classics Small Cap Growth Stock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356,310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1,291,403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47,724,396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1,917,592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ICM Small Company</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821,402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30,696,096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Index</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289,037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8,821,675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66,868,298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4,526,353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55,682,024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211,063,851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Master Trust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86,539,828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85,386,077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240"/>
              <w:spacing w:after="0" w:line="196" w:lineRule="exact"/>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5"/>
              </w:rPr>
              <w:t>593,439,871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*Party-in-interest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Information not required for participant directed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5" w:name="page16"/>
    <w:bookmarkEnd w:id="15"/>
    <w:p>
      <w:pPr>
        <w:jc w:val="center"/>
        <w:ind w:right="-2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Employee Stock Ownership Plan</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28, 2007</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098"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ind w:left="19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486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0"/>
              </w:rPr>
              <w:t>Consent of Independent Registered Public Accounting Firm</w:t>
            </w:r>
          </w:p>
        </w:tc>
      </w:tr>
    </w:tbl>
    <w:p>
      <w:pPr>
        <w:sectPr>
          <w:pgSz w:w="11900" w:h="16838" w:orient="portrait"/>
          <w:cols w:equalWidth="0" w:num="1">
            <w:col w:w="10219"/>
          </w:cols>
          <w:pgMar w:left="240" w:top="85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incorporation by reference in the Registration Statements (Nos. 333-119504 and 333-119506) on Form S-8 of The Toro Company, of our report dated June 28, 2007, relating to the statements of net assets available for benefits of The Toro Company Investment, Savings, and Employee Stock Ownership Plan as of December 31, 2006 and 2005, the related statements of changes in net assets available for benefits for the years then ended, and the related supplemental schedule as of December 31, 2006, which report appears in the December 31, 2006 annual report on Form 11-K of The Toro Company Investment, Savings, and Employee Stock Ownership Plan.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lowerLetter"/>
      <w:start w:val="3"/>
    </w:lvl>
  </w:abstractNum>
  <w:abstractNum w:abstractNumId="5">
    <w:nsid w:val="3352255A"/>
    <w:multiLevelType w:val="hybridMultilevel"/>
    <w:lvl w:ilvl="0">
      <w:lvlJc w:val="left"/>
      <w:lvlText w:val="(%1)"/>
      <w:numFmt w:val="lowerLetter"/>
      <w:start w:val="4"/>
    </w:lvl>
  </w:abstractNum>
  <w:abstractNum w:abstractNumId="6">
    <w:nsid w:val="109CF92E"/>
    <w:multiLevelType w:val="hybridMultilevel"/>
    <w:lvl w:ilvl="0">
      <w:lvlJc w:val="left"/>
      <w:lvlText w:val="(%1)"/>
      <w:numFmt w:val="lowerLetter"/>
      <w:start w:val="5"/>
    </w:lvl>
  </w:abstractNum>
  <w:abstractNum w:abstractNumId="7">
    <w:nsid w:val="DED7263"/>
    <w:multiLevelType w:val="hybridMultilevel"/>
    <w:lvl w:ilvl="0">
      <w:lvlJc w:val="left"/>
      <w:lvlText w:val="(%1)"/>
      <w:numFmt w:val="lowerLetter"/>
      <w:start w:val="6"/>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8"/>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2019-12-13T13:37:28Z</dcterms:created>
  <dcterms:modified xsi:type="dcterms:W3CDTF">2019-12-13T13:37:28Z</dcterms:modified>
</cp:coreProperties>
</file>