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4"/>
          <w:szCs w:val="14"/>
          <w:color w:val="auto"/>
        </w:rPr>
        <w:t>UNITED STATES</w:t>
      </w:r>
    </w:p>
    <w:p>
      <w:pPr>
        <w:spacing w:after="0" w:line="173"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173" w:lineRule="exact"/>
        <w:rPr>
          <w:sz w:val="24"/>
          <w:szCs w:val="24"/>
          <w:color w:val="auto"/>
        </w:rPr>
      </w:pPr>
    </w:p>
    <w:p>
      <w:pPr>
        <w:ind w:left="2500"/>
        <w:spacing w:after="0"/>
        <w:rPr>
          <w:sz w:val="20"/>
          <w:szCs w:val="20"/>
          <w:color w:val="auto"/>
        </w:rPr>
      </w:pPr>
      <w:r>
        <w:rPr>
          <w:rFonts w:ascii="Courier New" w:cs="Courier New" w:eastAsia="Courier New" w:hAnsi="Courier New"/>
          <w:sz w:val="14"/>
          <w:szCs w:val="14"/>
          <w:color w:val="auto"/>
        </w:rPr>
        <w:t>WASHINGTON, D.C. 20549</w:t>
      </w:r>
    </w:p>
    <w:p>
      <w:pPr>
        <w:spacing w:after="0" w:line="173"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4"/>
          <w:szCs w:val="14"/>
          <w:color w:val="auto"/>
        </w:rPr>
        <w:t>FORM 10-Q</w:t>
      </w:r>
    </w:p>
    <w:p>
      <w:pPr>
        <w:spacing w:after="0" w:line="173"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Quarterly Report Pursuant to Section 13 or 15(d)</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of the Securities Exchange Act of 1934</w:t>
      </w:r>
    </w:p>
    <w:p>
      <w:pPr>
        <w:spacing w:after="0" w:line="173" w:lineRule="exact"/>
        <w:rPr>
          <w:sz w:val="24"/>
          <w:szCs w:val="24"/>
          <w:color w:val="auto"/>
        </w:rPr>
      </w:pPr>
    </w:p>
    <w:p>
      <w:pPr>
        <w:jc w:val="right"/>
        <w:ind w:left="260" w:right="3519"/>
        <w:spacing w:after="0" w:line="255" w:lineRule="auto"/>
        <w:rPr>
          <w:sz w:val="20"/>
          <w:szCs w:val="20"/>
          <w:color w:val="auto"/>
        </w:rPr>
      </w:pPr>
      <w:r>
        <w:rPr>
          <w:rFonts w:ascii="Courier New" w:cs="Courier New" w:eastAsia="Courier New" w:hAnsi="Courier New"/>
          <w:sz w:val="14"/>
          <w:szCs w:val="14"/>
          <w:color w:val="auto"/>
        </w:rPr>
        <w:t>For the Quarterly Period Ended August 2, 2002 Commission File Number 1-8649 --------------                        ------</w:t>
      </w: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39"/>
          </w:cols>
          <w:pgMar w:left="220" w:top="395" w:right="1440" w:bottom="1440" w:gutter="0" w:footer="0" w:header="0"/>
        </w:sectPr>
      </w:pPr>
    </w:p>
    <w:p>
      <w:pPr>
        <w:spacing w:after="0" w:line="338" w:lineRule="exact"/>
        <w:rPr>
          <w:sz w:val="24"/>
          <w:szCs w:val="24"/>
          <w:color w:val="auto"/>
        </w:rPr>
      </w:pPr>
    </w:p>
    <w:p>
      <w:pPr>
        <w:jc w:val="center"/>
        <w:ind w:right="740"/>
        <w:spacing w:after="0"/>
        <w:rPr>
          <w:sz w:val="20"/>
          <w:szCs w:val="20"/>
          <w:color w:val="auto"/>
        </w:rPr>
      </w:pPr>
      <w:r>
        <w:rPr>
          <w:rFonts w:ascii="Courier New" w:cs="Courier New" w:eastAsia="Courier New" w:hAnsi="Courier New"/>
          <w:sz w:val="14"/>
          <w:szCs w:val="14"/>
          <w:color w:val="auto"/>
        </w:rPr>
        <w:t>DELAWARE</w:t>
      </w:r>
    </w:p>
    <w:p>
      <w:pPr>
        <w:spacing w:after="0" w:line="7" w:lineRule="exact"/>
        <w:rPr>
          <w:sz w:val="24"/>
          <w:szCs w:val="24"/>
          <w:color w:val="auto"/>
        </w:rPr>
      </w:pPr>
    </w:p>
    <w:p>
      <w:pPr>
        <w:jc w:val="center"/>
        <w:ind w:right="740"/>
        <w:spacing w:after="0"/>
        <w:rPr>
          <w:sz w:val="20"/>
          <w:szCs w:val="20"/>
          <w:color w:val="auto"/>
        </w:rPr>
      </w:pPr>
      <w:r>
        <w:rPr>
          <w:rFonts w:ascii="Courier New" w:cs="Courier New" w:eastAsia="Courier New" w:hAnsi="Courier New"/>
          <w:sz w:val="14"/>
          <w:szCs w:val="14"/>
          <w:color w:val="auto"/>
        </w:rPr>
        <w:t>(State of Incorporation)</w:t>
      </w:r>
    </w:p>
    <w:p>
      <w:pPr>
        <w:spacing w:after="0" w:line="20" w:lineRule="exact"/>
        <w:rPr>
          <w:sz w:val="24"/>
          <w:szCs w:val="24"/>
          <w:color w:val="auto"/>
        </w:rPr>
      </w:pPr>
      <w:r>
        <w:rPr>
          <w:sz w:val="24"/>
          <w:szCs w:val="24"/>
          <w:color w:val="auto"/>
        </w:rPr>
        <w:br w:type="column"/>
      </w:r>
    </w:p>
    <w:p>
      <w:pPr>
        <w:spacing w:after="0" w:line="318" w:lineRule="exact"/>
        <w:rPr>
          <w:sz w:val="24"/>
          <w:szCs w:val="24"/>
          <w:color w:val="auto"/>
        </w:rPr>
      </w:pPr>
    </w:p>
    <w:p>
      <w:pPr>
        <w:ind w:left="1120"/>
        <w:spacing w:after="0"/>
        <w:rPr>
          <w:sz w:val="20"/>
          <w:szCs w:val="20"/>
          <w:color w:val="auto"/>
        </w:rPr>
      </w:pPr>
      <w:r>
        <w:rPr>
          <w:rFonts w:ascii="Courier New" w:cs="Courier New" w:eastAsia="Courier New" w:hAnsi="Courier New"/>
          <w:sz w:val="14"/>
          <w:szCs w:val="14"/>
          <w:color w:val="auto"/>
        </w:rPr>
        <w:t>41-0580470</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(I.R.S. Employer Identification Number)</w:t>
      </w:r>
    </w:p>
    <w:p>
      <w:pPr>
        <w:spacing w:after="0" w:line="200" w:lineRule="exact"/>
        <w:rPr>
          <w:sz w:val="24"/>
          <w:szCs w:val="24"/>
          <w:color w:val="auto"/>
        </w:rPr>
      </w:pPr>
    </w:p>
    <w:p>
      <w:pPr>
        <w:sectPr>
          <w:pgSz w:w="11900" w:h="16838" w:orient="portrait"/>
          <w:cols w:equalWidth="0" w:num="2">
            <w:col w:w="2820" w:space="720"/>
            <w:col w:w="6699"/>
          </w:cols>
          <w:pgMar w:left="220" w:top="395" w:right="1440" w:bottom="1440" w:gutter="0" w:footer="0" w:header="0"/>
          <w:type w:val="continuous"/>
        </w:sectPr>
      </w:pPr>
    </w:p>
    <w:p>
      <w:pPr>
        <w:spacing w:after="0" w:line="138"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8111 LYNDALE AVENUE SOUTH</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BLOOMINGTON, MINNESOTA 55420</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TELEPHONE NUMBER: (952) 888-8801</w:t>
      </w:r>
    </w:p>
    <w:p>
      <w:pPr>
        <w:spacing w:after="0" w:line="338"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(Address, including zip code, and telephone number, including area code,</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of registrant's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0239"/>
          </w:cols>
          <w:pgMar w:left="220" w:top="395" w:right="1440" w:bottom="1440" w:gutter="0" w:footer="0" w:header="0"/>
          <w:type w:val="continuous"/>
        </w:sectPr>
      </w:pPr>
    </w:p>
    <w:p>
      <w:pPr>
        <w:spacing w:after="0" w:line="330" w:lineRule="exact"/>
        <w:rPr>
          <w:sz w:val="24"/>
          <w:szCs w:val="24"/>
          <w:color w:val="auto"/>
        </w:rPr>
      </w:pPr>
    </w:p>
    <w:p>
      <w:pPr>
        <w:ind w:left="1480"/>
        <w:spacing w:after="0"/>
        <w:rPr>
          <w:sz w:val="20"/>
          <w:szCs w:val="20"/>
          <w:color w:val="auto"/>
        </w:rPr>
      </w:pPr>
      <w:r>
        <w:rPr>
          <w:rFonts w:ascii="Courier New" w:cs="Courier New" w:eastAsia="Courier New" w:hAnsi="Courier New"/>
          <w:sz w:val="14"/>
          <w:szCs w:val="14"/>
          <w:color w:val="auto"/>
        </w:rPr>
        <w:t>Yes</w:t>
      </w:r>
    </w:p>
    <w:p>
      <w:pPr>
        <w:spacing w:after="0" w:line="20" w:lineRule="exact"/>
        <w:rPr>
          <w:sz w:val="24"/>
          <w:szCs w:val="24"/>
          <w:color w:val="auto"/>
        </w:rPr>
      </w:pPr>
      <w:r>
        <w:rPr>
          <w:sz w:val="24"/>
          <w:szCs w:val="24"/>
          <w:color w:val="auto"/>
        </w:rPr>
        <w:br w:type="column"/>
      </w:r>
    </w:p>
    <w:p>
      <w:pPr>
        <w:spacing w:after="0" w:line="31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X</w:t>
      </w:r>
    </w:p>
    <w:p>
      <w:pPr>
        <w:spacing w:after="0" w:line="20" w:lineRule="exact"/>
        <w:rPr>
          <w:sz w:val="24"/>
          <w:szCs w:val="24"/>
          <w:color w:val="auto"/>
        </w:rPr>
      </w:pPr>
      <w:r>
        <w:rPr>
          <w:sz w:val="24"/>
          <w:szCs w:val="24"/>
          <w:color w:val="auto"/>
        </w:rPr>
        <w:br w:type="column"/>
      </w:r>
    </w:p>
    <w:p>
      <w:pPr>
        <w:spacing w:after="0" w:line="31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No</w:t>
      </w:r>
    </w:p>
    <w:p>
      <w:pPr>
        <w:spacing w:after="0" w:line="7" w:lineRule="exact"/>
        <w:rPr>
          <w:sz w:val="24"/>
          <w:szCs w:val="24"/>
          <w:color w:val="auto"/>
        </w:rPr>
      </w:pPr>
    </w:p>
    <w:p>
      <w:pPr>
        <w:sectPr>
          <w:pgSz w:w="11900" w:h="16838" w:orient="portrait"/>
          <w:cols w:equalWidth="0" w:num="3">
            <w:col w:w="1740" w:space="500"/>
            <w:col w:w="1440" w:space="720"/>
            <w:col w:w="5839"/>
          </w:cols>
          <w:pgMar w:left="220" w:top="395" w:right="1440" w:bottom="1440" w:gutter="0" w:footer="0" w:header="0"/>
          <w:type w:val="continuous"/>
        </w:sectPr>
      </w:pPr>
    </w:p>
    <w:p>
      <w:pPr>
        <w:ind w:left="19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4"/>
          <w:szCs w:val="24"/>
          <w:color w:val="auto"/>
        </w:rPr>
      </w:pPr>
    </w:p>
    <w:p>
      <w:pPr>
        <w:sectPr>
          <w:pgSz w:w="11900" w:h="16838" w:orient="portrait"/>
          <w:cols w:equalWidth="0" w:num="2">
            <w:col w:w="4280" w:space="720"/>
            <w:col w:w="5239"/>
          </w:cols>
          <w:pgMar w:left="220" w:top="395" w:right="1440" w:bottom="1440" w:gutter="0" w:footer="0" w:header="0"/>
          <w:type w:val="continuous"/>
        </w:sectPr>
      </w:pPr>
    </w:p>
    <w:p>
      <w:pPr>
        <w:spacing w:after="0" w:line="138" w:lineRule="exact"/>
        <w:rPr>
          <w:sz w:val="24"/>
          <w:szCs w:val="24"/>
          <w:color w:val="auto"/>
        </w:rPr>
      </w:pPr>
    </w:p>
    <w:p>
      <w:pPr>
        <w:ind w:right="3859"/>
        <w:spacing w:after="0" w:line="255" w:lineRule="auto"/>
        <w:rPr>
          <w:sz w:val="20"/>
          <w:szCs w:val="20"/>
          <w:color w:val="auto"/>
        </w:rPr>
      </w:pPr>
      <w:r>
        <w:rPr>
          <w:rFonts w:ascii="Courier New" w:cs="Courier New" w:eastAsia="Courier New" w:hAnsi="Courier New"/>
          <w:sz w:val="14"/>
          <w:szCs w:val="14"/>
          <w:color w:val="auto"/>
        </w:rPr>
        <w:t>The number of shares of Common Stock outstanding as of August 30, 2002 was 12,181,705.</w:t>
      </w:r>
    </w:p>
    <w:p>
      <w:pPr>
        <w:spacing w:after="0" w:line="326"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395" w:right="1440" w:bottom="1440" w:gutter="0" w:footer="0" w:header="0"/>
          <w:type w:val="continuous"/>
        </w:sectPr>
      </w:pPr>
    </w:p>
    <w:bookmarkStart w:id="1" w:name="page2"/>
    <w:bookmarkEnd w:id="1"/>
    <w:p>
      <w:pPr>
        <w:jc w:val="center"/>
        <w:ind w:right="4040"/>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0"/>
          <w:szCs w:val="20"/>
          <w:color w:val="auto"/>
        </w:rPr>
      </w:pPr>
    </w:p>
    <w:p>
      <w:pPr>
        <w:jc w:val="center"/>
        <w:ind w:right="4040"/>
        <w:spacing w:after="0"/>
        <w:rPr>
          <w:sz w:val="20"/>
          <w:szCs w:val="20"/>
          <w:color w:val="auto"/>
        </w:rPr>
      </w:pPr>
      <w:r>
        <w:rPr>
          <w:rFonts w:ascii="Courier New" w:cs="Courier New" w:eastAsia="Courier New" w:hAnsi="Courier New"/>
          <w:sz w:val="14"/>
          <w:szCs w:val="14"/>
          <w:color w:val="auto"/>
        </w:rPr>
        <w:t>INDEX TO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Page Number</w:t>
      </w:r>
    </w:p>
    <w:p>
      <w:pPr>
        <w:spacing w:after="0" w:line="7"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4"/>
          <w:szCs w:val="14"/>
          <w:color w:val="auto"/>
        </w:rPr>
        <w:t>PART I.</w:t>
      </w:r>
      <w:r>
        <w:rPr>
          <w:sz w:val="20"/>
          <w:szCs w:val="20"/>
          <w:color w:val="auto"/>
        </w:rPr>
        <w:tab/>
      </w:r>
      <w:r>
        <w:rPr>
          <w:rFonts w:ascii="Courier New" w:cs="Courier New" w:eastAsia="Courier New" w:hAnsi="Courier New"/>
          <w:sz w:val="14"/>
          <w:szCs w:val="14"/>
          <w:color w:val="auto"/>
        </w:rPr>
        <w:t>FINANCIAL INFORMATION:</w:t>
      </w:r>
    </w:p>
    <w:p>
      <w:pPr>
        <w:spacing w:after="0" w:line="173" w:lineRule="exact"/>
        <w:rPr>
          <w:sz w:val="20"/>
          <w:szCs w:val="20"/>
          <w:color w:val="auto"/>
        </w:rPr>
      </w:pPr>
    </w:p>
    <w:p>
      <w:pPr>
        <w:spacing w:after="0"/>
        <w:tabs>
          <w:tab w:leader="none" w:pos="1720" w:val="left"/>
        </w:tabs>
        <w:rPr>
          <w:sz w:val="20"/>
          <w:szCs w:val="20"/>
          <w:color w:val="auto"/>
        </w:rPr>
      </w:pPr>
      <w:r>
        <w:rPr>
          <w:rFonts w:ascii="Courier New" w:cs="Courier New" w:eastAsia="Courier New" w:hAnsi="Courier New"/>
          <w:sz w:val="14"/>
          <w:szCs w:val="14"/>
          <w:color w:val="auto"/>
        </w:rPr>
        <w:t>ITEM 1.</w:t>
      </w:r>
      <w:r>
        <w:rPr>
          <w:sz w:val="20"/>
          <w:szCs w:val="20"/>
          <w:color w:val="auto"/>
        </w:rPr>
        <w:tab/>
      </w:r>
      <w:r>
        <w:rPr>
          <w:rFonts w:ascii="Courier New" w:cs="Courier New" w:eastAsia="Courier New" w:hAnsi="Courier New"/>
          <w:sz w:val="14"/>
          <w:szCs w:val="14"/>
          <w:color w:val="auto"/>
        </w:rPr>
        <w:t>Condensed Consolidated Statements of Earnings (Unaudited) -</w:t>
      </w:r>
    </w:p>
    <w:p>
      <w:pPr>
        <w:spacing w:after="0" w:line="7" w:lineRule="exact"/>
        <w:rPr>
          <w:sz w:val="20"/>
          <w:szCs w:val="20"/>
          <w:color w:val="auto"/>
        </w:rPr>
      </w:pPr>
    </w:p>
    <w:p>
      <w:pPr>
        <w:ind w:left="2080"/>
        <w:spacing w:after="0"/>
        <w:tabs>
          <w:tab w:leader="dot" w:pos="10500" w:val="left"/>
        </w:tabs>
        <w:rPr>
          <w:sz w:val="20"/>
          <w:szCs w:val="20"/>
          <w:color w:val="auto"/>
        </w:rPr>
      </w:pPr>
      <w:r>
        <w:rPr>
          <w:rFonts w:ascii="Courier New" w:cs="Courier New" w:eastAsia="Courier New" w:hAnsi="Courier New"/>
          <w:sz w:val="14"/>
          <w:szCs w:val="14"/>
          <w:color w:val="auto"/>
        </w:rPr>
        <w:t>Three and Nine Months Ended August 2, 2002 and August 3, 2001</w:t>
      </w:r>
      <w:r>
        <w:rPr>
          <w:sz w:val="20"/>
          <w:szCs w:val="20"/>
          <w:color w:val="auto"/>
        </w:rPr>
        <w:tab/>
      </w:r>
      <w:r>
        <w:rPr>
          <w:rFonts w:ascii="Courier New" w:cs="Courier New" w:eastAsia="Courier New" w:hAnsi="Courier New"/>
          <w:sz w:val="13"/>
          <w:szCs w:val="13"/>
          <w:color w:val="auto"/>
        </w:rPr>
        <w:t>3</w:t>
      </w:r>
    </w:p>
    <w:p>
      <w:pPr>
        <w:spacing w:after="0" w:line="173"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Condensed Consolidated Balance Sheets (Unaudited) -</w:t>
      </w:r>
    </w:p>
    <w:p>
      <w:pPr>
        <w:spacing w:after="0" w:line="7" w:lineRule="exact"/>
        <w:rPr>
          <w:sz w:val="20"/>
          <w:szCs w:val="20"/>
          <w:color w:val="auto"/>
        </w:rPr>
      </w:pPr>
    </w:p>
    <w:p>
      <w:pPr>
        <w:ind w:left="2080"/>
        <w:spacing w:after="0"/>
        <w:tabs>
          <w:tab w:leader="dot" w:pos="10500" w:val="left"/>
        </w:tabs>
        <w:rPr>
          <w:sz w:val="20"/>
          <w:szCs w:val="20"/>
          <w:color w:val="auto"/>
        </w:rPr>
      </w:pPr>
      <w:r>
        <w:rPr>
          <w:rFonts w:ascii="Courier New" w:cs="Courier New" w:eastAsia="Courier New" w:hAnsi="Courier New"/>
          <w:sz w:val="14"/>
          <w:szCs w:val="14"/>
          <w:color w:val="auto"/>
        </w:rPr>
        <w:t>August 2, 2002, August 3, 2001 and October 31, 2001</w:t>
      </w:r>
      <w:r>
        <w:rPr>
          <w:sz w:val="20"/>
          <w:szCs w:val="20"/>
          <w:color w:val="auto"/>
        </w:rPr>
        <w:tab/>
      </w:r>
      <w:r>
        <w:rPr>
          <w:rFonts w:ascii="Courier New" w:cs="Courier New" w:eastAsia="Courier New" w:hAnsi="Courier New"/>
          <w:sz w:val="13"/>
          <w:szCs w:val="13"/>
          <w:color w:val="auto"/>
        </w:rPr>
        <w:t>4</w:t>
      </w:r>
    </w:p>
    <w:p>
      <w:pPr>
        <w:spacing w:after="0" w:line="173"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Condensed Consolidated Statements of Cash Flows (Unaudited) -</w:t>
      </w:r>
    </w:p>
    <w:p>
      <w:pPr>
        <w:spacing w:after="0" w:line="7" w:lineRule="exact"/>
        <w:rPr>
          <w:sz w:val="20"/>
          <w:szCs w:val="20"/>
          <w:color w:val="auto"/>
        </w:rPr>
      </w:pPr>
    </w:p>
    <w:p>
      <w:pPr>
        <w:ind w:left="2080"/>
        <w:spacing w:after="0"/>
        <w:tabs>
          <w:tab w:leader="dot" w:pos="10500" w:val="left"/>
        </w:tabs>
        <w:rPr>
          <w:sz w:val="20"/>
          <w:szCs w:val="20"/>
          <w:color w:val="auto"/>
        </w:rPr>
      </w:pPr>
      <w:r>
        <w:rPr>
          <w:rFonts w:ascii="Courier New" w:cs="Courier New" w:eastAsia="Courier New" w:hAnsi="Courier New"/>
          <w:sz w:val="14"/>
          <w:szCs w:val="14"/>
          <w:color w:val="auto"/>
        </w:rPr>
        <w:t>Nine Months Ended August 2, 2002 and August 3, 2001</w:t>
      </w:r>
      <w:r>
        <w:rPr>
          <w:sz w:val="20"/>
          <w:szCs w:val="20"/>
          <w:color w:val="auto"/>
        </w:rPr>
        <w:tab/>
      </w:r>
      <w:r>
        <w:rPr>
          <w:rFonts w:ascii="Courier New" w:cs="Courier New" w:eastAsia="Courier New" w:hAnsi="Courier New"/>
          <w:sz w:val="13"/>
          <w:szCs w:val="13"/>
          <w:color w:val="auto"/>
        </w:rPr>
        <w:t>5</w:t>
      </w:r>
    </w:p>
    <w:p>
      <w:pPr>
        <w:spacing w:after="0" w:line="173" w:lineRule="exact"/>
        <w:rPr>
          <w:sz w:val="20"/>
          <w:szCs w:val="20"/>
          <w:color w:val="auto"/>
        </w:rPr>
      </w:pPr>
    </w:p>
    <w:p>
      <w:pPr>
        <w:ind w:left="1740"/>
        <w:spacing w:after="0"/>
        <w:tabs>
          <w:tab w:leader="dot" w:pos="10320" w:val="left"/>
        </w:tabs>
        <w:rPr>
          <w:sz w:val="20"/>
          <w:szCs w:val="20"/>
          <w:color w:val="auto"/>
        </w:rPr>
      </w:pPr>
      <w:r>
        <w:rPr>
          <w:rFonts w:ascii="Courier New" w:cs="Courier New" w:eastAsia="Courier New" w:hAnsi="Courier New"/>
          <w:sz w:val="14"/>
          <w:szCs w:val="14"/>
          <w:color w:val="auto"/>
        </w:rPr>
        <w:t>Notes to Condensed Consolidated Financial Statements (Unaudited)</w:t>
      </w:r>
      <w:r>
        <w:rPr>
          <w:sz w:val="20"/>
          <w:szCs w:val="20"/>
          <w:color w:val="auto"/>
        </w:rPr>
        <w:tab/>
      </w:r>
      <w:r>
        <w:rPr>
          <w:rFonts w:ascii="Courier New" w:cs="Courier New" w:eastAsia="Courier New" w:hAnsi="Courier New"/>
          <w:sz w:val="14"/>
          <w:szCs w:val="14"/>
          <w:color w:val="auto"/>
        </w:rPr>
        <w:t>6-11</w:t>
      </w:r>
    </w:p>
    <w:p>
      <w:pPr>
        <w:spacing w:after="0" w:line="173" w:lineRule="exact"/>
        <w:rPr>
          <w:sz w:val="20"/>
          <w:szCs w:val="20"/>
          <w:color w:val="auto"/>
        </w:rPr>
      </w:pPr>
    </w:p>
    <w:p>
      <w:pPr>
        <w:spacing w:after="0"/>
        <w:tabs>
          <w:tab w:leader="none" w:pos="1720" w:val="left"/>
        </w:tabs>
        <w:rPr>
          <w:sz w:val="20"/>
          <w:szCs w:val="20"/>
          <w:color w:val="auto"/>
        </w:rPr>
      </w:pPr>
      <w:r>
        <w:rPr>
          <w:rFonts w:ascii="Courier New" w:cs="Courier New" w:eastAsia="Courier New" w:hAnsi="Courier New"/>
          <w:sz w:val="14"/>
          <w:szCs w:val="14"/>
          <w:color w:val="auto"/>
        </w:rPr>
        <w:t>ITEM 2.</w:t>
      </w:r>
      <w:r>
        <w:rPr>
          <w:sz w:val="20"/>
          <w:szCs w:val="20"/>
          <w:color w:val="auto"/>
        </w:rPr>
        <w:tab/>
      </w:r>
      <w:r>
        <w:rPr>
          <w:rFonts w:ascii="Courier New" w:cs="Courier New" w:eastAsia="Courier New" w:hAnsi="Courier New"/>
          <w:sz w:val="14"/>
          <w:szCs w:val="14"/>
          <w:color w:val="auto"/>
        </w:rPr>
        <w:t>Management's Discussion and Analysis of Financial</w:t>
      </w:r>
    </w:p>
    <w:p>
      <w:pPr>
        <w:spacing w:after="0" w:line="7" w:lineRule="exact"/>
        <w:rPr>
          <w:sz w:val="20"/>
          <w:szCs w:val="20"/>
          <w:color w:val="auto"/>
        </w:rPr>
      </w:pPr>
    </w:p>
    <w:p>
      <w:pPr>
        <w:ind w:left="1740"/>
        <w:spacing w:after="0"/>
        <w:tabs>
          <w:tab w:leader="dot" w:pos="10320" w:val="left"/>
        </w:tabs>
        <w:rPr>
          <w:sz w:val="20"/>
          <w:szCs w:val="20"/>
          <w:color w:val="auto"/>
        </w:rPr>
      </w:pPr>
      <w:r>
        <w:rPr>
          <w:rFonts w:ascii="Courier New" w:cs="Courier New" w:eastAsia="Courier New" w:hAnsi="Courier New"/>
          <w:sz w:val="14"/>
          <w:szCs w:val="14"/>
          <w:color w:val="auto"/>
        </w:rPr>
        <w:t>Condition and Results of Operations</w:t>
      </w:r>
      <w:r>
        <w:rPr>
          <w:sz w:val="20"/>
          <w:szCs w:val="20"/>
          <w:color w:val="auto"/>
        </w:rPr>
        <w:tab/>
      </w:r>
      <w:r>
        <w:rPr>
          <w:rFonts w:ascii="Courier New" w:cs="Courier New" w:eastAsia="Courier New" w:hAnsi="Courier New"/>
          <w:sz w:val="14"/>
          <w:szCs w:val="14"/>
          <w:color w:val="auto"/>
        </w:rPr>
        <w:t>12-26</w:t>
      </w:r>
    </w:p>
    <w:p>
      <w:pPr>
        <w:spacing w:after="0" w:line="173" w:lineRule="exact"/>
        <w:rPr>
          <w:sz w:val="20"/>
          <w:szCs w:val="20"/>
          <w:color w:val="auto"/>
        </w:rPr>
      </w:pPr>
    </w:p>
    <w:p>
      <w:pPr>
        <w:spacing w:after="0"/>
        <w:tabs>
          <w:tab w:leader="none" w:pos="1720" w:val="left"/>
          <w:tab w:leader="dot" w:pos="10420" w:val="left"/>
        </w:tabs>
        <w:rPr>
          <w:sz w:val="20"/>
          <w:szCs w:val="20"/>
          <w:color w:val="auto"/>
        </w:rPr>
      </w:pPr>
      <w:r>
        <w:rPr>
          <w:rFonts w:ascii="Courier New" w:cs="Courier New" w:eastAsia="Courier New" w:hAnsi="Courier New"/>
          <w:sz w:val="14"/>
          <w:szCs w:val="14"/>
          <w:color w:val="auto"/>
        </w:rPr>
        <w:t>ITEM 4.</w:t>
      </w:r>
      <w:r>
        <w:rPr>
          <w:sz w:val="20"/>
          <w:szCs w:val="20"/>
          <w:color w:val="auto"/>
        </w:rPr>
        <w:tab/>
      </w:r>
      <w:r>
        <w:rPr>
          <w:rFonts w:ascii="Courier New" w:cs="Courier New" w:eastAsia="Courier New" w:hAnsi="Courier New"/>
          <w:sz w:val="14"/>
          <w:szCs w:val="14"/>
          <w:color w:val="auto"/>
        </w:rPr>
        <w:t>Controls and Procedures</w:t>
      </w:r>
      <w:r>
        <w:rPr>
          <w:sz w:val="20"/>
          <w:szCs w:val="20"/>
          <w:color w:val="auto"/>
        </w:rPr>
        <w:tab/>
      </w:r>
      <w:r>
        <w:rPr>
          <w:rFonts w:ascii="Courier New" w:cs="Courier New" w:eastAsia="Courier New" w:hAnsi="Courier New"/>
          <w:sz w:val="13"/>
          <w:szCs w:val="13"/>
          <w:color w:val="auto"/>
        </w:rPr>
        <w:t>26</w:t>
      </w:r>
    </w:p>
    <w:p>
      <w:pPr>
        <w:spacing w:after="0" w:line="173"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4"/>
          <w:szCs w:val="14"/>
          <w:color w:val="auto"/>
        </w:rPr>
        <w:t>PART II.</w:t>
      </w:r>
      <w:r>
        <w:rPr>
          <w:sz w:val="20"/>
          <w:szCs w:val="20"/>
          <w:color w:val="auto"/>
        </w:rPr>
        <w:tab/>
      </w:r>
      <w:r>
        <w:rPr>
          <w:rFonts w:ascii="Courier New" w:cs="Courier New" w:eastAsia="Courier New" w:hAnsi="Courier New"/>
          <w:sz w:val="14"/>
          <w:szCs w:val="14"/>
          <w:color w:val="auto"/>
        </w:rPr>
        <w:t>OTHER INFORMATION:</w:t>
      </w:r>
    </w:p>
    <w:p>
      <w:pPr>
        <w:spacing w:after="0" w:line="173" w:lineRule="exact"/>
        <w:rPr>
          <w:sz w:val="20"/>
          <w:szCs w:val="20"/>
          <w:color w:val="auto"/>
        </w:rPr>
      </w:pPr>
    </w:p>
    <w:p>
      <w:pPr>
        <w:spacing w:after="0"/>
        <w:tabs>
          <w:tab w:leader="none" w:pos="1720" w:val="left"/>
          <w:tab w:leader="dot" w:pos="10320" w:val="left"/>
        </w:tabs>
        <w:rPr>
          <w:sz w:val="20"/>
          <w:szCs w:val="20"/>
          <w:color w:val="auto"/>
        </w:rPr>
      </w:pPr>
      <w:r>
        <w:rPr>
          <w:rFonts w:ascii="Courier New" w:cs="Courier New" w:eastAsia="Courier New" w:hAnsi="Courier New"/>
          <w:sz w:val="14"/>
          <w:szCs w:val="14"/>
          <w:color w:val="auto"/>
        </w:rPr>
        <w:t>ITEM 6.</w:t>
      </w:r>
      <w:r>
        <w:rPr>
          <w:sz w:val="20"/>
          <w:szCs w:val="20"/>
          <w:color w:val="auto"/>
        </w:rPr>
        <w:tab/>
      </w:r>
      <w:r>
        <w:rPr>
          <w:rFonts w:ascii="Courier New" w:cs="Courier New" w:eastAsia="Courier New" w:hAnsi="Courier New"/>
          <w:sz w:val="14"/>
          <w:szCs w:val="14"/>
          <w:color w:val="auto"/>
        </w:rPr>
        <w:t>Exhibits and Reports on Form 8-K</w:t>
      </w:r>
      <w:r>
        <w:rPr>
          <w:sz w:val="20"/>
          <w:szCs w:val="20"/>
          <w:color w:val="auto"/>
        </w:rPr>
        <w:tab/>
      </w:r>
      <w:r>
        <w:rPr>
          <w:rFonts w:ascii="Courier New" w:cs="Courier New" w:eastAsia="Courier New" w:hAnsi="Courier New"/>
          <w:sz w:val="14"/>
          <w:szCs w:val="14"/>
          <w:color w:val="auto"/>
        </w:rPr>
        <w:t>27-28</w:t>
      </w:r>
    </w:p>
    <w:p>
      <w:pPr>
        <w:spacing w:after="0" w:line="173" w:lineRule="exact"/>
        <w:rPr>
          <w:sz w:val="20"/>
          <w:szCs w:val="20"/>
          <w:color w:val="auto"/>
        </w:rPr>
      </w:pPr>
    </w:p>
    <w:p>
      <w:pPr>
        <w:ind w:left="1740"/>
        <w:spacing w:after="0"/>
        <w:tabs>
          <w:tab w:leader="dot" w:pos="10420" w:val="left"/>
        </w:tabs>
        <w:rPr>
          <w:sz w:val="20"/>
          <w:szCs w:val="20"/>
          <w:color w:val="auto"/>
        </w:rPr>
      </w:pPr>
      <w:r>
        <w:rPr>
          <w:rFonts w:ascii="Courier New" w:cs="Courier New" w:eastAsia="Courier New" w:hAnsi="Courier New"/>
          <w:sz w:val="14"/>
          <w:szCs w:val="14"/>
          <w:color w:val="auto"/>
        </w:rPr>
        <w:t>Signatures</w:t>
      </w:r>
      <w:r>
        <w:rPr>
          <w:sz w:val="20"/>
          <w:szCs w:val="20"/>
          <w:color w:val="auto"/>
        </w:rPr>
        <w:tab/>
      </w:r>
      <w:r>
        <w:rPr>
          <w:rFonts w:ascii="Courier New" w:cs="Courier New" w:eastAsia="Courier New" w:hAnsi="Courier New"/>
          <w:sz w:val="13"/>
          <w:szCs w:val="13"/>
          <w:color w:val="auto"/>
        </w:rPr>
        <w:t>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940"/>
          </w:cols>
          <w:pgMar w:left="220" w:top="948" w:right="739" w:bottom="1440" w:gutter="0" w:footer="0" w:header="0"/>
        </w:sectPr>
      </w:pPr>
    </w:p>
    <w:bookmarkStart w:id="2" w:name="page3"/>
    <w:bookmarkEnd w:id="2"/>
    <w:p>
      <w:pPr>
        <w:jc w:val="center"/>
        <w:ind w:right="4380"/>
        <w:spacing w:after="0"/>
        <w:rPr>
          <w:sz w:val="20"/>
          <w:szCs w:val="20"/>
          <w:color w:val="auto"/>
        </w:rPr>
      </w:pPr>
      <w:r>
        <w:rPr>
          <w:rFonts w:ascii="Courier New" w:cs="Courier New" w:eastAsia="Courier New" w:hAnsi="Courier New"/>
          <w:sz w:val="14"/>
          <w:szCs w:val="14"/>
          <w:color w:val="auto"/>
        </w:rPr>
        <w:t>PART I. ITEM 1. FINANCIAL INFORMATION</w:t>
      </w:r>
    </w:p>
    <w:p>
      <w:pPr>
        <w:spacing w:after="0" w:line="173"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THE TORO COMPANY AND SUBSIDIARIES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40" w:type="dxa"/>
            <w:vAlign w:val="bottom"/>
            <w:gridSpan w:val="3"/>
          </w:tcPr>
          <w:p>
            <w:pPr>
              <w:jc w:val="right"/>
              <w:ind w:right="708"/>
              <w:spacing w:after="0"/>
              <w:rPr>
                <w:sz w:val="20"/>
                <w:szCs w:val="20"/>
                <w:color w:val="auto"/>
              </w:rPr>
            </w:pPr>
            <w:r>
              <w:rPr>
                <w:rFonts w:ascii="Courier New" w:cs="Courier New" w:eastAsia="Courier New" w:hAnsi="Courier New"/>
                <w:sz w:val="14"/>
                <w:szCs w:val="14"/>
                <w:color w:val="auto"/>
              </w:rPr>
              <w:t>CONDENSED CONSOLIDATED STATEMENTS OF EARNINGS (UNAUDITED)</w:t>
            </w: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6640" w:type="dxa"/>
            <w:vAlign w:val="bottom"/>
            <w:gridSpan w:val="3"/>
          </w:tcPr>
          <w:p>
            <w:pPr>
              <w:jc w:val="right"/>
              <w:ind w:right="708"/>
              <w:spacing w:after="0"/>
              <w:rPr>
                <w:sz w:val="20"/>
                <w:szCs w:val="20"/>
                <w:color w:val="auto"/>
              </w:rPr>
            </w:pPr>
            <w:r>
              <w:rPr>
                <w:rFonts w:ascii="Courier New" w:cs="Courier New" w:eastAsia="Courier New" w:hAnsi="Courier New"/>
                <w:sz w:val="14"/>
                <w:szCs w:val="14"/>
                <w:color w:val="auto"/>
              </w:rPr>
              <w:t>(DOLLARS AND SHARES IN THOUSANDS, EXCEPT PER SHARE DATA)</w:t>
            </w: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828"/>
        </w:trPr>
        <w:tc>
          <w:tcPr>
            <w:tcW w:w="5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0" w:type="dxa"/>
            <w:vAlign w:val="bottom"/>
            <w:gridSpan w:val="3"/>
          </w:tcPr>
          <w:p>
            <w:pPr>
              <w:jc w:val="right"/>
              <w:ind w:right="848"/>
              <w:spacing w:after="0"/>
              <w:rPr>
                <w:sz w:val="20"/>
                <w:szCs w:val="20"/>
                <w:color w:val="auto"/>
              </w:rPr>
            </w:pPr>
            <w:r>
              <w:rPr>
                <w:rFonts w:ascii="Courier New" w:cs="Courier New" w:eastAsia="Courier New" w:hAnsi="Courier New"/>
                <w:sz w:val="14"/>
                <w:szCs w:val="14"/>
                <w:color w:val="auto"/>
              </w:rPr>
              <w:t>Three Months Ended</w:t>
            </w:r>
          </w:p>
        </w:tc>
        <w:tc>
          <w:tcPr>
            <w:tcW w:w="300" w:type="dxa"/>
            <w:vAlign w:val="bottom"/>
          </w:tcPr>
          <w:p>
            <w:pPr>
              <w:spacing w:after="0"/>
              <w:rPr>
                <w:sz w:val="24"/>
                <w:szCs w:val="24"/>
                <w:color w:val="auto"/>
              </w:rPr>
            </w:pPr>
          </w:p>
        </w:tc>
        <w:tc>
          <w:tcPr>
            <w:tcW w:w="2840" w:type="dxa"/>
            <w:vAlign w:val="bottom"/>
            <w:gridSpan w:val="3"/>
          </w:tcPr>
          <w:p>
            <w:pPr>
              <w:jc w:val="center"/>
              <w:spacing w:after="0"/>
              <w:rPr>
                <w:sz w:val="20"/>
                <w:szCs w:val="20"/>
                <w:color w:val="auto"/>
              </w:rPr>
            </w:pPr>
            <w:r>
              <w:rPr>
                <w:rFonts w:ascii="Courier New" w:cs="Courier New" w:eastAsia="Courier New" w:hAnsi="Courier New"/>
                <w:sz w:val="14"/>
                <w:szCs w:val="14"/>
                <w:color w:val="auto"/>
              </w:rPr>
              <w:t>Nine Months Ended</w:t>
            </w:r>
          </w:p>
        </w:tc>
      </w:tr>
      <w:tr>
        <w:trPr>
          <w:trHeight w:val="166"/>
        </w:trPr>
        <w:tc>
          <w:tcPr>
            <w:tcW w:w="5100" w:type="dxa"/>
            <w:vAlign w:val="bottom"/>
          </w:tcPr>
          <w:p>
            <w:pPr>
              <w:spacing w:after="0"/>
              <w:rPr>
                <w:sz w:val="14"/>
                <w:szCs w:val="14"/>
                <w:color w:val="auto"/>
              </w:rPr>
            </w:pPr>
          </w:p>
        </w:tc>
        <w:tc>
          <w:tcPr>
            <w:tcW w:w="1540" w:type="dxa"/>
            <w:vAlign w:val="bottom"/>
            <w:gridSpan w:val="2"/>
          </w:tcPr>
          <w:p>
            <w:pPr>
              <w:spacing w:after="0"/>
              <w:rPr>
                <w:sz w:val="20"/>
                <w:szCs w:val="20"/>
                <w:color w:val="auto"/>
              </w:rPr>
            </w:pPr>
            <w:r>
              <w:rPr>
                <w:rFonts w:ascii="Courier New" w:cs="Courier New" w:eastAsia="Courier New" w:hAnsi="Courier New"/>
                <w:sz w:val="10"/>
                <w:szCs w:val="10"/>
                <w:color w:val="auto"/>
                <w:w w:val="72"/>
              </w:rPr>
              <w:t>-----------------------------------</w:t>
            </w: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14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August 2,</w:t>
            </w:r>
          </w:p>
        </w:tc>
        <w:tc>
          <w:tcPr>
            <w:tcW w:w="380" w:type="dxa"/>
            <w:vAlign w:val="bottom"/>
          </w:tcPr>
          <w:p>
            <w:pPr>
              <w:spacing w:after="0"/>
              <w:rPr>
                <w:sz w:val="14"/>
                <w:szCs w:val="14"/>
                <w:color w:val="auto"/>
              </w:rPr>
            </w:pP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August 3,</w:t>
            </w:r>
          </w:p>
        </w:tc>
        <w:tc>
          <w:tcPr>
            <w:tcW w:w="300" w:type="dxa"/>
            <w:vAlign w:val="bottom"/>
          </w:tcPr>
          <w:p>
            <w:pPr>
              <w:spacing w:after="0"/>
              <w:rPr>
                <w:sz w:val="14"/>
                <w:szCs w:val="14"/>
                <w:color w:val="auto"/>
              </w:rPr>
            </w:pP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August 2,</w:t>
            </w:r>
          </w:p>
        </w:tc>
        <w:tc>
          <w:tcPr>
            <w:tcW w:w="300" w:type="dxa"/>
            <w:vAlign w:val="bottom"/>
          </w:tcPr>
          <w:p>
            <w:pPr>
              <w:spacing w:after="0"/>
              <w:rPr>
                <w:sz w:val="14"/>
                <w:szCs w:val="14"/>
                <w:color w:val="auto"/>
              </w:rPr>
            </w:pP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August 3,</w:t>
            </w:r>
          </w:p>
        </w:tc>
      </w:tr>
      <w:tr>
        <w:trPr>
          <w:trHeight w:val="166"/>
        </w:trPr>
        <w:tc>
          <w:tcPr>
            <w:tcW w:w="5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2002</w:t>
            </w:r>
          </w:p>
        </w:tc>
        <w:tc>
          <w:tcPr>
            <w:tcW w:w="380" w:type="dxa"/>
            <w:vAlign w:val="bottom"/>
          </w:tcPr>
          <w:p>
            <w:pPr>
              <w:spacing w:after="0"/>
              <w:rPr>
                <w:sz w:val="14"/>
                <w:szCs w:val="14"/>
                <w:color w:val="auto"/>
              </w:rPr>
            </w:pPr>
          </w:p>
        </w:tc>
        <w:tc>
          <w:tcPr>
            <w:tcW w:w="12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2001</w:t>
            </w:r>
          </w:p>
        </w:tc>
        <w:tc>
          <w:tcPr>
            <w:tcW w:w="300" w:type="dxa"/>
            <w:vAlign w:val="bottom"/>
          </w:tcPr>
          <w:p>
            <w:pPr>
              <w:spacing w:after="0"/>
              <w:rPr>
                <w:sz w:val="14"/>
                <w:szCs w:val="14"/>
                <w:color w:val="auto"/>
              </w:rPr>
            </w:pPr>
          </w:p>
        </w:tc>
        <w:tc>
          <w:tcPr>
            <w:tcW w:w="134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2002</w:t>
            </w:r>
          </w:p>
        </w:tc>
        <w:tc>
          <w:tcPr>
            <w:tcW w:w="300" w:type="dxa"/>
            <w:vAlign w:val="bottom"/>
          </w:tcPr>
          <w:p>
            <w:pPr>
              <w:spacing w:after="0"/>
              <w:rPr>
                <w:sz w:val="14"/>
                <w:szCs w:val="14"/>
                <w:color w:val="auto"/>
              </w:rPr>
            </w:pP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2001</w:t>
            </w:r>
          </w:p>
        </w:tc>
      </w:tr>
      <w:tr>
        <w:trPr>
          <w:trHeight w:val="166"/>
        </w:trPr>
        <w:tc>
          <w:tcPr>
            <w:tcW w:w="5100" w:type="dxa"/>
            <w:vAlign w:val="bottom"/>
          </w:tcPr>
          <w:p>
            <w:pPr>
              <w:spacing w:after="0"/>
              <w:rPr>
                <w:sz w:val="14"/>
                <w:szCs w:val="14"/>
                <w:color w:val="auto"/>
              </w:rPr>
            </w:pPr>
          </w:p>
        </w:tc>
        <w:tc>
          <w:tcPr>
            <w:tcW w:w="15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w w:val="99"/>
              </w:rPr>
              <w:t>----------------</w:t>
            </w:r>
          </w:p>
        </w:tc>
        <w:tc>
          <w:tcPr>
            <w:tcW w:w="16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497"/>
        </w:trPr>
        <w:tc>
          <w:tcPr>
            <w:tcW w:w="510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3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375,632</w:t>
            </w:r>
          </w:p>
        </w:tc>
        <w:tc>
          <w:tcPr>
            <w:tcW w:w="3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329,744</w:t>
            </w:r>
          </w:p>
        </w:tc>
        <w:tc>
          <w:tcPr>
            <w:tcW w:w="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1,123,861</w:t>
            </w:r>
          </w:p>
        </w:tc>
        <w:tc>
          <w:tcPr>
            <w:tcW w:w="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1,069,707</w:t>
            </w:r>
          </w:p>
        </w:tc>
      </w:tr>
      <w:tr>
        <w:trPr>
          <w:trHeight w:val="166"/>
        </w:trPr>
        <w:tc>
          <w:tcPr>
            <w:tcW w:w="5100" w:type="dxa"/>
            <w:vAlign w:val="bottom"/>
          </w:tcPr>
          <w:p>
            <w:pPr>
              <w:spacing w:after="0"/>
              <w:rPr>
                <w:sz w:val="20"/>
                <w:szCs w:val="20"/>
                <w:color w:val="auto"/>
              </w:rPr>
            </w:pPr>
            <w:r>
              <w:rPr>
                <w:rFonts w:ascii="Courier New" w:cs="Courier New" w:eastAsia="Courier New" w:hAnsi="Courier New"/>
                <w:sz w:val="14"/>
                <w:szCs w:val="14"/>
                <w:color w:val="auto"/>
              </w:rPr>
              <w:t>Cost of sales..............................................</w:t>
            </w:r>
          </w:p>
        </w:tc>
        <w:tc>
          <w:tcPr>
            <w:tcW w:w="34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246,693</w:t>
            </w:r>
          </w:p>
        </w:tc>
        <w:tc>
          <w:tcPr>
            <w:tcW w:w="380" w:type="dxa"/>
            <w:vAlign w:val="bottom"/>
          </w:tcPr>
          <w:p>
            <w:pPr>
              <w:spacing w:after="0"/>
              <w:rPr>
                <w:sz w:val="14"/>
                <w:szCs w:val="14"/>
                <w:color w:val="auto"/>
              </w:rPr>
            </w:pP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211,638</w:t>
            </w:r>
          </w:p>
        </w:tc>
        <w:tc>
          <w:tcPr>
            <w:tcW w:w="300" w:type="dxa"/>
            <w:vAlign w:val="bottom"/>
          </w:tcPr>
          <w:p>
            <w:pPr>
              <w:spacing w:after="0"/>
              <w:rPr>
                <w:sz w:val="14"/>
                <w:szCs w:val="14"/>
                <w:color w:val="auto"/>
              </w:rPr>
            </w:pP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737,562</w:t>
            </w:r>
          </w:p>
        </w:tc>
        <w:tc>
          <w:tcPr>
            <w:tcW w:w="30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703,190</w:t>
            </w:r>
          </w:p>
        </w:tc>
      </w:tr>
      <w:tr>
        <w:trPr>
          <w:trHeight w:val="166"/>
        </w:trPr>
        <w:tc>
          <w:tcPr>
            <w:tcW w:w="5100" w:type="dxa"/>
            <w:vAlign w:val="bottom"/>
          </w:tcPr>
          <w:p>
            <w:pPr>
              <w:spacing w:after="0"/>
              <w:rPr>
                <w:sz w:val="14"/>
                <w:szCs w:val="14"/>
                <w:color w:val="auto"/>
              </w:rPr>
            </w:pPr>
          </w:p>
        </w:tc>
        <w:tc>
          <w:tcPr>
            <w:tcW w:w="15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w w:val="99"/>
              </w:rPr>
              <w:t>----------------</w:t>
            </w:r>
          </w:p>
        </w:tc>
        <w:tc>
          <w:tcPr>
            <w:tcW w:w="16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100" w:type="dxa"/>
            <w:vAlign w:val="bottom"/>
          </w:tcPr>
          <w:p>
            <w:pPr>
              <w:jc w:val="right"/>
              <w:spacing w:after="0"/>
              <w:rPr>
                <w:sz w:val="20"/>
                <w:szCs w:val="20"/>
                <w:color w:val="auto"/>
              </w:rPr>
            </w:pPr>
            <w:r>
              <w:rPr>
                <w:rFonts w:ascii="Courier New" w:cs="Courier New" w:eastAsia="Courier New" w:hAnsi="Courier New"/>
                <w:sz w:val="14"/>
                <w:szCs w:val="14"/>
                <w:color w:val="auto"/>
              </w:rPr>
              <w:t>Gross profit...........................................</w:t>
            </w:r>
          </w:p>
        </w:tc>
        <w:tc>
          <w:tcPr>
            <w:tcW w:w="34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128,939</w:t>
            </w:r>
          </w:p>
        </w:tc>
        <w:tc>
          <w:tcPr>
            <w:tcW w:w="380" w:type="dxa"/>
            <w:vAlign w:val="bottom"/>
          </w:tcPr>
          <w:p>
            <w:pPr>
              <w:spacing w:after="0"/>
              <w:rPr>
                <w:sz w:val="14"/>
                <w:szCs w:val="14"/>
                <w:color w:val="auto"/>
              </w:rPr>
            </w:pP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118,106</w:t>
            </w:r>
          </w:p>
        </w:tc>
        <w:tc>
          <w:tcPr>
            <w:tcW w:w="300" w:type="dxa"/>
            <w:vAlign w:val="bottom"/>
          </w:tcPr>
          <w:p>
            <w:pPr>
              <w:spacing w:after="0"/>
              <w:rPr>
                <w:sz w:val="14"/>
                <w:szCs w:val="14"/>
                <w:color w:val="auto"/>
              </w:rPr>
            </w:pP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386,299</w:t>
            </w:r>
          </w:p>
        </w:tc>
        <w:tc>
          <w:tcPr>
            <w:tcW w:w="30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366,517</w:t>
            </w:r>
          </w:p>
        </w:tc>
      </w:tr>
      <w:tr>
        <w:trPr>
          <w:trHeight w:val="166"/>
        </w:trPr>
        <w:tc>
          <w:tcPr>
            <w:tcW w:w="5100" w:type="dxa"/>
            <w:vAlign w:val="bottom"/>
          </w:tcPr>
          <w:p>
            <w:pPr>
              <w:jc w:val="right"/>
              <w:spacing w:after="0"/>
              <w:rPr>
                <w:sz w:val="20"/>
                <w:szCs w:val="20"/>
                <w:color w:val="auto"/>
              </w:rPr>
            </w:pPr>
            <w:r>
              <w:rPr>
                <w:rFonts w:ascii="Courier New" w:cs="Courier New" w:eastAsia="Courier New" w:hAnsi="Courier New"/>
                <w:sz w:val="14"/>
                <w:szCs w:val="14"/>
                <w:color w:val="auto"/>
              </w:rPr>
              <w:t>Selling, general, and administrative expense...............</w:t>
            </w:r>
          </w:p>
        </w:tc>
        <w:tc>
          <w:tcPr>
            <w:tcW w:w="34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92,412</w:t>
            </w:r>
          </w:p>
        </w:tc>
        <w:tc>
          <w:tcPr>
            <w:tcW w:w="380" w:type="dxa"/>
            <w:vAlign w:val="bottom"/>
          </w:tcPr>
          <w:p>
            <w:pPr>
              <w:spacing w:after="0"/>
              <w:rPr>
                <w:sz w:val="14"/>
                <w:szCs w:val="14"/>
                <w:color w:val="auto"/>
              </w:rPr>
            </w:pP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88,115</w:t>
            </w:r>
          </w:p>
        </w:tc>
        <w:tc>
          <w:tcPr>
            <w:tcW w:w="300" w:type="dxa"/>
            <w:vAlign w:val="bottom"/>
          </w:tcPr>
          <w:p>
            <w:pPr>
              <w:spacing w:after="0"/>
              <w:rPr>
                <w:sz w:val="14"/>
                <w:szCs w:val="14"/>
                <w:color w:val="auto"/>
              </w:rPr>
            </w:pP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285,689</w:t>
            </w:r>
          </w:p>
        </w:tc>
        <w:tc>
          <w:tcPr>
            <w:tcW w:w="30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277,178</w:t>
            </w:r>
          </w:p>
        </w:tc>
      </w:tr>
      <w:tr>
        <w:trPr>
          <w:trHeight w:val="166"/>
        </w:trPr>
        <w:tc>
          <w:tcPr>
            <w:tcW w:w="5100" w:type="dxa"/>
            <w:vAlign w:val="bottom"/>
          </w:tcPr>
          <w:p>
            <w:pPr>
              <w:jc w:val="right"/>
              <w:spacing w:after="0"/>
              <w:rPr>
                <w:sz w:val="20"/>
                <w:szCs w:val="20"/>
                <w:color w:val="auto"/>
              </w:rPr>
            </w:pPr>
            <w:r>
              <w:rPr>
                <w:rFonts w:ascii="Courier New" w:cs="Courier New" w:eastAsia="Courier New" w:hAnsi="Courier New"/>
                <w:sz w:val="14"/>
                <w:szCs w:val="14"/>
                <w:color w:val="auto"/>
              </w:rPr>
              <w:t>Restructuring and other expense (income)...................</w:t>
            </w:r>
          </w:p>
        </w:tc>
        <w:tc>
          <w:tcPr>
            <w:tcW w:w="34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9,953</w:t>
            </w:r>
          </w:p>
        </w:tc>
        <w:tc>
          <w:tcPr>
            <w:tcW w:w="3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(679)</w:t>
            </w:r>
          </w:p>
        </w:tc>
      </w:tr>
      <w:tr>
        <w:trPr>
          <w:trHeight w:val="166"/>
        </w:trPr>
        <w:tc>
          <w:tcPr>
            <w:tcW w:w="5100" w:type="dxa"/>
            <w:vAlign w:val="bottom"/>
          </w:tcPr>
          <w:p>
            <w:pPr>
              <w:spacing w:after="0"/>
              <w:rPr>
                <w:sz w:val="14"/>
                <w:szCs w:val="14"/>
                <w:color w:val="auto"/>
              </w:rPr>
            </w:pPr>
          </w:p>
        </w:tc>
        <w:tc>
          <w:tcPr>
            <w:tcW w:w="15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w w:val="99"/>
              </w:rPr>
              <w:t>----------------</w:t>
            </w:r>
          </w:p>
        </w:tc>
        <w:tc>
          <w:tcPr>
            <w:tcW w:w="16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100" w:type="dxa"/>
            <w:vAlign w:val="bottom"/>
          </w:tcPr>
          <w:p>
            <w:pPr>
              <w:jc w:val="right"/>
              <w:spacing w:after="0"/>
              <w:rPr>
                <w:sz w:val="20"/>
                <w:szCs w:val="20"/>
                <w:color w:val="auto"/>
              </w:rPr>
            </w:pPr>
            <w:r>
              <w:rPr>
                <w:rFonts w:ascii="Courier New" w:cs="Courier New" w:eastAsia="Courier New" w:hAnsi="Courier New"/>
                <w:sz w:val="14"/>
                <w:szCs w:val="14"/>
                <w:color w:val="auto"/>
              </w:rPr>
              <w:t>Earnings from operations...............................</w:t>
            </w:r>
          </w:p>
        </w:tc>
        <w:tc>
          <w:tcPr>
            <w:tcW w:w="34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36,527</w:t>
            </w:r>
          </w:p>
        </w:tc>
        <w:tc>
          <w:tcPr>
            <w:tcW w:w="380" w:type="dxa"/>
            <w:vAlign w:val="bottom"/>
          </w:tcPr>
          <w:p>
            <w:pPr>
              <w:spacing w:after="0"/>
              <w:rPr>
                <w:sz w:val="14"/>
                <w:szCs w:val="14"/>
                <w:color w:val="auto"/>
              </w:rPr>
            </w:pP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29,991</w:t>
            </w:r>
          </w:p>
        </w:tc>
        <w:tc>
          <w:tcPr>
            <w:tcW w:w="300" w:type="dxa"/>
            <w:vAlign w:val="bottom"/>
          </w:tcPr>
          <w:p>
            <w:pPr>
              <w:spacing w:after="0"/>
              <w:rPr>
                <w:sz w:val="14"/>
                <w:szCs w:val="14"/>
                <w:color w:val="auto"/>
              </w:rPr>
            </w:pP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90,657</w:t>
            </w:r>
          </w:p>
        </w:tc>
        <w:tc>
          <w:tcPr>
            <w:tcW w:w="30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90,018</w:t>
            </w:r>
          </w:p>
        </w:tc>
      </w:tr>
      <w:tr>
        <w:trPr>
          <w:trHeight w:val="166"/>
        </w:trPr>
        <w:tc>
          <w:tcPr>
            <w:tcW w:w="5100" w:type="dxa"/>
            <w:vAlign w:val="bottom"/>
          </w:tcPr>
          <w:p>
            <w:pPr>
              <w:jc w:val="right"/>
              <w:spacing w:after="0"/>
              <w:rPr>
                <w:sz w:val="20"/>
                <w:szCs w:val="20"/>
                <w:color w:val="auto"/>
              </w:rPr>
            </w:pPr>
            <w:r>
              <w:rPr>
                <w:rFonts w:ascii="Courier New" w:cs="Courier New" w:eastAsia="Courier New" w:hAnsi="Courier New"/>
                <w:sz w:val="14"/>
                <w:szCs w:val="14"/>
                <w:color w:val="auto"/>
              </w:rPr>
              <w:t>Interest expense...........................................</w:t>
            </w:r>
          </w:p>
        </w:tc>
        <w:tc>
          <w:tcPr>
            <w:tcW w:w="34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(4,656)</w:t>
            </w:r>
          </w:p>
        </w:tc>
        <w:tc>
          <w:tcPr>
            <w:tcW w:w="3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(6,177)</w:t>
            </w:r>
          </w:p>
        </w:tc>
        <w:tc>
          <w:tcPr>
            <w:tcW w:w="3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(15,224)</w:t>
            </w:r>
          </w:p>
        </w:tc>
        <w:tc>
          <w:tcPr>
            <w:tcW w:w="3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(17,890)</w:t>
            </w:r>
          </w:p>
        </w:tc>
      </w:tr>
      <w:tr>
        <w:trPr>
          <w:trHeight w:val="166"/>
        </w:trPr>
        <w:tc>
          <w:tcPr>
            <w:tcW w:w="5100" w:type="dxa"/>
            <w:vAlign w:val="bottom"/>
          </w:tcPr>
          <w:p>
            <w:pPr>
              <w:jc w:val="right"/>
              <w:spacing w:after="0"/>
              <w:rPr>
                <w:sz w:val="20"/>
                <w:szCs w:val="20"/>
                <w:color w:val="auto"/>
              </w:rPr>
            </w:pPr>
            <w:r>
              <w:rPr>
                <w:rFonts w:ascii="Courier New" w:cs="Courier New" w:eastAsia="Courier New" w:hAnsi="Courier New"/>
                <w:sz w:val="14"/>
                <w:szCs w:val="14"/>
                <w:color w:val="auto"/>
              </w:rPr>
              <w:t>Other income, net..........................................</w:t>
            </w:r>
          </w:p>
        </w:tc>
        <w:tc>
          <w:tcPr>
            <w:tcW w:w="34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848</w:t>
            </w:r>
          </w:p>
        </w:tc>
        <w:tc>
          <w:tcPr>
            <w:tcW w:w="380" w:type="dxa"/>
            <w:vAlign w:val="bottom"/>
          </w:tcPr>
          <w:p>
            <w:pPr>
              <w:spacing w:after="0"/>
              <w:rPr>
                <w:sz w:val="14"/>
                <w:szCs w:val="14"/>
                <w:color w:val="auto"/>
              </w:rPr>
            </w:pP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3,062</w:t>
            </w:r>
          </w:p>
        </w:tc>
        <w:tc>
          <w:tcPr>
            <w:tcW w:w="300" w:type="dxa"/>
            <w:vAlign w:val="bottom"/>
          </w:tcPr>
          <w:p>
            <w:pPr>
              <w:spacing w:after="0"/>
              <w:rPr>
                <w:sz w:val="14"/>
                <w:szCs w:val="14"/>
                <w:color w:val="auto"/>
              </w:rPr>
            </w:pP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3,916</w:t>
            </w:r>
          </w:p>
        </w:tc>
        <w:tc>
          <w:tcPr>
            <w:tcW w:w="30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4,526</w:t>
            </w:r>
          </w:p>
        </w:tc>
      </w:tr>
      <w:tr>
        <w:trPr>
          <w:trHeight w:val="166"/>
        </w:trPr>
        <w:tc>
          <w:tcPr>
            <w:tcW w:w="5100" w:type="dxa"/>
            <w:vAlign w:val="bottom"/>
          </w:tcPr>
          <w:p>
            <w:pPr>
              <w:spacing w:after="0"/>
              <w:rPr>
                <w:sz w:val="14"/>
                <w:szCs w:val="14"/>
                <w:color w:val="auto"/>
              </w:rPr>
            </w:pPr>
          </w:p>
        </w:tc>
        <w:tc>
          <w:tcPr>
            <w:tcW w:w="15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w w:val="99"/>
              </w:rPr>
              <w:t>----------------</w:t>
            </w:r>
          </w:p>
        </w:tc>
        <w:tc>
          <w:tcPr>
            <w:tcW w:w="16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10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Earnings before income taxes and cumulative</w:t>
            </w: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5100" w:type="dxa"/>
            <w:vAlign w:val="bottom"/>
          </w:tcPr>
          <w:p>
            <w:pPr>
              <w:jc w:val="right"/>
              <w:spacing w:after="0"/>
              <w:rPr>
                <w:sz w:val="20"/>
                <w:szCs w:val="20"/>
                <w:color w:val="auto"/>
              </w:rPr>
            </w:pPr>
            <w:r>
              <w:rPr>
                <w:rFonts w:ascii="Courier New" w:cs="Courier New" w:eastAsia="Courier New" w:hAnsi="Courier New"/>
                <w:sz w:val="14"/>
                <w:szCs w:val="14"/>
                <w:color w:val="auto"/>
              </w:rPr>
              <w:t>effect of change in accounting principle............</w:t>
            </w:r>
          </w:p>
        </w:tc>
        <w:tc>
          <w:tcPr>
            <w:tcW w:w="34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32,719</w:t>
            </w:r>
          </w:p>
        </w:tc>
        <w:tc>
          <w:tcPr>
            <w:tcW w:w="380" w:type="dxa"/>
            <w:vAlign w:val="bottom"/>
          </w:tcPr>
          <w:p>
            <w:pPr>
              <w:spacing w:after="0"/>
              <w:rPr>
                <w:sz w:val="14"/>
                <w:szCs w:val="14"/>
                <w:color w:val="auto"/>
              </w:rPr>
            </w:pP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26,876</w:t>
            </w:r>
          </w:p>
        </w:tc>
        <w:tc>
          <w:tcPr>
            <w:tcW w:w="300" w:type="dxa"/>
            <w:vAlign w:val="bottom"/>
          </w:tcPr>
          <w:p>
            <w:pPr>
              <w:spacing w:after="0"/>
              <w:rPr>
                <w:sz w:val="14"/>
                <w:szCs w:val="14"/>
                <w:color w:val="auto"/>
              </w:rPr>
            </w:pP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79,349</w:t>
            </w:r>
          </w:p>
        </w:tc>
        <w:tc>
          <w:tcPr>
            <w:tcW w:w="30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76,654</w:t>
            </w:r>
          </w:p>
        </w:tc>
      </w:tr>
      <w:tr>
        <w:trPr>
          <w:trHeight w:val="166"/>
        </w:trPr>
        <w:tc>
          <w:tcPr>
            <w:tcW w:w="5100" w:type="dxa"/>
            <w:vAlign w:val="bottom"/>
          </w:tcPr>
          <w:p>
            <w:pPr>
              <w:jc w:val="right"/>
              <w:spacing w:after="0"/>
              <w:rPr>
                <w:sz w:val="20"/>
                <w:szCs w:val="20"/>
                <w:color w:val="auto"/>
              </w:rPr>
            </w:pPr>
            <w:r>
              <w:rPr>
                <w:rFonts w:ascii="Courier New" w:cs="Courier New" w:eastAsia="Courier New" w:hAnsi="Courier New"/>
                <w:sz w:val="14"/>
                <w:szCs w:val="14"/>
                <w:color w:val="auto"/>
              </w:rPr>
              <w:t>Provision for income taxes.................................</w:t>
            </w:r>
          </w:p>
        </w:tc>
        <w:tc>
          <w:tcPr>
            <w:tcW w:w="34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10,797</w:t>
            </w:r>
          </w:p>
        </w:tc>
        <w:tc>
          <w:tcPr>
            <w:tcW w:w="380" w:type="dxa"/>
            <w:vAlign w:val="bottom"/>
          </w:tcPr>
          <w:p>
            <w:pPr>
              <w:spacing w:after="0"/>
              <w:rPr>
                <w:sz w:val="14"/>
                <w:szCs w:val="14"/>
                <w:color w:val="auto"/>
              </w:rPr>
            </w:pP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9,944</w:t>
            </w:r>
          </w:p>
        </w:tc>
        <w:tc>
          <w:tcPr>
            <w:tcW w:w="300" w:type="dxa"/>
            <w:vAlign w:val="bottom"/>
          </w:tcPr>
          <w:p>
            <w:pPr>
              <w:spacing w:after="0"/>
              <w:rPr>
                <w:sz w:val="14"/>
                <w:szCs w:val="14"/>
                <w:color w:val="auto"/>
              </w:rPr>
            </w:pP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24,410</w:t>
            </w:r>
          </w:p>
        </w:tc>
        <w:tc>
          <w:tcPr>
            <w:tcW w:w="30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28,362</w:t>
            </w:r>
          </w:p>
        </w:tc>
      </w:tr>
      <w:tr>
        <w:trPr>
          <w:trHeight w:val="166"/>
        </w:trPr>
        <w:tc>
          <w:tcPr>
            <w:tcW w:w="5100" w:type="dxa"/>
            <w:vAlign w:val="bottom"/>
          </w:tcPr>
          <w:p>
            <w:pPr>
              <w:spacing w:after="0"/>
              <w:rPr>
                <w:sz w:val="14"/>
                <w:szCs w:val="14"/>
                <w:color w:val="auto"/>
              </w:rPr>
            </w:pPr>
          </w:p>
        </w:tc>
        <w:tc>
          <w:tcPr>
            <w:tcW w:w="15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w w:val="99"/>
              </w:rPr>
              <w:t>----------------</w:t>
            </w:r>
          </w:p>
        </w:tc>
        <w:tc>
          <w:tcPr>
            <w:tcW w:w="16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100" w:type="dxa"/>
            <w:vAlign w:val="bottom"/>
          </w:tcPr>
          <w:p>
            <w:pPr>
              <w:jc w:val="right"/>
              <w:ind w:right="1308"/>
              <w:spacing w:after="0"/>
              <w:rPr>
                <w:sz w:val="20"/>
                <w:szCs w:val="20"/>
                <w:color w:val="auto"/>
              </w:rPr>
            </w:pPr>
            <w:r>
              <w:rPr>
                <w:rFonts w:ascii="Courier New" w:cs="Courier New" w:eastAsia="Courier New" w:hAnsi="Courier New"/>
                <w:sz w:val="14"/>
                <w:szCs w:val="14"/>
                <w:color w:val="auto"/>
              </w:rPr>
              <w:t>Earnings before cumulative effect of</w:t>
            </w: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5100" w:type="dxa"/>
            <w:vAlign w:val="bottom"/>
          </w:tcPr>
          <w:p>
            <w:pPr>
              <w:jc w:val="right"/>
              <w:spacing w:after="0"/>
              <w:rPr>
                <w:sz w:val="20"/>
                <w:szCs w:val="20"/>
                <w:color w:val="auto"/>
              </w:rPr>
            </w:pPr>
            <w:r>
              <w:rPr>
                <w:rFonts w:ascii="Courier New" w:cs="Courier New" w:eastAsia="Courier New" w:hAnsi="Courier New"/>
                <w:sz w:val="14"/>
                <w:szCs w:val="14"/>
                <w:color w:val="auto"/>
              </w:rPr>
              <w:t>change in accounting principle....................</w:t>
            </w:r>
          </w:p>
        </w:tc>
        <w:tc>
          <w:tcPr>
            <w:tcW w:w="34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21,922</w:t>
            </w:r>
          </w:p>
        </w:tc>
        <w:tc>
          <w:tcPr>
            <w:tcW w:w="380" w:type="dxa"/>
            <w:vAlign w:val="bottom"/>
          </w:tcPr>
          <w:p>
            <w:pPr>
              <w:spacing w:after="0"/>
              <w:rPr>
                <w:sz w:val="14"/>
                <w:szCs w:val="14"/>
                <w:color w:val="auto"/>
              </w:rPr>
            </w:pP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16,932</w:t>
            </w:r>
          </w:p>
        </w:tc>
        <w:tc>
          <w:tcPr>
            <w:tcW w:w="300" w:type="dxa"/>
            <w:vAlign w:val="bottom"/>
          </w:tcPr>
          <w:p>
            <w:pPr>
              <w:spacing w:after="0"/>
              <w:rPr>
                <w:sz w:val="14"/>
                <w:szCs w:val="14"/>
                <w:color w:val="auto"/>
              </w:rPr>
            </w:pP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54,939</w:t>
            </w:r>
          </w:p>
        </w:tc>
        <w:tc>
          <w:tcPr>
            <w:tcW w:w="30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48,292</w:t>
            </w:r>
          </w:p>
        </w:tc>
      </w:tr>
      <w:tr>
        <w:trPr>
          <w:trHeight w:val="166"/>
        </w:trPr>
        <w:tc>
          <w:tcPr>
            <w:tcW w:w="5100" w:type="dxa"/>
            <w:vAlign w:val="bottom"/>
          </w:tcPr>
          <w:p>
            <w:pPr>
              <w:spacing w:after="0"/>
              <w:rPr>
                <w:sz w:val="20"/>
                <w:szCs w:val="20"/>
                <w:color w:val="auto"/>
              </w:rPr>
            </w:pPr>
            <w:r>
              <w:rPr>
                <w:rFonts w:ascii="Courier New" w:cs="Courier New" w:eastAsia="Courier New" w:hAnsi="Courier New"/>
                <w:sz w:val="14"/>
                <w:szCs w:val="14"/>
                <w:color w:val="auto"/>
              </w:rPr>
              <w:t>Cumulative effect of change in accounting principle,</w:t>
            </w: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5100" w:type="dxa"/>
            <w:vAlign w:val="bottom"/>
          </w:tcPr>
          <w:p>
            <w:pPr>
              <w:jc w:val="right"/>
              <w:spacing w:after="0"/>
              <w:rPr>
                <w:sz w:val="20"/>
                <w:szCs w:val="20"/>
                <w:color w:val="auto"/>
              </w:rPr>
            </w:pPr>
            <w:r>
              <w:rPr>
                <w:rFonts w:ascii="Courier New" w:cs="Courier New" w:eastAsia="Courier New" w:hAnsi="Courier New"/>
                <w:sz w:val="14"/>
                <w:szCs w:val="14"/>
                <w:color w:val="auto"/>
              </w:rPr>
              <w:t>net of income tax benefit of $509......................</w:t>
            </w:r>
          </w:p>
        </w:tc>
        <w:tc>
          <w:tcPr>
            <w:tcW w:w="34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(24,614)</w:t>
            </w:r>
          </w:p>
        </w:tc>
        <w:tc>
          <w:tcPr>
            <w:tcW w:w="30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100" w:type="dxa"/>
            <w:vAlign w:val="bottom"/>
          </w:tcPr>
          <w:p>
            <w:pPr>
              <w:spacing w:after="0"/>
              <w:rPr>
                <w:sz w:val="14"/>
                <w:szCs w:val="14"/>
                <w:color w:val="auto"/>
              </w:rPr>
            </w:pPr>
          </w:p>
        </w:tc>
        <w:tc>
          <w:tcPr>
            <w:tcW w:w="15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w w:val="99"/>
              </w:rPr>
              <w:t>----------------</w:t>
            </w:r>
          </w:p>
        </w:tc>
        <w:tc>
          <w:tcPr>
            <w:tcW w:w="16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100" w:type="dxa"/>
            <w:vAlign w:val="bottom"/>
          </w:tcPr>
          <w:p>
            <w:pPr>
              <w:jc w:val="right"/>
              <w:spacing w:after="0"/>
              <w:rPr>
                <w:sz w:val="20"/>
                <w:szCs w:val="20"/>
                <w:color w:val="auto"/>
              </w:rPr>
            </w:pPr>
            <w:r>
              <w:rPr>
                <w:rFonts w:ascii="Courier New" w:cs="Courier New" w:eastAsia="Courier New" w:hAnsi="Courier New"/>
                <w:sz w:val="14"/>
                <w:szCs w:val="14"/>
                <w:color w:val="auto"/>
              </w:rPr>
              <w:t>Net earnings........................................</w:t>
            </w:r>
          </w:p>
        </w:tc>
        <w:tc>
          <w:tcPr>
            <w:tcW w:w="3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21,922</w:t>
            </w:r>
          </w:p>
        </w:tc>
        <w:tc>
          <w:tcPr>
            <w:tcW w:w="3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16,932</w:t>
            </w:r>
          </w:p>
        </w:tc>
        <w:tc>
          <w:tcPr>
            <w:tcW w:w="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30,325</w:t>
            </w:r>
          </w:p>
        </w:tc>
        <w:tc>
          <w:tcPr>
            <w:tcW w:w="300" w:type="dxa"/>
            <w:vAlign w:val="bottom"/>
          </w:tcPr>
          <w:p>
            <w:pPr>
              <w:jc w:val="center"/>
              <w:ind w:right="68"/>
              <w:spacing w:after="0"/>
              <w:rPr>
                <w:sz w:val="20"/>
                <w:szCs w:val="20"/>
                <w:color w:val="auto"/>
              </w:rPr>
            </w:pPr>
            <w:r>
              <w:rPr>
                <w:rFonts w:ascii="Courier New" w:cs="Courier New" w:eastAsia="Courier New" w:hAnsi="Courier New"/>
                <w:sz w:val="14"/>
                <w:szCs w:val="14"/>
                <w:color w:val="auto"/>
                <w:w w:val="94"/>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48,292</w:t>
            </w:r>
          </w:p>
        </w:tc>
      </w:tr>
      <w:tr>
        <w:trPr>
          <w:trHeight w:val="166"/>
        </w:trPr>
        <w:tc>
          <w:tcPr>
            <w:tcW w:w="5100" w:type="dxa"/>
            <w:vAlign w:val="bottom"/>
          </w:tcPr>
          <w:p>
            <w:pPr>
              <w:spacing w:after="0"/>
              <w:rPr>
                <w:sz w:val="14"/>
                <w:szCs w:val="14"/>
                <w:color w:val="auto"/>
              </w:rPr>
            </w:pPr>
          </w:p>
        </w:tc>
        <w:tc>
          <w:tcPr>
            <w:tcW w:w="15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w w:val="99"/>
              </w:rPr>
              <w:t>================</w:t>
            </w:r>
          </w:p>
        </w:tc>
        <w:tc>
          <w:tcPr>
            <w:tcW w:w="16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100" w:type="dxa"/>
            <w:vAlign w:val="bottom"/>
          </w:tcPr>
          <w:p>
            <w:pPr>
              <w:spacing w:after="0"/>
              <w:rPr>
                <w:sz w:val="20"/>
                <w:szCs w:val="20"/>
                <w:color w:val="auto"/>
              </w:rPr>
            </w:pPr>
            <w:r>
              <w:rPr>
                <w:rFonts w:ascii="Courier New" w:cs="Courier New" w:eastAsia="Courier New" w:hAnsi="Courier New"/>
                <w:sz w:val="14"/>
                <w:szCs w:val="14"/>
                <w:color w:val="auto"/>
              </w:rPr>
              <w:t>Basic net earnings per share of common stock, before</w:t>
            </w: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6"/>
        </w:trPr>
        <w:tc>
          <w:tcPr>
            <w:tcW w:w="5100" w:type="dxa"/>
            <w:vAlign w:val="bottom"/>
          </w:tcPr>
          <w:p>
            <w:pPr>
              <w:jc w:val="right"/>
              <w:spacing w:after="0"/>
              <w:rPr>
                <w:sz w:val="20"/>
                <w:szCs w:val="20"/>
                <w:color w:val="auto"/>
              </w:rPr>
            </w:pPr>
            <w:r>
              <w:rPr>
                <w:rFonts w:ascii="Courier New" w:cs="Courier New" w:eastAsia="Courier New" w:hAnsi="Courier New"/>
                <w:sz w:val="14"/>
                <w:szCs w:val="14"/>
                <w:color w:val="auto"/>
              </w:rPr>
              <w:t>cumulative effect of change in accounting principle....</w:t>
            </w:r>
          </w:p>
        </w:tc>
        <w:tc>
          <w:tcPr>
            <w:tcW w:w="3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1.74</w:t>
            </w:r>
          </w:p>
        </w:tc>
        <w:tc>
          <w:tcPr>
            <w:tcW w:w="3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1.34</w:t>
            </w:r>
          </w:p>
        </w:tc>
        <w:tc>
          <w:tcPr>
            <w:tcW w:w="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4.37</w:t>
            </w:r>
          </w:p>
        </w:tc>
        <w:tc>
          <w:tcPr>
            <w:tcW w:w="300" w:type="dxa"/>
            <w:vAlign w:val="bottom"/>
          </w:tcPr>
          <w:p>
            <w:pPr>
              <w:jc w:val="center"/>
              <w:ind w:right="68"/>
              <w:spacing w:after="0"/>
              <w:rPr>
                <w:sz w:val="20"/>
                <w:szCs w:val="20"/>
                <w:color w:val="auto"/>
              </w:rPr>
            </w:pPr>
            <w:r>
              <w:rPr>
                <w:rFonts w:ascii="Courier New" w:cs="Courier New" w:eastAsia="Courier New" w:hAnsi="Courier New"/>
                <w:sz w:val="14"/>
                <w:szCs w:val="14"/>
                <w:color w:val="auto"/>
                <w:w w:val="94"/>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3.79</w:t>
            </w:r>
          </w:p>
        </w:tc>
      </w:tr>
      <w:tr>
        <w:trPr>
          <w:trHeight w:val="166"/>
        </w:trPr>
        <w:tc>
          <w:tcPr>
            <w:tcW w:w="5100" w:type="dxa"/>
            <w:vAlign w:val="bottom"/>
          </w:tcPr>
          <w:p>
            <w:pPr>
              <w:spacing w:after="0"/>
              <w:rPr>
                <w:sz w:val="20"/>
                <w:szCs w:val="20"/>
                <w:color w:val="auto"/>
              </w:rPr>
            </w:pPr>
            <w:r>
              <w:rPr>
                <w:rFonts w:ascii="Courier New" w:cs="Courier New" w:eastAsia="Courier New" w:hAnsi="Courier New"/>
                <w:sz w:val="14"/>
                <w:szCs w:val="14"/>
                <w:color w:val="auto"/>
              </w:rPr>
              <w:t>Cumulative effect change in accounting principle,</w:t>
            </w: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5100" w:type="dxa"/>
            <w:vAlign w:val="bottom"/>
          </w:tcPr>
          <w:p>
            <w:pPr>
              <w:jc w:val="right"/>
              <w:spacing w:after="0"/>
              <w:rPr>
                <w:sz w:val="20"/>
                <w:szCs w:val="20"/>
                <w:color w:val="auto"/>
              </w:rPr>
            </w:pPr>
            <w:r>
              <w:rPr>
                <w:rFonts w:ascii="Courier New" w:cs="Courier New" w:eastAsia="Courier New" w:hAnsi="Courier New"/>
                <w:sz w:val="14"/>
                <w:szCs w:val="14"/>
                <w:color w:val="auto"/>
              </w:rPr>
              <w:t>net of income tax benefit..............................</w:t>
            </w:r>
          </w:p>
        </w:tc>
        <w:tc>
          <w:tcPr>
            <w:tcW w:w="34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(1.96)</w:t>
            </w:r>
          </w:p>
        </w:tc>
        <w:tc>
          <w:tcPr>
            <w:tcW w:w="30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100" w:type="dxa"/>
            <w:vAlign w:val="bottom"/>
          </w:tcPr>
          <w:p>
            <w:pPr>
              <w:spacing w:after="0"/>
              <w:rPr>
                <w:sz w:val="14"/>
                <w:szCs w:val="14"/>
                <w:color w:val="auto"/>
              </w:rPr>
            </w:pPr>
          </w:p>
        </w:tc>
        <w:tc>
          <w:tcPr>
            <w:tcW w:w="15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100" w:type="dxa"/>
            <w:vAlign w:val="bottom"/>
          </w:tcPr>
          <w:p>
            <w:pPr>
              <w:jc w:val="right"/>
              <w:spacing w:after="0"/>
              <w:rPr>
                <w:sz w:val="20"/>
                <w:szCs w:val="20"/>
                <w:color w:val="auto"/>
              </w:rPr>
            </w:pPr>
            <w:r>
              <w:rPr>
                <w:rFonts w:ascii="Courier New" w:cs="Courier New" w:eastAsia="Courier New" w:hAnsi="Courier New"/>
                <w:sz w:val="14"/>
                <w:szCs w:val="14"/>
                <w:color w:val="auto"/>
              </w:rPr>
              <w:t>Basic net earnings per share of common stock...............</w:t>
            </w:r>
          </w:p>
        </w:tc>
        <w:tc>
          <w:tcPr>
            <w:tcW w:w="3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1.74</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1.34</w:t>
            </w:r>
          </w:p>
        </w:tc>
        <w:tc>
          <w:tcPr>
            <w:tcW w:w="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2.41</w:t>
            </w:r>
          </w:p>
        </w:tc>
        <w:tc>
          <w:tcPr>
            <w:tcW w:w="300" w:type="dxa"/>
            <w:vAlign w:val="bottom"/>
          </w:tcPr>
          <w:p>
            <w:pPr>
              <w:jc w:val="center"/>
              <w:ind w:right="68"/>
              <w:spacing w:after="0"/>
              <w:rPr>
                <w:sz w:val="20"/>
                <w:szCs w:val="20"/>
                <w:color w:val="auto"/>
              </w:rPr>
            </w:pPr>
            <w:r>
              <w:rPr>
                <w:rFonts w:ascii="Courier New" w:cs="Courier New" w:eastAsia="Courier New" w:hAnsi="Courier New"/>
                <w:sz w:val="14"/>
                <w:szCs w:val="14"/>
                <w:color w:val="auto"/>
                <w:w w:val="94"/>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3.79</w:t>
            </w:r>
          </w:p>
        </w:tc>
      </w:tr>
      <w:tr>
        <w:trPr>
          <w:trHeight w:val="166"/>
        </w:trPr>
        <w:tc>
          <w:tcPr>
            <w:tcW w:w="5100" w:type="dxa"/>
            <w:vAlign w:val="bottom"/>
          </w:tcPr>
          <w:p>
            <w:pPr>
              <w:spacing w:after="0"/>
              <w:rPr>
                <w:sz w:val="14"/>
                <w:szCs w:val="14"/>
                <w:color w:val="auto"/>
              </w:rPr>
            </w:pPr>
          </w:p>
        </w:tc>
        <w:tc>
          <w:tcPr>
            <w:tcW w:w="15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100" w:type="dxa"/>
            <w:vAlign w:val="bottom"/>
          </w:tcPr>
          <w:p>
            <w:pPr>
              <w:spacing w:after="0"/>
              <w:rPr>
                <w:sz w:val="20"/>
                <w:szCs w:val="20"/>
                <w:color w:val="auto"/>
              </w:rPr>
            </w:pPr>
            <w:r>
              <w:rPr>
                <w:rFonts w:ascii="Courier New" w:cs="Courier New" w:eastAsia="Courier New" w:hAnsi="Courier New"/>
                <w:sz w:val="14"/>
                <w:szCs w:val="14"/>
                <w:color w:val="auto"/>
              </w:rPr>
              <w:t>Diluted net earnings per share of common stock, before</w:t>
            </w: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6"/>
        </w:trPr>
        <w:tc>
          <w:tcPr>
            <w:tcW w:w="5100" w:type="dxa"/>
            <w:vAlign w:val="bottom"/>
          </w:tcPr>
          <w:p>
            <w:pPr>
              <w:jc w:val="right"/>
              <w:spacing w:after="0"/>
              <w:rPr>
                <w:sz w:val="20"/>
                <w:szCs w:val="20"/>
                <w:color w:val="auto"/>
              </w:rPr>
            </w:pPr>
            <w:r>
              <w:rPr>
                <w:rFonts w:ascii="Courier New" w:cs="Courier New" w:eastAsia="Courier New" w:hAnsi="Courier New"/>
                <w:sz w:val="14"/>
                <w:szCs w:val="14"/>
                <w:color w:val="auto"/>
              </w:rPr>
              <w:t>cumulative effect of change in accounting principle....</w:t>
            </w:r>
          </w:p>
        </w:tc>
        <w:tc>
          <w:tcPr>
            <w:tcW w:w="3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1.68</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1.30</w:t>
            </w:r>
          </w:p>
        </w:tc>
        <w:tc>
          <w:tcPr>
            <w:tcW w:w="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4.24</w:t>
            </w:r>
          </w:p>
        </w:tc>
        <w:tc>
          <w:tcPr>
            <w:tcW w:w="300" w:type="dxa"/>
            <w:vAlign w:val="bottom"/>
          </w:tcPr>
          <w:p>
            <w:pPr>
              <w:jc w:val="center"/>
              <w:ind w:right="68"/>
              <w:spacing w:after="0"/>
              <w:rPr>
                <w:sz w:val="20"/>
                <w:szCs w:val="20"/>
                <w:color w:val="auto"/>
              </w:rPr>
            </w:pPr>
            <w:r>
              <w:rPr>
                <w:rFonts w:ascii="Courier New" w:cs="Courier New" w:eastAsia="Courier New" w:hAnsi="Courier New"/>
                <w:sz w:val="14"/>
                <w:szCs w:val="14"/>
                <w:color w:val="auto"/>
                <w:w w:val="94"/>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3.68</w:t>
            </w:r>
          </w:p>
        </w:tc>
      </w:tr>
      <w:tr>
        <w:trPr>
          <w:trHeight w:val="166"/>
        </w:trPr>
        <w:tc>
          <w:tcPr>
            <w:tcW w:w="5100" w:type="dxa"/>
            <w:vAlign w:val="bottom"/>
          </w:tcPr>
          <w:p>
            <w:pPr>
              <w:spacing w:after="0"/>
              <w:rPr>
                <w:sz w:val="20"/>
                <w:szCs w:val="20"/>
                <w:color w:val="auto"/>
              </w:rPr>
            </w:pPr>
            <w:r>
              <w:rPr>
                <w:rFonts w:ascii="Courier New" w:cs="Courier New" w:eastAsia="Courier New" w:hAnsi="Courier New"/>
                <w:sz w:val="14"/>
                <w:szCs w:val="14"/>
                <w:color w:val="auto"/>
              </w:rPr>
              <w:t>Cumulative effect of change in accounting principle,</w:t>
            </w: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5100" w:type="dxa"/>
            <w:vAlign w:val="bottom"/>
          </w:tcPr>
          <w:p>
            <w:pPr>
              <w:jc w:val="right"/>
              <w:spacing w:after="0"/>
              <w:rPr>
                <w:sz w:val="20"/>
                <w:szCs w:val="20"/>
                <w:color w:val="auto"/>
              </w:rPr>
            </w:pPr>
            <w:r>
              <w:rPr>
                <w:rFonts w:ascii="Courier New" w:cs="Courier New" w:eastAsia="Courier New" w:hAnsi="Courier New"/>
                <w:sz w:val="14"/>
                <w:szCs w:val="14"/>
                <w:color w:val="auto"/>
              </w:rPr>
              <w:t>net of income tax benefit..............................</w:t>
            </w:r>
          </w:p>
        </w:tc>
        <w:tc>
          <w:tcPr>
            <w:tcW w:w="34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(1.90)</w:t>
            </w:r>
          </w:p>
        </w:tc>
        <w:tc>
          <w:tcPr>
            <w:tcW w:w="30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100" w:type="dxa"/>
            <w:vAlign w:val="bottom"/>
          </w:tcPr>
          <w:p>
            <w:pPr>
              <w:spacing w:after="0"/>
              <w:rPr>
                <w:sz w:val="14"/>
                <w:szCs w:val="14"/>
                <w:color w:val="auto"/>
              </w:rPr>
            </w:pPr>
          </w:p>
        </w:tc>
        <w:tc>
          <w:tcPr>
            <w:tcW w:w="15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100" w:type="dxa"/>
            <w:vAlign w:val="bottom"/>
          </w:tcPr>
          <w:p>
            <w:pPr>
              <w:jc w:val="right"/>
              <w:spacing w:after="0"/>
              <w:rPr>
                <w:sz w:val="20"/>
                <w:szCs w:val="20"/>
                <w:color w:val="auto"/>
              </w:rPr>
            </w:pPr>
            <w:r>
              <w:rPr>
                <w:rFonts w:ascii="Courier New" w:cs="Courier New" w:eastAsia="Courier New" w:hAnsi="Courier New"/>
                <w:sz w:val="14"/>
                <w:szCs w:val="14"/>
                <w:color w:val="auto"/>
              </w:rPr>
              <w:t>Diluted net earnings per share of common stock.............</w:t>
            </w:r>
          </w:p>
        </w:tc>
        <w:tc>
          <w:tcPr>
            <w:tcW w:w="3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1.68</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1.30</w:t>
            </w:r>
          </w:p>
        </w:tc>
        <w:tc>
          <w:tcPr>
            <w:tcW w:w="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2.34</w:t>
            </w:r>
          </w:p>
        </w:tc>
        <w:tc>
          <w:tcPr>
            <w:tcW w:w="300" w:type="dxa"/>
            <w:vAlign w:val="bottom"/>
          </w:tcPr>
          <w:p>
            <w:pPr>
              <w:jc w:val="center"/>
              <w:ind w:right="68"/>
              <w:spacing w:after="0"/>
              <w:rPr>
                <w:sz w:val="20"/>
                <w:szCs w:val="20"/>
                <w:color w:val="auto"/>
              </w:rPr>
            </w:pPr>
            <w:r>
              <w:rPr>
                <w:rFonts w:ascii="Courier New" w:cs="Courier New" w:eastAsia="Courier New" w:hAnsi="Courier New"/>
                <w:sz w:val="14"/>
                <w:szCs w:val="14"/>
                <w:color w:val="auto"/>
                <w:w w:val="94"/>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3.68</w:t>
            </w:r>
          </w:p>
        </w:tc>
      </w:tr>
      <w:tr>
        <w:trPr>
          <w:trHeight w:val="166"/>
        </w:trPr>
        <w:tc>
          <w:tcPr>
            <w:tcW w:w="5100" w:type="dxa"/>
            <w:vAlign w:val="bottom"/>
          </w:tcPr>
          <w:p>
            <w:pPr>
              <w:spacing w:after="0"/>
              <w:rPr>
                <w:sz w:val="14"/>
                <w:szCs w:val="14"/>
                <w:color w:val="auto"/>
              </w:rPr>
            </w:pPr>
          </w:p>
        </w:tc>
        <w:tc>
          <w:tcPr>
            <w:tcW w:w="15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497"/>
        </w:trPr>
        <w:tc>
          <w:tcPr>
            <w:tcW w:w="5100" w:type="dxa"/>
            <w:vAlign w:val="bottom"/>
          </w:tcPr>
          <w:p>
            <w:pPr>
              <w:spacing w:after="0"/>
              <w:rPr>
                <w:sz w:val="20"/>
                <w:szCs w:val="20"/>
                <w:color w:val="auto"/>
              </w:rPr>
            </w:pPr>
            <w:r>
              <w:rPr>
                <w:rFonts w:ascii="Courier New" w:cs="Courier New" w:eastAsia="Courier New" w:hAnsi="Courier New"/>
                <w:sz w:val="14"/>
                <w:szCs w:val="14"/>
                <w:color w:val="auto"/>
              </w:rPr>
              <w:t>Weighted average number of shares of common stock</w:t>
            </w: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6"/>
        </w:trPr>
        <w:tc>
          <w:tcPr>
            <w:tcW w:w="5100" w:type="dxa"/>
            <w:vAlign w:val="bottom"/>
          </w:tcPr>
          <w:p>
            <w:pPr>
              <w:jc w:val="right"/>
              <w:spacing w:after="0"/>
              <w:rPr>
                <w:sz w:val="20"/>
                <w:szCs w:val="20"/>
                <w:color w:val="auto"/>
              </w:rPr>
            </w:pPr>
            <w:r>
              <w:rPr>
                <w:rFonts w:ascii="Courier New" w:cs="Courier New" w:eastAsia="Courier New" w:hAnsi="Courier New"/>
                <w:sz w:val="14"/>
                <w:szCs w:val="14"/>
                <w:color w:val="auto"/>
              </w:rPr>
              <w:t>outstanding - Basic.................................</w:t>
            </w:r>
          </w:p>
        </w:tc>
        <w:tc>
          <w:tcPr>
            <w:tcW w:w="34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12,609</w:t>
            </w:r>
          </w:p>
        </w:tc>
        <w:tc>
          <w:tcPr>
            <w:tcW w:w="380" w:type="dxa"/>
            <w:vAlign w:val="bottom"/>
          </w:tcPr>
          <w:p>
            <w:pPr>
              <w:spacing w:after="0"/>
              <w:rPr>
                <w:sz w:val="14"/>
                <w:szCs w:val="14"/>
                <w:color w:val="auto"/>
              </w:rPr>
            </w:pP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12,644</w:t>
            </w:r>
          </w:p>
        </w:tc>
        <w:tc>
          <w:tcPr>
            <w:tcW w:w="300" w:type="dxa"/>
            <w:vAlign w:val="bottom"/>
          </w:tcPr>
          <w:p>
            <w:pPr>
              <w:spacing w:after="0"/>
              <w:rPr>
                <w:sz w:val="14"/>
                <w:szCs w:val="14"/>
                <w:color w:val="auto"/>
              </w:rPr>
            </w:pP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12,568</w:t>
            </w:r>
          </w:p>
        </w:tc>
        <w:tc>
          <w:tcPr>
            <w:tcW w:w="30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12,741</w:t>
            </w:r>
          </w:p>
        </w:tc>
      </w:tr>
      <w:tr>
        <w:trPr>
          <w:trHeight w:val="331"/>
        </w:trPr>
        <w:tc>
          <w:tcPr>
            <w:tcW w:w="5100" w:type="dxa"/>
            <w:vAlign w:val="bottom"/>
          </w:tcPr>
          <w:p>
            <w:pPr>
              <w:spacing w:after="0"/>
              <w:rPr>
                <w:sz w:val="20"/>
                <w:szCs w:val="20"/>
                <w:color w:val="auto"/>
              </w:rPr>
            </w:pPr>
            <w:r>
              <w:rPr>
                <w:rFonts w:ascii="Courier New" w:cs="Courier New" w:eastAsia="Courier New" w:hAnsi="Courier New"/>
                <w:sz w:val="14"/>
                <w:szCs w:val="14"/>
                <w:color w:val="auto"/>
              </w:rPr>
              <w:t>Weighted average number of shares of common stock</w:t>
            </w: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6"/>
        </w:trPr>
        <w:tc>
          <w:tcPr>
            <w:tcW w:w="5100" w:type="dxa"/>
            <w:vAlign w:val="bottom"/>
          </w:tcPr>
          <w:p>
            <w:pPr>
              <w:jc w:val="right"/>
              <w:spacing w:after="0"/>
              <w:rPr>
                <w:sz w:val="20"/>
                <w:szCs w:val="20"/>
                <w:color w:val="auto"/>
              </w:rPr>
            </w:pPr>
            <w:r>
              <w:rPr>
                <w:rFonts w:ascii="Courier New" w:cs="Courier New" w:eastAsia="Courier New" w:hAnsi="Courier New"/>
                <w:sz w:val="14"/>
                <w:szCs w:val="14"/>
                <w:color w:val="auto"/>
              </w:rPr>
              <w:t>outstanding - Dilutive..............................</w:t>
            </w:r>
          </w:p>
        </w:tc>
        <w:tc>
          <w:tcPr>
            <w:tcW w:w="34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13,049</w:t>
            </w:r>
          </w:p>
        </w:tc>
        <w:tc>
          <w:tcPr>
            <w:tcW w:w="380" w:type="dxa"/>
            <w:vAlign w:val="bottom"/>
          </w:tcPr>
          <w:p>
            <w:pPr>
              <w:spacing w:after="0"/>
              <w:rPr>
                <w:sz w:val="14"/>
                <w:szCs w:val="14"/>
                <w:color w:val="auto"/>
              </w:rPr>
            </w:pP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13,009</w:t>
            </w:r>
          </w:p>
        </w:tc>
        <w:tc>
          <w:tcPr>
            <w:tcW w:w="300" w:type="dxa"/>
            <w:vAlign w:val="bottom"/>
          </w:tcPr>
          <w:p>
            <w:pPr>
              <w:spacing w:after="0"/>
              <w:rPr>
                <w:sz w:val="14"/>
                <w:szCs w:val="14"/>
                <w:color w:val="auto"/>
              </w:rPr>
            </w:pP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12,960</w:t>
            </w:r>
          </w:p>
        </w:tc>
        <w:tc>
          <w:tcPr>
            <w:tcW w:w="30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13,108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 to condensed consolidated financial statements.</w:t>
      </w:r>
    </w:p>
    <w:p>
      <w:pPr>
        <w:spacing w:after="0" w:line="200" w:lineRule="exact"/>
        <w:rPr>
          <w:sz w:val="20"/>
          <w:szCs w:val="20"/>
          <w:color w:val="auto"/>
        </w:rPr>
      </w:pPr>
    </w:p>
    <w:p>
      <w:pPr>
        <w:spacing w:after="0" w:line="30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1380"/>
          </w:cols>
          <w:pgMar w:left="220" w:top="1113" w:right="299" w:bottom="1440" w:gutter="0" w:footer="0" w:header="0"/>
        </w:sectPr>
      </w:pPr>
    </w:p>
    <w:bookmarkStart w:id="3" w:name="page4"/>
    <w:bookmarkEnd w:id="3"/>
    <w:p>
      <w:pPr>
        <w:jc w:val="center"/>
        <w:ind w:right="4380"/>
        <w:spacing w:after="0"/>
        <w:rPr>
          <w:sz w:val="20"/>
          <w:szCs w:val="20"/>
          <w:color w:val="auto"/>
        </w:rPr>
      </w:pPr>
      <w:r>
        <w:rPr>
          <w:rFonts w:ascii="Courier New" w:cs="Courier New" w:eastAsia="Courier New" w:hAnsi="Courier New"/>
          <w:sz w:val="14"/>
          <w:szCs w:val="14"/>
          <w:color w:val="auto"/>
        </w:rPr>
        <w:t>THE TORO COMPANY AND SUBSIDIARIES</w:t>
      </w:r>
    </w:p>
    <w:p>
      <w:pPr>
        <w:spacing w:after="0" w:line="7" w:lineRule="exact"/>
        <w:rPr>
          <w:sz w:val="20"/>
          <w:szCs w:val="20"/>
          <w:color w:val="auto"/>
        </w:rPr>
      </w:pPr>
    </w:p>
    <w:p>
      <w:pPr>
        <w:jc w:val="center"/>
        <w:ind w:right="4380"/>
        <w:spacing w:after="0"/>
        <w:rPr>
          <w:sz w:val="20"/>
          <w:szCs w:val="20"/>
          <w:color w:val="auto"/>
        </w:rPr>
      </w:pPr>
      <w:r>
        <w:rPr>
          <w:rFonts w:ascii="Courier New" w:cs="Courier New" w:eastAsia="Courier New" w:hAnsi="Courier New"/>
          <w:sz w:val="14"/>
          <w:szCs w:val="14"/>
          <w:color w:val="auto"/>
        </w:rPr>
        <w:t>CONDENSED CONSOLIDATED BALANCE SHEETS (UNAUDITED)</w:t>
      </w:r>
    </w:p>
    <w:p>
      <w:pPr>
        <w:spacing w:after="0" w:line="7" w:lineRule="exact"/>
        <w:rPr>
          <w:sz w:val="20"/>
          <w:szCs w:val="20"/>
          <w:color w:val="auto"/>
        </w:rPr>
      </w:pPr>
    </w:p>
    <w:p>
      <w:pPr>
        <w:jc w:val="center"/>
        <w:ind w:right="4380"/>
        <w:spacing w:after="0"/>
        <w:rPr>
          <w:sz w:val="20"/>
          <w:szCs w:val="20"/>
          <w:color w:val="auto"/>
        </w:rPr>
      </w:pPr>
      <w:r>
        <w:rPr>
          <w:rFonts w:ascii="Courier New" w:cs="Courier New" w:eastAsia="Courier New" w:hAnsi="Courier New"/>
          <w:sz w:val="14"/>
          <w:szCs w:val="14"/>
          <w:color w:val="auto"/>
        </w:rPr>
        <w:t>(DOLLARS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August 2,</w:t>
            </w:r>
          </w:p>
        </w:tc>
        <w:tc>
          <w:tcPr>
            <w:tcW w:w="380" w:type="dxa"/>
            <w:vAlign w:val="bottom"/>
          </w:tcPr>
          <w:p>
            <w:pPr>
              <w:spacing w:after="0"/>
              <w:rPr>
                <w:sz w:val="14"/>
                <w:szCs w:val="14"/>
                <w:color w:val="auto"/>
              </w:rPr>
            </w:pPr>
          </w:p>
        </w:tc>
        <w:tc>
          <w:tcPr>
            <w:tcW w:w="14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August 3,</w:t>
            </w:r>
          </w:p>
        </w:tc>
        <w:tc>
          <w:tcPr>
            <w:tcW w:w="340" w:type="dxa"/>
            <w:vAlign w:val="bottom"/>
          </w:tcPr>
          <w:p>
            <w:pPr>
              <w:spacing w:after="0"/>
              <w:rPr>
                <w:sz w:val="14"/>
                <w:szCs w:val="14"/>
                <w:color w:val="auto"/>
              </w:rPr>
            </w:pP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October 31,</w:t>
            </w:r>
          </w:p>
        </w:tc>
      </w:tr>
      <w:tr>
        <w:trPr>
          <w:trHeight w:val="166"/>
        </w:trPr>
        <w:tc>
          <w:tcPr>
            <w:tcW w:w="6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2002</w:t>
            </w:r>
          </w:p>
        </w:tc>
        <w:tc>
          <w:tcPr>
            <w:tcW w:w="380" w:type="dxa"/>
            <w:vAlign w:val="bottom"/>
          </w:tcPr>
          <w:p>
            <w:pPr>
              <w:spacing w:after="0"/>
              <w:rPr>
                <w:sz w:val="14"/>
                <w:szCs w:val="14"/>
                <w:color w:val="auto"/>
              </w:rPr>
            </w:pPr>
          </w:p>
        </w:tc>
        <w:tc>
          <w:tcPr>
            <w:tcW w:w="14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2001</w:t>
            </w:r>
          </w:p>
        </w:tc>
        <w:tc>
          <w:tcPr>
            <w:tcW w:w="340" w:type="dxa"/>
            <w:vAlign w:val="bottom"/>
          </w:tcPr>
          <w:p>
            <w:pPr>
              <w:spacing w:after="0"/>
              <w:rPr>
                <w:sz w:val="14"/>
                <w:szCs w:val="14"/>
                <w:color w:val="auto"/>
              </w:rPr>
            </w:pPr>
          </w:p>
        </w:tc>
        <w:tc>
          <w:tcPr>
            <w:tcW w:w="14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2001</w:t>
            </w:r>
          </w:p>
        </w:tc>
      </w:tr>
      <w:tr>
        <w:trPr>
          <w:trHeight w:val="166"/>
        </w:trPr>
        <w:tc>
          <w:tcPr>
            <w:tcW w:w="6040" w:type="dxa"/>
            <w:vAlign w:val="bottom"/>
          </w:tcPr>
          <w:p>
            <w:pPr>
              <w:spacing w:after="0"/>
              <w:rPr>
                <w:sz w:val="14"/>
                <w:szCs w:val="14"/>
                <w:color w:val="auto"/>
              </w:rPr>
            </w:pPr>
          </w:p>
        </w:tc>
        <w:tc>
          <w:tcPr>
            <w:tcW w:w="17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7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w:t>
            </w:r>
          </w:p>
        </w:tc>
      </w:tr>
      <w:tr>
        <w:trPr>
          <w:trHeight w:val="331"/>
        </w:trPr>
        <w:tc>
          <w:tcPr>
            <w:tcW w:w="604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6040" w:type="dxa"/>
            <w:vAlign w:val="bottom"/>
          </w:tcPr>
          <w:p>
            <w:pPr>
              <w:spacing w:after="0"/>
              <w:rPr>
                <w:sz w:val="20"/>
                <w:szCs w:val="20"/>
                <w:color w:val="auto"/>
              </w:rPr>
            </w:pPr>
            <w:r>
              <w:rPr>
                <w:rFonts w:ascii="Courier New" w:cs="Courier New" w:eastAsia="Courier New" w:hAnsi="Courier New"/>
                <w:sz w:val="14"/>
                <w:szCs w:val="14"/>
                <w:color w:val="auto"/>
              </w:rPr>
              <w:t>Cash and cash equivalents.............................................</w:t>
            </w:r>
          </w:p>
        </w:tc>
        <w:tc>
          <w:tcPr>
            <w:tcW w:w="42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70"/>
              </w:rPr>
              <w: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90</w:t>
            </w:r>
          </w:p>
        </w:tc>
        <w:tc>
          <w:tcPr>
            <w:tcW w:w="34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12,876</w:t>
            </w:r>
          </w:p>
        </w:tc>
      </w:tr>
      <w:tr>
        <w:trPr>
          <w:trHeight w:val="166"/>
        </w:trPr>
        <w:tc>
          <w:tcPr>
            <w:tcW w:w="6040" w:type="dxa"/>
            <w:vAlign w:val="bottom"/>
          </w:tcPr>
          <w:p>
            <w:pPr>
              <w:spacing w:after="0"/>
              <w:rPr>
                <w:sz w:val="20"/>
                <w:szCs w:val="20"/>
                <w:color w:val="auto"/>
              </w:rPr>
            </w:pPr>
            <w:r>
              <w:rPr>
                <w:rFonts w:ascii="Courier New" w:cs="Courier New" w:eastAsia="Courier New" w:hAnsi="Courier New"/>
                <w:sz w:val="14"/>
                <w:szCs w:val="14"/>
                <w:color w:val="auto"/>
              </w:rPr>
              <w:t>Receivables, net......................................................</w:t>
            </w:r>
          </w:p>
        </w:tc>
        <w:tc>
          <w:tcPr>
            <w:tcW w:w="42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341,891</w:t>
            </w:r>
          </w:p>
        </w:tc>
        <w:tc>
          <w:tcPr>
            <w:tcW w:w="380" w:type="dxa"/>
            <w:vAlign w:val="bottom"/>
          </w:tcPr>
          <w:p>
            <w:pPr>
              <w:spacing w:after="0"/>
              <w:rPr>
                <w:sz w:val="14"/>
                <w:szCs w:val="14"/>
                <w:color w:val="auto"/>
              </w:rPr>
            </w:pP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335,697</w:t>
            </w:r>
          </w:p>
        </w:tc>
        <w:tc>
          <w:tcPr>
            <w:tcW w:w="340" w:type="dxa"/>
            <w:vAlign w:val="bottom"/>
          </w:tcPr>
          <w:p>
            <w:pPr>
              <w:spacing w:after="0"/>
              <w:rPr>
                <w:sz w:val="14"/>
                <w:szCs w:val="14"/>
                <w:color w:val="auto"/>
              </w:rPr>
            </w:pP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271,677</w:t>
            </w:r>
          </w:p>
        </w:tc>
      </w:tr>
      <w:tr>
        <w:trPr>
          <w:trHeight w:val="166"/>
        </w:trPr>
        <w:tc>
          <w:tcPr>
            <w:tcW w:w="6040" w:type="dxa"/>
            <w:vAlign w:val="bottom"/>
          </w:tcPr>
          <w:p>
            <w:pPr>
              <w:spacing w:after="0"/>
              <w:rPr>
                <w:sz w:val="20"/>
                <w:szCs w:val="20"/>
                <w:color w:val="auto"/>
              </w:rPr>
            </w:pPr>
            <w:r>
              <w:rPr>
                <w:rFonts w:ascii="Courier New" w:cs="Courier New" w:eastAsia="Courier New" w:hAnsi="Courier New"/>
                <w:sz w:val="14"/>
                <w:szCs w:val="14"/>
                <w:color w:val="auto"/>
              </w:rPr>
              <w:t>Inventories, net......................................................</w:t>
            </w:r>
          </w:p>
        </w:tc>
        <w:tc>
          <w:tcPr>
            <w:tcW w:w="42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209,320</w:t>
            </w:r>
          </w:p>
        </w:tc>
        <w:tc>
          <w:tcPr>
            <w:tcW w:w="380" w:type="dxa"/>
            <w:vAlign w:val="bottom"/>
          </w:tcPr>
          <w:p>
            <w:pPr>
              <w:spacing w:after="0"/>
              <w:rPr>
                <w:sz w:val="14"/>
                <w:szCs w:val="14"/>
                <w:color w:val="auto"/>
              </w:rPr>
            </w:pP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245,569</w:t>
            </w:r>
          </w:p>
        </w:tc>
        <w:tc>
          <w:tcPr>
            <w:tcW w:w="340" w:type="dxa"/>
            <w:vAlign w:val="bottom"/>
          </w:tcPr>
          <w:p>
            <w:pPr>
              <w:spacing w:after="0"/>
              <w:rPr>
                <w:sz w:val="14"/>
                <w:szCs w:val="14"/>
                <w:color w:val="auto"/>
              </w:rPr>
            </w:pP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234,661</w:t>
            </w:r>
          </w:p>
        </w:tc>
      </w:tr>
      <w:tr>
        <w:trPr>
          <w:trHeight w:val="166"/>
        </w:trPr>
        <w:tc>
          <w:tcPr>
            <w:tcW w:w="6040" w:type="dxa"/>
            <w:vAlign w:val="bottom"/>
          </w:tcPr>
          <w:p>
            <w:pPr>
              <w:spacing w:after="0"/>
              <w:rPr>
                <w:sz w:val="20"/>
                <w:szCs w:val="20"/>
                <w:color w:val="auto"/>
              </w:rPr>
            </w:pPr>
            <w:r>
              <w:rPr>
                <w:rFonts w:ascii="Courier New" w:cs="Courier New" w:eastAsia="Courier New" w:hAnsi="Courier New"/>
                <w:sz w:val="14"/>
                <w:szCs w:val="14"/>
                <w:color w:val="auto"/>
              </w:rPr>
              <w:t>Prepaid expenses and other current assets.............................</w:t>
            </w:r>
          </w:p>
        </w:tc>
        <w:tc>
          <w:tcPr>
            <w:tcW w:w="42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10,832</w:t>
            </w:r>
          </w:p>
        </w:tc>
        <w:tc>
          <w:tcPr>
            <w:tcW w:w="380" w:type="dxa"/>
            <w:vAlign w:val="bottom"/>
          </w:tcPr>
          <w:p>
            <w:pPr>
              <w:spacing w:after="0"/>
              <w:rPr>
                <w:sz w:val="14"/>
                <w:szCs w:val="14"/>
                <w:color w:val="auto"/>
              </w:rPr>
            </w:pP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10,544</w:t>
            </w:r>
          </w:p>
        </w:tc>
        <w:tc>
          <w:tcPr>
            <w:tcW w:w="340" w:type="dxa"/>
            <w:vAlign w:val="bottom"/>
          </w:tcPr>
          <w:p>
            <w:pPr>
              <w:spacing w:after="0"/>
              <w:rPr>
                <w:sz w:val="14"/>
                <w:szCs w:val="14"/>
                <w:color w:val="auto"/>
              </w:rPr>
            </w:pP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11,052</w:t>
            </w:r>
          </w:p>
        </w:tc>
      </w:tr>
      <w:tr>
        <w:trPr>
          <w:trHeight w:val="166"/>
        </w:trPr>
        <w:tc>
          <w:tcPr>
            <w:tcW w:w="6040" w:type="dxa"/>
            <w:vAlign w:val="bottom"/>
          </w:tcPr>
          <w:p>
            <w:pPr>
              <w:spacing w:after="0"/>
              <w:rPr>
                <w:sz w:val="20"/>
                <w:szCs w:val="20"/>
                <w:color w:val="auto"/>
              </w:rPr>
            </w:pPr>
            <w:r>
              <w:rPr>
                <w:rFonts w:ascii="Courier New" w:cs="Courier New" w:eastAsia="Courier New" w:hAnsi="Courier New"/>
                <w:sz w:val="14"/>
                <w:szCs w:val="14"/>
                <w:color w:val="auto"/>
              </w:rPr>
              <w:t>Deferred income taxes.................................................</w:t>
            </w:r>
          </w:p>
        </w:tc>
        <w:tc>
          <w:tcPr>
            <w:tcW w:w="42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36,477</w:t>
            </w:r>
          </w:p>
        </w:tc>
        <w:tc>
          <w:tcPr>
            <w:tcW w:w="380" w:type="dxa"/>
            <w:vAlign w:val="bottom"/>
          </w:tcPr>
          <w:p>
            <w:pPr>
              <w:spacing w:after="0"/>
              <w:rPr>
                <w:sz w:val="14"/>
                <w:szCs w:val="14"/>
                <w:color w:val="auto"/>
              </w:rPr>
            </w:pP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45,000</w:t>
            </w:r>
          </w:p>
        </w:tc>
        <w:tc>
          <w:tcPr>
            <w:tcW w:w="340" w:type="dxa"/>
            <w:vAlign w:val="bottom"/>
          </w:tcPr>
          <w:p>
            <w:pPr>
              <w:spacing w:after="0"/>
              <w:rPr>
                <w:sz w:val="14"/>
                <w:szCs w:val="14"/>
                <w:color w:val="auto"/>
              </w:rPr>
            </w:pP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33,927</w:t>
            </w:r>
          </w:p>
        </w:tc>
      </w:tr>
      <w:tr>
        <w:trPr>
          <w:trHeight w:val="166"/>
        </w:trPr>
        <w:tc>
          <w:tcPr>
            <w:tcW w:w="6040" w:type="dxa"/>
            <w:vAlign w:val="bottom"/>
          </w:tcPr>
          <w:p>
            <w:pPr>
              <w:spacing w:after="0"/>
              <w:rPr>
                <w:sz w:val="14"/>
                <w:szCs w:val="14"/>
                <w:color w:val="auto"/>
              </w:rPr>
            </w:pPr>
          </w:p>
        </w:tc>
        <w:tc>
          <w:tcPr>
            <w:tcW w:w="17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7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w:t>
            </w:r>
          </w:p>
        </w:tc>
      </w:tr>
      <w:tr>
        <w:trPr>
          <w:trHeight w:val="166"/>
        </w:trPr>
        <w:tc>
          <w:tcPr>
            <w:tcW w:w="6040" w:type="dxa"/>
            <w:vAlign w:val="bottom"/>
          </w:tcPr>
          <w:p>
            <w:pPr>
              <w:ind w:left="700"/>
              <w:spacing w:after="0"/>
              <w:rPr>
                <w:sz w:val="20"/>
                <w:szCs w:val="20"/>
                <w:color w:val="auto"/>
              </w:rPr>
            </w:pPr>
            <w:r>
              <w:rPr>
                <w:rFonts w:ascii="Courier New" w:cs="Courier New" w:eastAsia="Courier New" w:hAnsi="Courier New"/>
                <w:sz w:val="14"/>
                <w:szCs w:val="14"/>
                <w:color w:val="auto"/>
              </w:rPr>
              <w:t>Total current assets..........................................</w:t>
            </w:r>
          </w:p>
        </w:tc>
        <w:tc>
          <w:tcPr>
            <w:tcW w:w="42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598,526</w:t>
            </w:r>
          </w:p>
        </w:tc>
        <w:tc>
          <w:tcPr>
            <w:tcW w:w="380" w:type="dxa"/>
            <w:vAlign w:val="bottom"/>
          </w:tcPr>
          <w:p>
            <w:pPr>
              <w:spacing w:after="0"/>
              <w:rPr>
                <w:sz w:val="14"/>
                <w:szCs w:val="14"/>
                <w:color w:val="auto"/>
              </w:rPr>
            </w:pP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636,900</w:t>
            </w:r>
          </w:p>
        </w:tc>
        <w:tc>
          <w:tcPr>
            <w:tcW w:w="340" w:type="dxa"/>
            <w:vAlign w:val="bottom"/>
          </w:tcPr>
          <w:p>
            <w:pPr>
              <w:spacing w:after="0"/>
              <w:rPr>
                <w:sz w:val="14"/>
                <w:szCs w:val="14"/>
                <w:color w:val="auto"/>
              </w:rPr>
            </w:pP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564,193</w:t>
            </w:r>
          </w:p>
        </w:tc>
      </w:tr>
      <w:tr>
        <w:trPr>
          <w:trHeight w:val="166"/>
        </w:trPr>
        <w:tc>
          <w:tcPr>
            <w:tcW w:w="6040" w:type="dxa"/>
            <w:vAlign w:val="bottom"/>
          </w:tcPr>
          <w:p>
            <w:pPr>
              <w:spacing w:after="0"/>
              <w:rPr>
                <w:sz w:val="14"/>
                <w:szCs w:val="14"/>
                <w:color w:val="auto"/>
              </w:rPr>
            </w:pPr>
          </w:p>
        </w:tc>
        <w:tc>
          <w:tcPr>
            <w:tcW w:w="17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7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040" w:type="dxa"/>
            <w:vAlign w:val="bottom"/>
          </w:tcPr>
          <w:p>
            <w:pPr>
              <w:spacing w:after="0"/>
              <w:rPr>
                <w:sz w:val="20"/>
                <w:szCs w:val="20"/>
                <w:color w:val="auto"/>
              </w:rPr>
            </w:pPr>
            <w:r>
              <w:rPr>
                <w:rFonts w:ascii="Courier New" w:cs="Courier New" w:eastAsia="Courier New" w:hAnsi="Courier New"/>
                <w:sz w:val="14"/>
                <w:szCs w:val="14"/>
                <w:color w:val="auto"/>
              </w:rPr>
              <w:t>Property, plant, and equipment........................................</w:t>
            </w:r>
          </w:p>
        </w:tc>
        <w:tc>
          <w:tcPr>
            <w:tcW w:w="420" w:type="dxa"/>
            <w:vAlign w:val="bottom"/>
          </w:tcPr>
          <w:p>
            <w:pPr>
              <w:spacing w:after="0"/>
              <w:rPr>
                <w:sz w:val="24"/>
                <w:szCs w:val="2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432,416</w:t>
            </w:r>
          </w:p>
        </w:tc>
        <w:tc>
          <w:tcPr>
            <w:tcW w:w="380" w:type="dxa"/>
            <w:vAlign w:val="bottom"/>
          </w:tcPr>
          <w:p>
            <w:pPr>
              <w:spacing w:after="0"/>
              <w:rPr>
                <w:sz w:val="24"/>
                <w:szCs w:val="24"/>
                <w:color w:val="auto"/>
              </w:rPr>
            </w:pP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394,721</w:t>
            </w:r>
          </w:p>
        </w:tc>
        <w:tc>
          <w:tcPr>
            <w:tcW w:w="340" w:type="dxa"/>
            <w:vAlign w:val="bottom"/>
          </w:tcPr>
          <w:p>
            <w:pPr>
              <w:spacing w:after="0"/>
              <w:rPr>
                <w:sz w:val="24"/>
                <w:szCs w:val="24"/>
                <w:color w:val="auto"/>
              </w:rPr>
            </w:pP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401,943</w:t>
            </w:r>
          </w:p>
        </w:tc>
      </w:tr>
      <w:tr>
        <w:trPr>
          <w:trHeight w:val="166"/>
        </w:trPr>
        <w:tc>
          <w:tcPr>
            <w:tcW w:w="6040" w:type="dxa"/>
            <w:vAlign w:val="bottom"/>
          </w:tcPr>
          <w:p>
            <w:pPr>
              <w:ind w:left="700"/>
              <w:spacing w:after="0"/>
              <w:rPr>
                <w:sz w:val="20"/>
                <w:szCs w:val="20"/>
                <w:color w:val="auto"/>
              </w:rPr>
            </w:pPr>
            <w:r>
              <w:rPr>
                <w:rFonts w:ascii="Courier New" w:cs="Courier New" w:eastAsia="Courier New" w:hAnsi="Courier New"/>
                <w:sz w:val="14"/>
                <w:szCs w:val="14"/>
                <w:color w:val="auto"/>
              </w:rPr>
              <w:t>Less accumulated depreciation.................................</w:t>
            </w:r>
          </w:p>
        </w:tc>
        <w:tc>
          <w:tcPr>
            <w:tcW w:w="42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277,901</w:t>
            </w:r>
          </w:p>
        </w:tc>
        <w:tc>
          <w:tcPr>
            <w:tcW w:w="380" w:type="dxa"/>
            <w:vAlign w:val="bottom"/>
          </w:tcPr>
          <w:p>
            <w:pPr>
              <w:spacing w:after="0"/>
              <w:rPr>
                <w:sz w:val="14"/>
                <w:szCs w:val="14"/>
                <w:color w:val="auto"/>
              </w:rPr>
            </w:pP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256,576</w:t>
            </w:r>
          </w:p>
        </w:tc>
        <w:tc>
          <w:tcPr>
            <w:tcW w:w="340" w:type="dxa"/>
            <w:vAlign w:val="bottom"/>
          </w:tcPr>
          <w:p>
            <w:pPr>
              <w:spacing w:after="0"/>
              <w:rPr>
                <w:sz w:val="14"/>
                <w:szCs w:val="14"/>
                <w:color w:val="auto"/>
              </w:rPr>
            </w:pP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259,698</w:t>
            </w:r>
          </w:p>
        </w:tc>
      </w:tr>
      <w:tr>
        <w:trPr>
          <w:trHeight w:val="166"/>
        </w:trPr>
        <w:tc>
          <w:tcPr>
            <w:tcW w:w="6040" w:type="dxa"/>
            <w:vAlign w:val="bottom"/>
          </w:tcPr>
          <w:p>
            <w:pPr>
              <w:spacing w:after="0"/>
              <w:rPr>
                <w:sz w:val="14"/>
                <w:szCs w:val="14"/>
                <w:color w:val="auto"/>
              </w:rPr>
            </w:pPr>
          </w:p>
        </w:tc>
        <w:tc>
          <w:tcPr>
            <w:tcW w:w="17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7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154,515</w:t>
            </w:r>
          </w:p>
        </w:tc>
        <w:tc>
          <w:tcPr>
            <w:tcW w:w="380" w:type="dxa"/>
            <w:vAlign w:val="bottom"/>
          </w:tcPr>
          <w:p>
            <w:pPr>
              <w:spacing w:after="0"/>
              <w:rPr>
                <w:sz w:val="14"/>
                <w:szCs w:val="14"/>
                <w:color w:val="auto"/>
              </w:rPr>
            </w:pP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138,145</w:t>
            </w:r>
          </w:p>
        </w:tc>
        <w:tc>
          <w:tcPr>
            <w:tcW w:w="340" w:type="dxa"/>
            <w:vAlign w:val="bottom"/>
          </w:tcPr>
          <w:p>
            <w:pPr>
              <w:spacing w:after="0"/>
              <w:rPr>
                <w:sz w:val="14"/>
                <w:szCs w:val="14"/>
                <w:color w:val="auto"/>
              </w:rPr>
            </w:pP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142,245</w:t>
            </w:r>
          </w:p>
        </w:tc>
      </w:tr>
      <w:tr>
        <w:trPr>
          <w:trHeight w:val="331"/>
        </w:trPr>
        <w:tc>
          <w:tcPr>
            <w:tcW w:w="6040" w:type="dxa"/>
            <w:vAlign w:val="bottom"/>
          </w:tcPr>
          <w:p>
            <w:pPr>
              <w:spacing w:after="0"/>
              <w:rPr>
                <w:sz w:val="20"/>
                <w:szCs w:val="20"/>
                <w:color w:val="auto"/>
              </w:rPr>
            </w:pPr>
            <w:r>
              <w:rPr>
                <w:rFonts w:ascii="Courier New" w:cs="Courier New" w:eastAsia="Courier New" w:hAnsi="Courier New"/>
                <w:sz w:val="14"/>
                <w:szCs w:val="14"/>
                <w:color w:val="auto"/>
              </w:rPr>
              <w:t>Deferred income taxes.................................................</w:t>
            </w:r>
          </w:p>
        </w:tc>
        <w:tc>
          <w:tcPr>
            <w:tcW w:w="420" w:type="dxa"/>
            <w:vAlign w:val="bottom"/>
          </w:tcPr>
          <w:p>
            <w:pPr>
              <w:spacing w:after="0"/>
              <w:rPr>
                <w:sz w:val="24"/>
                <w:szCs w:val="2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9,721</w:t>
            </w:r>
          </w:p>
        </w:tc>
        <w:tc>
          <w:tcPr>
            <w:tcW w:w="380" w:type="dxa"/>
            <w:vAlign w:val="bottom"/>
          </w:tcPr>
          <w:p>
            <w:pPr>
              <w:spacing w:after="0"/>
              <w:rPr>
                <w:sz w:val="24"/>
                <w:szCs w:val="24"/>
                <w:color w:val="auto"/>
              </w:rPr>
            </w:pP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9,883</w:t>
            </w:r>
          </w:p>
        </w:tc>
        <w:tc>
          <w:tcPr>
            <w:tcW w:w="340" w:type="dxa"/>
            <w:vAlign w:val="bottom"/>
          </w:tcPr>
          <w:p>
            <w:pPr>
              <w:spacing w:after="0"/>
              <w:rPr>
                <w:sz w:val="24"/>
                <w:szCs w:val="24"/>
                <w:color w:val="auto"/>
              </w:rPr>
            </w:pP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9,721</w:t>
            </w:r>
          </w:p>
        </w:tc>
      </w:tr>
      <w:tr>
        <w:trPr>
          <w:trHeight w:val="166"/>
        </w:trPr>
        <w:tc>
          <w:tcPr>
            <w:tcW w:w="604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42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14,021</w:t>
            </w:r>
          </w:p>
        </w:tc>
        <w:tc>
          <w:tcPr>
            <w:tcW w:w="380" w:type="dxa"/>
            <w:vAlign w:val="bottom"/>
          </w:tcPr>
          <w:p>
            <w:pPr>
              <w:spacing w:after="0"/>
              <w:rPr>
                <w:sz w:val="14"/>
                <w:szCs w:val="14"/>
                <w:color w:val="auto"/>
              </w:rPr>
            </w:pP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13,787</w:t>
            </w:r>
          </w:p>
        </w:tc>
        <w:tc>
          <w:tcPr>
            <w:tcW w:w="340" w:type="dxa"/>
            <w:vAlign w:val="bottom"/>
          </w:tcPr>
          <w:p>
            <w:pPr>
              <w:spacing w:after="0"/>
              <w:rPr>
                <w:sz w:val="14"/>
                <w:szCs w:val="14"/>
                <w:color w:val="auto"/>
              </w:rPr>
            </w:pP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11,983</w:t>
            </w:r>
          </w:p>
        </w:tc>
      </w:tr>
      <w:tr>
        <w:trPr>
          <w:trHeight w:val="166"/>
        </w:trPr>
        <w:tc>
          <w:tcPr>
            <w:tcW w:w="6040" w:type="dxa"/>
            <w:vAlign w:val="bottom"/>
          </w:tcPr>
          <w:p>
            <w:pPr>
              <w:spacing w:after="0"/>
              <w:rPr>
                <w:sz w:val="20"/>
                <w:szCs w:val="20"/>
                <w:color w:val="auto"/>
              </w:rPr>
            </w:pPr>
            <w:r>
              <w:rPr>
                <w:rFonts w:ascii="Courier New" w:cs="Courier New" w:eastAsia="Courier New" w:hAnsi="Courier New"/>
                <w:sz w:val="14"/>
                <w:szCs w:val="14"/>
                <w:color w:val="auto"/>
              </w:rPr>
              <w:t>Goodwill..............................................................</w:t>
            </w:r>
          </w:p>
        </w:tc>
        <w:tc>
          <w:tcPr>
            <w:tcW w:w="42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77,842</w:t>
            </w:r>
          </w:p>
        </w:tc>
        <w:tc>
          <w:tcPr>
            <w:tcW w:w="380" w:type="dxa"/>
            <w:vAlign w:val="bottom"/>
          </w:tcPr>
          <w:p>
            <w:pPr>
              <w:spacing w:after="0"/>
              <w:rPr>
                <w:sz w:val="14"/>
                <w:szCs w:val="14"/>
                <w:color w:val="auto"/>
              </w:rPr>
            </w:pP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105,153</w:t>
            </w:r>
          </w:p>
        </w:tc>
        <w:tc>
          <w:tcPr>
            <w:tcW w:w="340" w:type="dxa"/>
            <w:vAlign w:val="bottom"/>
          </w:tcPr>
          <w:p>
            <w:pPr>
              <w:spacing w:after="0"/>
              <w:rPr>
                <w:sz w:val="14"/>
                <w:szCs w:val="14"/>
                <w:color w:val="auto"/>
              </w:rPr>
            </w:pP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102,924</w:t>
            </w:r>
          </w:p>
        </w:tc>
      </w:tr>
      <w:tr>
        <w:trPr>
          <w:trHeight w:val="166"/>
        </w:trPr>
        <w:tc>
          <w:tcPr>
            <w:tcW w:w="6040" w:type="dxa"/>
            <w:vAlign w:val="bottom"/>
          </w:tcPr>
          <w:p>
            <w:pPr>
              <w:spacing w:after="0"/>
              <w:rPr>
                <w:sz w:val="20"/>
                <w:szCs w:val="20"/>
                <w:color w:val="auto"/>
              </w:rPr>
            </w:pPr>
            <w:r>
              <w:rPr>
                <w:rFonts w:ascii="Courier New" w:cs="Courier New" w:eastAsia="Courier New" w:hAnsi="Courier New"/>
                <w:sz w:val="14"/>
                <w:szCs w:val="14"/>
                <w:color w:val="auto"/>
              </w:rPr>
              <w:t>Other intangible assets...............................................</w:t>
            </w:r>
          </w:p>
        </w:tc>
        <w:tc>
          <w:tcPr>
            <w:tcW w:w="42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2,045</w:t>
            </w:r>
          </w:p>
        </w:tc>
        <w:tc>
          <w:tcPr>
            <w:tcW w:w="380" w:type="dxa"/>
            <w:vAlign w:val="bottom"/>
          </w:tcPr>
          <w:p>
            <w:pPr>
              <w:spacing w:after="0"/>
              <w:rPr>
                <w:sz w:val="14"/>
                <w:szCs w:val="14"/>
                <w:color w:val="auto"/>
              </w:rPr>
            </w:pP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4,860</w:t>
            </w:r>
          </w:p>
        </w:tc>
        <w:tc>
          <w:tcPr>
            <w:tcW w:w="340" w:type="dxa"/>
            <w:vAlign w:val="bottom"/>
          </w:tcPr>
          <w:p>
            <w:pPr>
              <w:spacing w:after="0"/>
              <w:rPr>
                <w:sz w:val="14"/>
                <w:szCs w:val="14"/>
                <w:color w:val="auto"/>
              </w:rPr>
            </w:pP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4,608</w:t>
            </w:r>
          </w:p>
        </w:tc>
      </w:tr>
      <w:tr>
        <w:trPr>
          <w:trHeight w:val="166"/>
        </w:trPr>
        <w:tc>
          <w:tcPr>
            <w:tcW w:w="6040" w:type="dxa"/>
            <w:vAlign w:val="bottom"/>
          </w:tcPr>
          <w:p>
            <w:pPr>
              <w:spacing w:after="0"/>
              <w:rPr>
                <w:sz w:val="14"/>
                <w:szCs w:val="14"/>
                <w:color w:val="auto"/>
              </w:rPr>
            </w:pPr>
          </w:p>
        </w:tc>
        <w:tc>
          <w:tcPr>
            <w:tcW w:w="17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7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040" w:type="dxa"/>
            <w:vAlign w:val="bottom"/>
          </w:tcPr>
          <w:p>
            <w:pPr>
              <w:ind w:left="700"/>
              <w:spacing w:after="0"/>
              <w:rPr>
                <w:sz w:val="20"/>
                <w:szCs w:val="20"/>
                <w:color w:val="auto"/>
              </w:rPr>
            </w:pPr>
            <w:r>
              <w:rPr>
                <w:rFonts w:ascii="Courier New" w:cs="Courier New" w:eastAsia="Courier New" w:hAnsi="Courier New"/>
                <w:sz w:val="14"/>
                <w:szCs w:val="14"/>
                <w:color w:val="auto"/>
              </w:rPr>
              <w:t>Total assets..................................................</w:t>
            </w:r>
          </w:p>
        </w:tc>
        <w:tc>
          <w:tcPr>
            <w:tcW w:w="42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70"/>
              </w:rPr>
              <w: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856,670</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908,728</w:t>
            </w:r>
          </w:p>
        </w:tc>
        <w:tc>
          <w:tcPr>
            <w:tcW w:w="34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835,674</w:t>
            </w:r>
          </w:p>
        </w:tc>
      </w:tr>
      <w:tr>
        <w:trPr>
          <w:trHeight w:val="166"/>
        </w:trPr>
        <w:tc>
          <w:tcPr>
            <w:tcW w:w="6040" w:type="dxa"/>
            <w:vAlign w:val="bottom"/>
          </w:tcPr>
          <w:p>
            <w:pPr>
              <w:spacing w:after="0"/>
              <w:rPr>
                <w:sz w:val="14"/>
                <w:szCs w:val="14"/>
                <w:color w:val="auto"/>
              </w:rPr>
            </w:pPr>
          </w:p>
        </w:tc>
        <w:tc>
          <w:tcPr>
            <w:tcW w:w="17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7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497"/>
        </w:trPr>
        <w:tc>
          <w:tcPr>
            <w:tcW w:w="6040" w:type="dxa"/>
            <w:vAlign w:val="bottom"/>
          </w:tcPr>
          <w:p>
            <w:pPr>
              <w:spacing w:after="0"/>
              <w:rPr>
                <w:sz w:val="20"/>
                <w:szCs w:val="20"/>
                <w:color w:val="auto"/>
              </w:rPr>
            </w:pPr>
            <w:r>
              <w:rPr>
                <w:rFonts w:ascii="Courier New" w:cs="Courier New" w:eastAsia="Courier New" w:hAnsi="Courier New"/>
                <w:sz w:val="14"/>
                <w:szCs w:val="14"/>
                <w:color w:val="auto"/>
              </w:rPr>
              <w:t>LIABILITIES AND STOCKHOLDERS' EQUITY</w:t>
            </w: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6040" w:type="dxa"/>
            <w:vAlign w:val="bottom"/>
          </w:tcPr>
          <w:p>
            <w:pPr>
              <w:spacing w:after="0"/>
              <w:rPr>
                <w:sz w:val="20"/>
                <w:szCs w:val="20"/>
                <w:color w:val="auto"/>
              </w:rPr>
            </w:pPr>
            <w:r>
              <w:rPr>
                <w:rFonts w:ascii="Courier New" w:cs="Courier New" w:eastAsia="Courier New" w:hAnsi="Courier New"/>
                <w:sz w:val="14"/>
                <w:szCs w:val="14"/>
                <w:color w:val="auto"/>
              </w:rPr>
              <w:t>Current portion of long-term debt.....................................</w:t>
            </w:r>
          </w:p>
        </w:tc>
        <w:tc>
          <w:tcPr>
            <w:tcW w:w="42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70"/>
              </w:rPr>
              <w: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15,824</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471</w:t>
            </w:r>
          </w:p>
        </w:tc>
        <w:tc>
          <w:tcPr>
            <w:tcW w:w="34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513</w:t>
            </w:r>
          </w:p>
        </w:tc>
      </w:tr>
      <w:tr>
        <w:trPr>
          <w:trHeight w:val="166"/>
        </w:trPr>
        <w:tc>
          <w:tcPr>
            <w:tcW w:w="6040" w:type="dxa"/>
            <w:vAlign w:val="bottom"/>
          </w:tcPr>
          <w:p>
            <w:pPr>
              <w:spacing w:after="0"/>
              <w:rPr>
                <w:sz w:val="20"/>
                <w:szCs w:val="20"/>
                <w:color w:val="auto"/>
              </w:rPr>
            </w:pPr>
            <w:r>
              <w:rPr>
                <w:rFonts w:ascii="Courier New" w:cs="Courier New" w:eastAsia="Courier New" w:hAnsi="Courier New"/>
                <w:sz w:val="14"/>
                <w:szCs w:val="14"/>
                <w:color w:val="auto"/>
              </w:rPr>
              <w:t>Short-term debt.......................................................</w:t>
            </w:r>
          </w:p>
        </w:tc>
        <w:tc>
          <w:tcPr>
            <w:tcW w:w="42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8,011</w:t>
            </w:r>
          </w:p>
        </w:tc>
        <w:tc>
          <w:tcPr>
            <w:tcW w:w="380" w:type="dxa"/>
            <w:vAlign w:val="bottom"/>
          </w:tcPr>
          <w:p>
            <w:pPr>
              <w:spacing w:after="0"/>
              <w:rPr>
                <w:sz w:val="14"/>
                <w:szCs w:val="14"/>
                <w:color w:val="auto"/>
              </w:rPr>
            </w:pP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94,384</w:t>
            </w:r>
          </w:p>
        </w:tc>
        <w:tc>
          <w:tcPr>
            <w:tcW w:w="340" w:type="dxa"/>
            <w:vAlign w:val="bottom"/>
          </w:tcPr>
          <w:p>
            <w:pPr>
              <w:spacing w:after="0"/>
              <w:rPr>
                <w:sz w:val="14"/>
                <w:szCs w:val="14"/>
                <w:color w:val="auto"/>
              </w:rPr>
            </w:pP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34,413</w:t>
            </w:r>
          </w:p>
        </w:tc>
      </w:tr>
      <w:tr>
        <w:trPr>
          <w:trHeight w:val="166"/>
        </w:trPr>
        <w:tc>
          <w:tcPr>
            <w:tcW w:w="6040" w:type="dxa"/>
            <w:vAlign w:val="bottom"/>
          </w:tcPr>
          <w:p>
            <w:pPr>
              <w:spacing w:after="0"/>
              <w:rPr>
                <w:sz w:val="20"/>
                <w:szCs w:val="20"/>
                <w:color w:val="auto"/>
              </w:rPr>
            </w:pPr>
            <w:r>
              <w:rPr>
                <w:rFonts w:ascii="Courier New" w:cs="Courier New" w:eastAsia="Courier New" w:hAnsi="Courier New"/>
                <w:sz w:val="14"/>
                <w:szCs w:val="14"/>
                <w:color w:val="auto"/>
              </w:rPr>
              <w:t>Accounts payable......................................................</w:t>
            </w:r>
          </w:p>
        </w:tc>
        <w:tc>
          <w:tcPr>
            <w:tcW w:w="42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67,099</w:t>
            </w:r>
          </w:p>
        </w:tc>
        <w:tc>
          <w:tcPr>
            <w:tcW w:w="380" w:type="dxa"/>
            <w:vAlign w:val="bottom"/>
          </w:tcPr>
          <w:p>
            <w:pPr>
              <w:spacing w:after="0"/>
              <w:rPr>
                <w:sz w:val="14"/>
                <w:szCs w:val="14"/>
                <w:color w:val="auto"/>
              </w:rPr>
            </w:pP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56,096</w:t>
            </w:r>
          </w:p>
        </w:tc>
        <w:tc>
          <w:tcPr>
            <w:tcW w:w="340" w:type="dxa"/>
            <w:vAlign w:val="bottom"/>
          </w:tcPr>
          <w:p>
            <w:pPr>
              <w:spacing w:after="0"/>
              <w:rPr>
                <w:sz w:val="14"/>
                <w:szCs w:val="14"/>
                <w:color w:val="auto"/>
              </w:rPr>
            </w:pP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77,549</w:t>
            </w:r>
          </w:p>
        </w:tc>
      </w:tr>
      <w:tr>
        <w:trPr>
          <w:trHeight w:val="166"/>
        </w:trPr>
        <w:tc>
          <w:tcPr>
            <w:tcW w:w="6040" w:type="dxa"/>
            <w:vAlign w:val="bottom"/>
          </w:tcPr>
          <w:p>
            <w:pPr>
              <w:spacing w:after="0"/>
              <w:rPr>
                <w:sz w:val="20"/>
                <w:szCs w:val="20"/>
                <w:color w:val="auto"/>
              </w:rPr>
            </w:pPr>
            <w:r>
              <w:rPr>
                <w:rFonts w:ascii="Courier New" w:cs="Courier New" w:eastAsia="Courier New" w:hAnsi="Courier New"/>
                <w:sz w:val="14"/>
                <w:szCs w:val="14"/>
                <w:color w:val="auto"/>
              </w:rPr>
              <w:t>Accrued liabilities...................................................</w:t>
            </w:r>
          </w:p>
        </w:tc>
        <w:tc>
          <w:tcPr>
            <w:tcW w:w="42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216,523</w:t>
            </w:r>
          </w:p>
        </w:tc>
        <w:tc>
          <w:tcPr>
            <w:tcW w:w="380" w:type="dxa"/>
            <w:vAlign w:val="bottom"/>
          </w:tcPr>
          <w:p>
            <w:pPr>
              <w:spacing w:after="0"/>
              <w:rPr>
                <w:sz w:val="14"/>
                <w:szCs w:val="14"/>
                <w:color w:val="auto"/>
              </w:rPr>
            </w:pP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205,481</w:t>
            </w:r>
          </w:p>
        </w:tc>
        <w:tc>
          <w:tcPr>
            <w:tcW w:w="340" w:type="dxa"/>
            <w:vAlign w:val="bottom"/>
          </w:tcPr>
          <w:p>
            <w:pPr>
              <w:spacing w:after="0"/>
              <w:rPr>
                <w:sz w:val="14"/>
                <w:szCs w:val="14"/>
                <w:color w:val="auto"/>
              </w:rPr>
            </w:pP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180,092</w:t>
            </w:r>
          </w:p>
        </w:tc>
      </w:tr>
      <w:tr>
        <w:trPr>
          <w:trHeight w:val="166"/>
        </w:trPr>
        <w:tc>
          <w:tcPr>
            <w:tcW w:w="6040" w:type="dxa"/>
            <w:vAlign w:val="bottom"/>
          </w:tcPr>
          <w:p>
            <w:pPr>
              <w:spacing w:after="0"/>
              <w:rPr>
                <w:sz w:val="14"/>
                <w:szCs w:val="14"/>
                <w:color w:val="auto"/>
              </w:rPr>
            </w:pPr>
          </w:p>
        </w:tc>
        <w:tc>
          <w:tcPr>
            <w:tcW w:w="17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7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040" w:type="dxa"/>
            <w:vAlign w:val="bottom"/>
          </w:tcPr>
          <w:p>
            <w:pPr>
              <w:ind w:left="700"/>
              <w:spacing w:after="0"/>
              <w:rPr>
                <w:sz w:val="20"/>
                <w:szCs w:val="20"/>
                <w:color w:val="auto"/>
              </w:rPr>
            </w:pPr>
            <w:r>
              <w:rPr>
                <w:rFonts w:ascii="Courier New" w:cs="Courier New" w:eastAsia="Courier New" w:hAnsi="Courier New"/>
                <w:sz w:val="14"/>
                <w:szCs w:val="14"/>
                <w:color w:val="auto"/>
              </w:rPr>
              <w:t>Total current liabilities.....................................</w:t>
            </w:r>
          </w:p>
        </w:tc>
        <w:tc>
          <w:tcPr>
            <w:tcW w:w="42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307,457</w:t>
            </w:r>
          </w:p>
        </w:tc>
        <w:tc>
          <w:tcPr>
            <w:tcW w:w="380" w:type="dxa"/>
            <w:vAlign w:val="bottom"/>
          </w:tcPr>
          <w:p>
            <w:pPr>
              <w:spacing w:after="0"/>
              <w:rPr>
                <w:sz w:val="14"/>
                <w:szCs w:val="14"/>
                <w:color w:val="auto"/>
              </w:rPr>
            </w:pP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356,432</w:t>
            </w:r>
          </w:p>
        </w:tc>
        <w:tc>
          <w:tcPr>
            <w:tcW w:w="340" w:type="dxa"/>
            <w:vAlign w:val="bottom"/>
          </w:tcPr>
          <w:p>
            <w:pPr>
              <w:spacing w:after="0"/>
              <w:rPr>
                <w:sz w:val="14"/>
                <w:szCs w:val="14"/>
                <w:color w:val="auto"/>
              </w:rPr>
            </w:pP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292,567</w:t>
            </w:r>
          </w:p>
        </w:tc>
      </w:tr>
      <w:tr>
        <w:trPr>
          <w:trHeight w:val="166"/>
        </w:trPr>
        <w:tc>
          <w:tcPr>
            <w:tcW w:w="6040" w:type="dxa"/>
            <w:vAlign w:val="bottom"/>
          </w:tcPr>
          <w:p>
            <w:pPr>
              <w:spacing w:after="0"/>
              <w:rPr>
                <w:sz w:val="14"/>
                <w:szCs w:val="14"/>
                <w:color w:val="auto"/>
              </w:rPr>
            </w:pPr>
          </w:p>
        </w:tc>
        <w:tc>
          <w:tcPr>
            <w:tcW w:w="17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7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040" w:type="dxa"/>
            <w:vAlign w:val="bottom"/>
          </w:tcPr>
          <w:p>
            <w:pPr>
              <w:spacing w:after="0"/>
              <w:rPr>
                <w:sz w:val="20"/>
                <w:szCs w:val="20"/>
                <w:color w:val="auto"/>
              </w:rPr>
            </w:pPr>
            <w:r>
              <w:rPr>
                <w:rFonts w:ascii="Courier New" w:cs="Courier New" w:eastAsia="Courier New" w:hAnsi="Courier New"/>
                <w:sz w:val="14"/>
                <w:szCs w:val="14"/>
                <w:color w:val="auto"/>
              </w:rPr>
              <w:t>Long-term debt, less current portion..................................</w:t>
            </w:r>
          </w:p>
        </w:tc>
        <w:tc>
          <w:tcPr>
            <w:tcW w:w="420" w:type="dxa"/>
            <w:vAlign w:val="bottom"/>
          </w:tcPr>
          <w:p>
            <w:pPr>
              <w:spacing w:after="0"/>
              <w:rPr>
                <w:sz w:val="24"/>
                <w:szCs w:val="2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178,768</w:t>
            </w:r>
          </w:p>
        </w:tc>
        <w:tc>
          <w:tcPr>
            <w:tcW w:w="380" w:type="dxa"/>
            <w:vAlign w:val="bottom"/>
          </w:tcPr>
          <w:p>
            <w:pPr>
              <w:spacing w:after="0"/>
              <w:rPr>
                <w:sz w:val="24"/>
                <w:szCs w:val="24"/>
                <w:color w:val="auto"/>
              </w:rPr>
            </w:pP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194,431</w:t>
            </w:r>
          </w:p>
        </w:tc>
        <w:tc>
          <w:tcPr>
            <w:tcW w:w="340" w:type="dxa"/>
            <w:vAlign w:val="bottom"/>
          </w:tcPr>
          <w:p>
            <w:pPr>
              <w:spacing w:after="0"/>
              <w:rPr>
                <w:sz w:val="24"/>
                <w:szCs w:val="24"/>
                <w:color w:val="auto"/>
              </w:rPr>
            </w:pP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194,565</w:t>
            </w:r>
          </w:p>
        </w:tc>
      </w:tr>
      <w:tr>
        <w:trPr>
          <w:trHeight w:val="166"/>
        </w:trPr>
        <w:tc>
          <w:tcPr>
            <w:tcW w:w="6040" w:type="dxa"/>
            <w:vAlign w:val="bottom"/>
          </w:tcPr>
          <w:p>
            <w:pPr>
              <w:spacing w:after="0"/>
              <w:rPr>
                <w:sz w:val="20"/>
                <w:szCs w:val="20"/>
                <w:color w:val="auto"/>
              </w:rPr>
            </w:pPr>
            <w:r>
              <w:rPr>
                <w:rFonts w:ascii="Courier New" w:cs="Courier New" w:eastAsia="Courier New" w:hAnsi="Courier New"/>
                <w:sz w:val="14"/>
                <w:szCs w:val="14"/>
                <w:color w:val="auto"/>
              </w:rPr>
              <w:t>Other long-term liabilities...........................................</w:t>
            </w:r>
          </w:p>
        </w:tc>
        <w:tc>
          <w:tcPr>
            <w:tcW w:w="42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7,429</w:t>
            </w:r>
          </w:p>
        </w:tc>
        <w:tc>
          <w:tcPr>
            <w:tcW w:w="380" w:type="dxa"/>
            <w:vAlign w:val="bottom"/>
          </w:tcPr>
          <w:p>
            <w:pPr>
              <w:spacing w:after="0"/>
              <w:rPr>
                <w:sz w:val="14"/>
                <w:szCs w:val="14"/>
                <w:color w:val="auto"/>
              </w:rPr>
            </w:pP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7,263</w:t>
            </w:r>
          </w:p>
        </w:tc>
        <w:tc>
          <w:tcPr>
            <w:tcW w:w="340" w:type="dxa"/>
            <w:vAlign w:val="bottom"/>
          </w:tcPr>
          <w:p>
            <w:pPr>
              <w:spacing w:after="0"/>
              <w:rPr>
                <w:sz w:val="14"/>
                <w:szCs w:val="14"/>
                <w:color w:val="auto"/>
              </w:rPr>
            </w:pP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7,149</w:t>
            </w:r>
          </w:p>
        </w:tc>
      </w:tr>
      <w:tr>
        <w:trPr>
          <w:trHeight w:val="331"/>
        </w:trPr>
        <w:tc>
          <w:tcPr>
            <w:tcW w:w="604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6040" w:type="dxa"/>
            <w:vAlign w:val="bottom"/>
          </w:tcPr>
          <w:p>
            <w:pPr>
              <w:ind w:left="180"/>
              <w:spacing w:after="0"/>
              <w:rPr>
                <w:sz w:val="20"/>
                <w:szCs w:val="20"/>
                <w:color w:val="auto"/>
              </w:rPr>
            </w:pPr>
            <w:r>
              <w:rPr>
                <w:rFonts w:ascii="Courier New" w:cs="Courier New" w:eastAsia="Courier New" w:hAnsi="Courier New"/>
                <w:sz w:val="14"/>
                <w:szCs w:val="14"/>
                <w:color w:val="auto"/>
              </w:rPr>
              <w:t>Preferred stock, par value $1.00, authorized 1,000,000 voting</w:t>
            </w:r>
          </w:p>
        </w:tc>
        <w:tc>
          <w:tcPr>
            <w:tcW w:w="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6040" w:type="dxa"/>
            <w:vAlign w:val="bottom"/>
          </w:tcPr>
          <w:p>
            <w:pPr>
              <w:ind w:left="700"/>
              <w:spacing w:after="0"/>
              <w:rPr>
                <w:sz w:val="20"/>
                <w:szCs w:val="20"/>
                <w:color w:val="auto"/>
              </w:rPr>
            </w:pPr>
            <w:r>
              <w:rPr>
                <w:rFonts w:ascii="Courier New" w:cs="Courier New" w:eastAsia="Courier New" w:hAnsi="Courier New"/>
                <w:sz w:val="14"/>
                <w:szCs w:val="14"/>
                <w:color w:val="auto"/>
              </w:rPr>
              <w:t>and 850,000 non-voting shares, none issued and outstanding....</w:t>
            </w:r>
          </w:p>
        </w:tc>
        <w:tc>
          <w:tcPr>
            <w:tcW w:w="42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040" w:type="dxa"/>
            <w:vAlign w:val="bottom"/>
          </w:tcPr>
          <w:p>
            <w:pPr>
              <w:ind w:left="180"/>
              <w:spacing w:after="0"/>
              <w:rPr>
                <w:sz w:val="20"/>
                <w:szCs w:val="20"/>
                <w:color w:val="auto"/>
              </w:rPr>
            </w:pPr>
            <w:r>
              <w:rPr>
                <w:rFonts w:ascii="Courier New" w:cs="Courier New" w:eastAsia="Courier New" w:hAnsi="Courier New"/>
                <w:sz w:val="14"/>
                <w:szCs w:val="14"/>
                <w:color w:val="auto"/>
              </w:rPr>
              <w:t>Common stock, par value $1.00, authorized 35,000,000 shares, issued</w:t>
            </w:r>
          </w:p>
        </w:tc>
        <w:tc>
          <w:tcPr>
            <w:tcW w:w="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6040" w:type="dxa"/>
            <w:vAlign w:val="bottom"/>
          </w:tcPr>
          <w:p>
            <w:pPr>
              <w:ind w:left="700"/>
              <w:spacing w:after="0"/>
              <w:rPr>
                <w:sz w:val="20"/>
                <w:szCs w:val="20"/>
                <w:color w:val="auto"/>
              </w:rPr>
            </w:pPr>
            <w:r>
              <w:rPr>
                <w:rFonts w:ascii="Courier New" w:cs="Courier New" w:eastAsia="Courier New" w:hAnsi="Courier New"/>
                <w:sz w:val="14"/>
                <w:szCs w:val="14"/>
                <w:color w:val="auto"/>
              </w:rPr>
              <w:t>and outstanding 12,172,834 shares at August 2, 2002 (net of</w:t>
            </w:r>
          </w:p>
        </w:tc>
        <w:tc>
          <w:tcPr>
            <w:tcW w:w="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6040" w:type="dxa"/>
            <w:vAlign w:val="bottom"/>
          </w:tcPr>
          <w:p>
            <w:pPr>
              <w:ind w:left="700"/>
              <w:spacing w:after="0"/>
              <w:rPr>
                <w:sz w:val="20"/>
                <w:szCs w:val="20"/>
                <w:color w:val="auto"/>
              </w:rPr>
            </w:pPr>
            <w:r>
              <w:rPr>
                <w:rFonts w:ascii="Courier New" w:cs="Courier New" w:eastAsia="Courier New" w:hAnsi="Courier New"/>
                <w:sz w:val="14"/>
                <w:szCs w:val="14"/>
                <w:color w:val="auto"/>
              </w:rPr>
              <w:t>1,335,221 treasury shares), 12,466,373 shares at August 3,</w:t>
            </w:r>
          </w:p>
        </w:tc>
        <w:tc>
          <w:tcPr>
            <w:tcW w:w="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6040" w:type="dxa"/>
            <w:vAlign w:val="bottom"/>
          </w:tcPr>
          <w:p>
            <w:pPr>
              <w:ind w:left="700"/>
              <w:spacing w:after="0"/>
              <w:rPr>
                <w:sz w:val="20"/>
                <w:szCs w:val="20"/>
                <w:color w:val="auto"/>
              </w:rPr>
            </w:pPr>
            <w:r>
              <w:rPr>
                <w:rFonts w:ascii="Courier New" w:cs="Courier New" w:eastAsia="Courier New" w:hAnsi="Courier New"/>
                <w:sz w:val="14"/>
                <w:szCs w:val="14"/>
                <w:color w:val="auto"/>
              </w:rPr>
              <w:t>2001 (net of 1,041,682 treasury shares), and 12,266,045</w:t>
            </w:r>
          </w:p>
        </w:tc>
        <w:tc>
          <w:tcPr>
            <w:tcW w:w="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6040" w:type="dxa"/>
            <w:vAlign w:val="bottom"/>
          </w:tcPr>
          <w:p>
            <w:pPr>
              <w:ind w:left="700"/>
              <w:spacing w:after="0"/>
              <w:rPr>
                <w:sz w:val="20"/>
                <w:szCs w:val="20"/>
                <w:color w:val="auto"/>
              </w:rPr>
            </w:pPr>
            <w:r>
              <w:rPr>
                <w:rFonts w:ascii="Courier New" w:cs="Courier New" w:eastAsia="Courier New" w:hAnsi="Courier New"/>
                <w:sz w:val="14"/>
                <w:szCs w:val="14"/>
                <w:color w:val="auto"/>
              </w:rPr>
              <w:t>shares at October 31, 2001 (net of 1,242,010 treasury shares).</w:t>
            </w:r>
          </w:p>
        </w:tc>
        <w:tc>
          <w:tcPr>
            <w:tcW w:w="42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12,173</w:t>
            </w:r>
          </w:p>
        </w:tc>
        <w:tc>
          <w:tcPr>
            <w:tcW w:w="380" w:type="dxa"/>
            <w:vAlign w:val="bottom"/>
          </w:tcPr>
          <w:p>
            <w:pPr>
              <w:spacing w:after="0"/>
              <w:rPr>
                <w:sz w:val="14"/>
                <w:szCs w:val="14"/>
                <w:color w:val="auto"/>
              </w:rPr>
            </w:pP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12,466</w:t>
            </w:r>
          </w:p>
        </w:tc>
        <w:tc>
          <w:tcPr>
            <w:tcW w:w="340" w:type="dxa"/>
            <w:vAlign w:val="bottom"/>
          </w:tcPr>
          <w:p>
            <w:pPr>
              <w:spacing w:after="0"/>
              <w:rPr>
                <w:sz w:val="14"/>
                <w:szCs w:val="14"/>
                <w:color w:val="auto"/>
              </w:rPr>
            </w:pP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12,266</w:t>
            </w:r>
          </w:p>
        </w:tc>
      </w:tr>
      <w:tr>
        <w:trPr>
          <w:trHeight w:val="166"/>
        </w:trPr>
        <w:tc>
          <w:tcPr>
            <w:tcW w:w="6040" w:type="dxa"/>
            <w:vAlign w:val="bottom"/>
          </w:tcPr>
          <w:p>
            <w:pPr>
              <w:ind w:left="100"/>
              <w:spacing w:after="0"/>
              <w:rPr>
                <w:sz w:val="20"/>
                <w:szCs w:val="20"/>
                <w:color w:val="auto"/>
              </w:rPr>
            </w:pPr>
            <w:r>
              <w:rPr>
                <w:rFonts w:ascii="Courier New" w:cs="Courier New" w:eastAsia="Courier New" w:hAnsi="Courier New"/>
                <w:sz w:val="14"/>
                <w:szCs w:val="14"/>
                <w:color w:val="auto"/>
              </w:rPr>
              <w:t>Additional paid-in capital...........................................</w:t>
            </w:r>
          </w:p>
        </w:tc>
        <w:tc>
          <w:tcPr>
            <w:tcW w:w="42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23,757</w:t>
            </w:r>
          </w:p>
        </w:tc>
        <w:tc>
          <w:tcPr>
            <w:tcW w:w="380" w:type="dxa"/>
            <w:vAlign w:val="bottom"/>
          </w:tcPr>
          <w:p>
            <w:pPr>
              <w:spacing w:after="0"/>
              <w:rPr>
                <w:sz w:val="14"/>
                <w:szCs w:val="14"/>
                <w:color w:val="auto"/>
              </w:rPr>
            </w:pP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37,365</w:t>
            </w:r>
          </w:p>
        </w:tc>
        <w:tc>
          <w:tcPr>
            <w:tcW w:w="340" w:type="dxa"/>
            <w:vAlign w:val="bottom"/>
          </w:tcPr>
          <w:p>
            <w:pPr>
              <w:spacing w:after="0"/>
              <w:rPr>
                <w:sz w:val="14"/>
                <w:szCs w:val="14"/>
                <w:color w:val="auto"/>
              </w:rPr>
            </w:pP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29,048</w:t>
            </w:r>
          </w:p>
        </w:tc>
      </w:tr>
      <w:tr>
        <w:trPr>
          <w:trHeight w:val="166"/>
        </w:trPr>
        <w:tc>
          <w:tcPr>
            <w:tcW w:w="6040" w:type="dxa"/>
            <w:vAlign w:val="bottom"/>
          </w:tcPr>
          <w:p>
            <w:pPr>
              <w:ind w:left="100"/>
              <w:spacing w:after="0"/>
              <w:rPr>
                <w:sz w:val="20"/>
                <w:szCs w:val="20"/>
                <w:color w:val="auto"/>
              </w:rPr>
            </w:pPr>
            <w:r>
              <w:rPr>
                <w:rFonts w:ascii="Courier New" w:cs="Courier New" w:eastAsia="Courier New" w:hAnsi="Courier New"/>
                <w:sz w:val="14"/>
                <w:szCs w:val="14"/>
                <w:color w:val="auto"/>
              </w:rPr>
              <w:t>Retained earnings....................................................</w:t>
            </w:r>
          </w:p>
        </w:tc>
        <w:tc>
          <w:tcPr>
            <w:tcW w:w="42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338,853</w:t>
            </w:r>
          </w:p>
        </w:tc>
        <w:tc>
          <w:tcPr>
            <w:tcW w:w="380" w:type="dxa"/>
            <w:vAlign w:val="bottom"/>
          </w:tcPr>
          <w:p>
            <w:pPr>
              <w:spacing w:after="0"/>
              <w:rPr>
                <w:sz w:val="14"/>
                <w:szCs w:val="14"/>
                <w:color w:val="auto"/>
              </w:rPr>
            </w:pP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312,414</w:t>
            </w:r>
          </w:p>
        </w:tc>
        <w:tc>
          <w:tcPr>
            <w:tcW w:w="340" w:type="dxa"/>
            <w:vAlign w:val="bottom"/>
          </w:tcPr>
          <w:p>
            <w:pPr>
              <w:spacing w:after="0"/>
              <w:rPr>
                <w:sz w:val="14"/>
                <w:szCs w:val="14"/>
                <w:color w:val="auto"/>
              </w:rPr>
            </w:pP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313,067</w:t>
            </w:r>
          </w:p>
        </w:tc>
      </w:tr>
      <w:tr>
        <w:trPr>
          <w:trHeight w:val="166"/>
        </w:trPr>
        <w:tc>
          <w:tcPr>
            <w:tcW w:w="6040" w:type="dxa"/>
            <w:vAlign w:val="bottom"/>
          </w:tcPr>
          <w:p>
            <w:pPr>
              <w:ind w:left="100"/>
              <w:spacing w:after="0"/>
              <w:rPr>
                <w:sz w:val="20"/>
                <w:szCs w:val="20"/>
                <w:color w:val="auto"/>
              </w:rPr>
            </w:pPr>
            <w:r>
              <w:rPr>
                <w:rFonts w:ascii="Courier New" w:cs="Courier New" w:eastAsia="Courier New" w:hAnsi="Courier New"/>
                <w:sz w:val="14"/>
                <w:szCs w:val="14"/>
                <w:color w:val="auto"/>
              </w:rPr>
              <w:t>Accumulated other comprehensive loss.................................</w:t>
            </w:r>
          </w:p>
        </w:tc>
        <w:tc>
          <w:tcPr>
            <w:tcW w:w="420" w:type="dxa"/>
            <w:vAlign w:val="bottom"/>
          </w:tcPr>
          <w:p>
            <w:pPr>
              <w:spacing w:after="0"/>
              <w:rPr>
                <w:sz w:val="14"/>
                <w:szCs w:val="14"/>
                <w:color w:val="auto"/>
              </w:rPr>
            </w:pP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(11,767)</w:t>
            </w:r>
          </w:p>
        </w:tc>
        <w:tc>
          <w:tcPr>
            <w:tcW w:w="380" w:type="dxa"/>
            <w:vAlign w:val="bottom"/>
          </w:tcPr>
          <w:p>
            <w:pPr>
              <w:spacing w:after="0"/>
              <w:rPr>
                <w:sz w:val="14"/>
                <w:szCs w:val="14"/>
                <w:color w:val="auto"/>
              </w:rPr>
            </w:pPr>
          </w:p>
        </w:tc>
        <w:tc>
          <w:tcPr>
            <w:tcW w:w="1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(11,643)</w:t>
            </w:r>
          </w:p>
        </w:tc>
        <w:tc>
          <w:tcPr>
            <w:tcW w:w="3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(12,988)</w:t>
            </w:r>
          </w:p>
        </w:tc>
      </w:tr>
      <w:tr>
        <w:trPr>
          <w:trHeight w:val="166"/>
        </w:trPr>
        <w:tc>
          <w:tcPr>
            <w:tcW w:w="6040" w:type="dxa"/>
            <w:vAlign w:val="bottom"/>
          </w:tcPr>
          <w:p>
            <w:pPr>
              <w:spacing w:after="0"/>
              <w:rPr>
                <w:sz w:val="14"/>
                <w:szCs w:val="14"/>
                <w:color w:val="auto"/>
              </w:rPr>
            </w:pPr>
          </w:p>
        </w:tc>
        <w:tc>
          <w:tcPr>
            <w:tcW w:w="17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7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040" w:type="dxa"/>
            <w:vAlign w:val="bottom"/>
          </w:tcPr>
          <w:p>
            <w:pPr>
              <w:ind w:left="700"/>
              <w:spacing w:after="0"/>
              <w:rPr>
                <w:sz w:val="20"/>
                <w:szCs w:val="20"/>
                <w:color w:val="auto"/>
              </w:rPr>
            </w:pPr>
            <w:r>
              <w:rPr>
                <w:rFonts w:ascii="Courier New" w:cs="Courier New" w:eastAsia="Courier New" w:hAnsi="Courier New"/>
                <w:sz w:val="14"/>
                <w:szCs w:val="14"/>
                <w:color w:val="auto"/>
              </w:rPr>
              <w:t>Total stockholders' equity....................................</w:t>
            </w:r>
          </w:p>
        </w:tc>
        <w:tc>
          <w:tcPr>
            <w:tcW w:w="42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363,016</w:t>
            </w:r>
          </w:p>
        </w:tc>
        <w:tc>
          <w:tcPr>
            <w:tcW w:w="380" w:type="dxa"/>
            <w:vAlign w:val="bottom"/>
          </w:tcPr>
          <w:p>
            <w:pPr>
              <w:spacing w:after="0"/>
              <w:rPr>
                <w:sz w:val="14"/>
                <w:szCs w:val="14"/>
                <w:color w:val="auto"/>
              </w:rPr>
            </w:pP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350,602</w:t>
            </w:r>
          </w:p>
        </w:tc>
        <w:tc>
          <w:tcPr>
            <w:tcW w:w="340" w:type="dxa"/>
            <w:vAlign w:val="bottom"/>
          </w:tcPr>
          <w:p>
            <w:pPr>
              <w:spacing w:after="0"/>
              <w:rPr>
                <w:sz w:val="14"/>
                <w:szCs w:val="14"/>
                <w:color w:val="auto"/>
              </w:rPr>
            </w:pP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341,393</w:t>
            </w:r>
          </w:p>
        </w:tc>
      </w:tr>
      <w:tr>
        <w:trPr>
          <w:trHeight w:val="166"/>
        </w:trPr>
        <w:tc>
          <w:tcPr>
            <w:tcW w:w="6040" w:type="dxa"/>
            <w:vAlign w:val="bottom"/>
          </w:tcPr>
          <w:p>
            <w:pPr>
              <w:spacing w:after="0"/>
              <w:rPr>
                <w:sz w:val="14"/>
                <w:szCs w:val="14"/>
                <w:color w:val="auto"/>
              </w:rPr>
            </w:pPr>
          </w:p>
        </w:tc>
        <w:tc>
          <w:tcPr>
            <w:tcW w:w="17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7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040" w:type="dxa"/>
            <w:vAlign w:val="bottom"/>
          </w:tcPr>
          <w:p>
            <w:pPr>
              <w:ind w:left="700"/>
              <w:spacing w:after="0"/>
              <w:rPr>
                <w:sz w:val="20"/>
                <w:szCs w:val="20"/>
                <w:color w:val="auto"/>
              </w:rPr>
            </w:pPr>
            <w:r>
              <w:rPr>
                <w:rFonts w:ascii="Courier New" w:cs="Courier New" w:eastAsia="Courier New" w:hAnsi="Courier New"/>
                <w:sz w:val="14"/>
                <w:szCs w:val="14"/>
                <w:color w:val="auto"/>
              </w:rPr>
              <w:t>Total liabilities and stockholders' equity....................</w:t>
            </w:r>
          </w:p>
        </w:tc>
        <w:tc>
          <w:tcPr>
            <w:tcW w:w="42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70"/>
              </w:rPr>
              <w: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856,670</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908,728</w:t>
            </w:r>
          </w:p>
        </w:tc>
        <w:tc>
          <w:tcPr>
            <w:tcW w:w="34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835,674</w:t>
            </w:r>
          </w:p>
        </w:tc>
      </w:tr>
      <w:tr>
        <w:trPr>
          <w:trHeight w:val="166"/>
        </w:trPr>
        <w:tc>
          <w:tcPr>
            <w:tcW w:w="6040" w:type="dxa"/>
            <w:vAlign w:val="bottom"/>
          </w:tcPr>
          <w:p>
            <w:pPr>
              <w:spacing w:after="0"/>
              <w:rPr>
                <w:sz w:val="14"/>
                <w:szCs w:val="14"/>
                <w:color w:val="auto"/>
              </w:rPr>
            </w:pPr>
          </w:p>
        </w:tc>
        <w:tc>
          <w:tcPr>
            <w:tcW w:w="17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7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 to condensed consolidated financial statements.</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1380"/>
          </w:cols>
          <w:pgMar w:left="220" w:top="948" w:right="299" w:bottom="1440" w:gutter="0" w:footer="0" w:header="0"/>
        </w:sectPr>
      </w:pPr>
    </w:p>
    <w:bookmarkStart w:id="4" w:name="page5"/>
    <w:bookmarkEnd w:id="4"/>
    <w:p>
      <w:pPr>
        <w:jc w:val="center"/>
        <w:ind w:right="4220"/>
        <w:spacing w:after="0"/>
        <w:rPr>
          <w:sz w:val="20"/>
          <w:szCs w:val="20"/>
          <w:color w:val="auto"/>
        </w:rPr>
      </w:pPr>
      <w:r>
        <w:rPr>
          <w:rFonts w:ascii="Courier New" w:cs="Courier New" w:eastAsia="Courier New" w:hAnsi="Courier New"/>
          <w:sz w:val="14"/>
          <w:szCs w:val="14"/>
          <w:color w:val="auto"/>
        </w:rPr>
        <w:t>THE TORO COMPANY AND SUBSIDIARIES</w:t>
      </w:r>
    </w:p>
    <w:p>
      <w:pPr>
        <w:spacing w:after="0" w:line="7" w:lineRule="exact"/>
        <w:rPr>
          <w:sz w:val="20"/>
          <w:szCs w:val="20"/>
          <w:color w:val="auto"/>
        </w:rPr>
      </w:pPr>
    </w:p>
    <w:p>
      <w:pPr>
        <w:jc w:val="center"/>
        <w:ind w:right="4220"/>
        <w:spacing w:after="0"/>
        <w:rPr>
          <w:sz w:val="20"/>
          <w:szCs w:val="20"/>
          <w:color w:val="auto"/>
        </w:rPr>
      </w:pPr>
      <w:r>
        <w:rPr>
          <w:rFonts w:ascii="Courier New" w:cs="Courier New" w:eastAsia="Courier New" w:hAnsi="Courier New"/>
          <w:sz w:val="14"/>
          <w:szCs w:val="14"/>
          <w:color w:val="auto"/>
        </w:rPr>
        <w:t>CONDENSED CONSOLIDATED STATEMENTS OF CASH FLOWS (UNAUDITED)</w:t>
      </w:r>
    </w:p>
    <w:p>
      <w:pPr>
        <w:spacing w:after="0" w:line="7" w:lineRule="exact"/>
        <w:rPr>
          <w:sz w:val="20"/>
          <w:szCs w:val="20"/>
          <w:color w:val="auto"/>
        </w:rPr>
      </w:pPr>
    </w:p>
    <w:p>
      <w:pPr>
        <w:jc w:val="center"/>
        <w:ind w:right="4300"/>
        <w:spacing w:after="0"/>
        <w:rPr>
          <w:sz w:val="20"/>
          <w:szCs w:val="20"/>
          <w:color w:val="auto"/>
        </w:rPr>
      </w:pPr>
      <w:r>
        <w:rPr>
          <w:rFonts w:ascii="Courier New" w:cs="Courier New" w:eastAsia="Courier New" w:hAnsi="Courier New"/>
          <w:sz w:val="14"/>
          <w:szCs w:val="14"/>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6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3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Nine Months Ended</w:t>
            </w:r>
          </w:p>
        </w:tc>
        <w:tc>
          <w:tcPr>
            <w:tcW w:w="1200" w:type="dxa"/>
            <w:vAlign w:val="bottom"/>
          </w:tcPr>
          <w:p>
            <w:pPr>
              <w:spacing w:after="0"/>
              <w:rPr>
                <w:sz w:val="14"/>
                <w:szCs w:val="14"/>
                <w:color w:val="auto"/>
              </w:rPr>
            </w:pPr>
          </w:p>
        </w:tc>
      </w:tr>
      <w:tr>
        <w:trPr>
          <w:trHeight w:val="166"/>
        </w:trPr>
        <w:tc>
          <w:tcPr>
            <w:tcW w:w="6820" w:type="dxa"/>
            <w:vAlign w:val="bottom"/>
          </w:tcPr>
          <w:p>
            <w:pPr>
              <w:spacing w:after="0"/>
              <w:rPr>
                <w:sz w:val="14"/>
                <w:szCs w:val="14"/>
                <w:color w:val="auto"/>
              </w:rPr>
            </w:pPr>
          </w:p>
        </w:tc>
        <w:tc>
          <w:tcPr>
            <w:tcW w:w="4120" w:type="dxa"/>
            <w:vAlign w:val="bottom"/>
            <w:gridSpan w:val="4"/>
          </w:tcPr>
          <w:p>
            <w:pPr>
              <w:spacing w:after="0"/>
              <w:rPr>
                <w:sz w:val="20"/>
                <w:szCs w:val="20"/>
                <w:color w:val="auto"/>
              </w:rPr>
            </w:pPr>
            <w:r>
              <w:rPr>
                <w:rFonts w:ascii="Courier New" w:cs="Courier New" w:eastAsia="Courier New" w:hAnsi="Courier New"/>
                <w:sz w:val="14"/>
                <w:szCs w:val="14"/>
                <w:color w:val="auto"/>
              </w:rPr>
              <w:t>------------------------------------------------</w:t>
            </w:r>
          </w:p>
        </w:tc>
      </w:tr>
      <w:tr>
        <w:trPr>
          <w:trHeight w:val="166"/>
        </w:trPr>
        <w:tc>
          <w:tcPr>
            <w:tcW w:w="6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20" w:type="dxa"/>
            <w:vAlign w:val="bottom"/>
          </w:tcPr>
          <w:p>
            <w:pPr>
              <w:jc w:val="right"/>
              <w:ind w:right="588"/>
              <w:spacing w:after="0"/>
              <w:rPr>
                <w:sz w:val="20"/>
                <w:szCs w:val="20"/>
                <w:color w:val="auto"/>
              </w:rPr>
            </w:pPr>
            <w:r>
              <w:rPr>
                <w:rFonts w:ascii="Courier New" w:cs="Courier New" w:eastAsia="Courier New" w:hAnsi="Courier New"/>
                <w:sz w:val="14"/>
                <w:szCs w:val="14"/>
                <w:color w:val="auto"/>
                <w:w w:val="97"/>
              </w:rPr>
              <w:t>August 2,</w:t>
            </w:r>
          </w:p>
        </w:tc>
        <w:tc>
          <w:tcPr>
            <w:tcW w:w="900" w:type="dxa"/>
            <w:vAlign w:val="bottom"/>
          </w:tcPr>
          <w:p>
            <w:pPr>
              <w:spacing w:after="0"/>
              <w:rPr>
                <w:sz w:val="14"/>
                <w:szCs w:val="14"/>
                <w:color w:val="auto"/>
              </w:rPr>
            </w:pP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August 3,</w:t>
            </w:r>
          </w:p>
        </w:tc>
      </w:tr>
      <w:tr>
        <w:trPr>
          <w:trHeight w:val="166"/>
        </w:trPr>
        <w:tc>
          <w:tcPr>
            <w:tcW w:w="6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2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2002</w:t>
            </w:r>
          </w:p>
        </w:tc>
        <w:tc>
          <w:tcPr>
            <w:tcW w:w="900" w:type="dxa"/>
            <w:vAlign w:val="bottom"/>
          </w:tcPr>
          <w:p>
            <w:pPr>
              <w:spacing w:after="0"/>
              <w:rPr>
                <w:sz w:val="14"/>
                <w:szCs w:val="14"/>
                <w:color w:val="auto"/>
              </w:rPr>
            </w:pP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2001</w:t>
            </w:r>
          </w:p>
        </w:tc>
      </w:tr>
      <w:tr>
        <w:trPr>
          <w:trHeight w:val="166"/>
        </w:trPr>
        <w:tc>
          <w:tcPr>
            <w:tcW w:w="6820" w:type="dxa"/>
            <w:vAlign w:val="bottom"/>
          </w:tcPr>
          <w:p>
            <w:pPr>
              <w:spacing w:after="0"/>
              <w:rPr>
                <w:sz w:val="14"/>
                <w:szCs w:val="14"/>
                <w:color w:val="auto"/>
              </w:rPr>
            </w:pPr>
          </w:p>
        </w:tc>
        <w:tc>
          <w:tcPr>
            <w:tcW w:w="202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210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w:t>
            </w:r>
          </w:p>
        </w:tc>
      </w:tr>
      <w:tr>
        <w:trPr>
          <w:trHeight w:val="331"/>
        </w:trPr>
        <w:tc>
          <w:tcPr>
            <w:tcW w:w="6820" w:type="dxa"/>
            <w:vAlign w:val="bottom"/>
          </w:tcPr>
          <w:p>
            <w:pPr>
              <w:spacing w:after="0"/>
              <w:rPr>
                <w:sz w:val="20"/>
                <w:szCs w:val="20"/>
                <w:color w:val="auto"/>
              </w:rPr>
            </w:pPr>
            <w:r>
              <w:rPr>
                <w:rFonts w:ascii="Courier New" w:cs="Courier New" w:eastAsia="Courier New" w:hAnsi="Courier New"/>
                <w:sz w:val="14"/>
                <w:szCs w:val="14"/>
                <w:color w:val="auto"/>
              </w:rPr>
              <w:t>Cash flows from operating activities:</w:t>
            </w:r>
          </w:p>
        </w:tc>
        <w:tc>
          <w:tcPr>
            <w:tcW w:w="6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6"/>
        </w:trPr>
        <w:tc>
          <w:tcPr>
            <w:tcW w:w="6820" w:type="dxa"/>
            <w:vAlign w:val="bottom"/>
          </w:tcPr>
          <w:p>
            <w:pPr>
              <w:spacing w:after="0"/>
              <w:rPr>
                <w:sz w:val="20"/>
                <w:szCs w:val="20"/>
                <w:color w:val="auto"/>
              </w:rPr>
            </w:pPr>
            <w:r>
              <w:rPr>
                <w:rFonts w:ascii="Courier New" w:cs="Courier New" w:eastAsia="Courier New" w:hAnsi="Courier New"/>
                <w:sz w:val="14"/>
                <w:szCs w:val="14"/>
                <w:color w:val="auto"/>
              </w:rPr>
              <w:t>Net earnings...................................................................</w:t>
            </w:r>
          </w:p>
        </w:tc>
        <w:tc>
          <w:tcPr>
            <w:tcW w:w="6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30,325</w:t>
            </w: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48,292</w:t>
            </w:r>
          </w:p>
        </w:tc>
      </w:tr>
      <w:tr>
        <w:trPr>
          <w:trHeight w:val="166"/>
        </w:trPr>
        <w:tc>
          <w:tcPr>
            <w:tcW w:w="68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Adjustments to reconcile net earnings to net cash provided by (used in)</w:t>
            </w:r>
          </w:p>
        </w:tc>
        <w:tc>
          <w:tcPr>
            <w:tcW w:w="6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6820" w:type="dxa"/>
            <w:vAlign w:val="bottom"/>
          </w:tcPr>
          <w:p>
            <w:pPr>
              <w:jc w:val="right"/>
              <w:ind w:right="4328"/>
              <w:spacing w:after="0"/>
              <w:rPr>
                <w:sz w:val="20"/>
                <w:szCs w:val="20"/>
                <w:color w:val="auto"/>
              </w:rPr>
            </w:pPr>
            <w:r>
              <w:rPr>
                <w:rFonts w:ascii="Courier New" w:cs="Courier New" w:eastAsia="Courier New" w:hAnsi="Courier New"/>
                <w:sz w:val="14"/>
                <w:szCs w:val="14"/>
                <w:color w:val="auto"/>
              </w:rPr>
              <w:t>operating activities:</w:t>
            </w:r>
          </w:p>
        </w:tc>
        <w:tc>
          <w:tcPr>
            <w:tcW w:w="6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6820" w:type="dxa"/>
            <w:vAlign w:val="bottom"/>
          </w:tcPr>
          <w:p>
            <w:pPr>
              <w:jc w:val="right"/>
              <w:spacing w:after="0"/>
              <w:rPr>
                <w:sz w:val="20"/>
                <w:szCs w:val="20"/>
                <w:color w:val="auto"/>
              </w:rPr>
            </w:pPr>
            <w:r>
              <w:rPr>
                <w:rFonts w:ascii="Courier New" w:cs="Courier New" w:eastAsia="Courier New" w:hAnsi="Courier New"/>
                <w:sz w:val="14"/>
                <w:szCs w:val="14"/>
                <w:color w:val="auto"/>
              </w:rPr>
              <w:t>Cumulative effect of change in accounting principle.........................</w:t>
            </w:r>
          </w:p>
        </w:tc>
        <w:tc>
          <w:tcPr>
            <w:tcW w:w="600" w:type="dxa"/>
            <w:vAlign w:val="bottom"/>
          </w:tcPr>
          <w:p>
            <w:pPr>
              <w:spacing w:after="0"/>
              <w:rPr>
                <w:sz w:val="14"/>
                <w:szCs w:val="14"/>
                <w:color w:val="auto"/>
              </w:rPr>
            </w:pP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24,614</w:t>
            </w:r>
          </w:p>
        </w:tc>
        <w:tc>
          <w:tcPr>
            <w:tcW w:w="90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820" w:type="dxa"/>
            <w:vAlign w:val="bottom"/>
          </w:tcPr>
          <w:p>
            <w:pPr>
              <w:jc w:val="right"/>
              <w:spacing w:after="0"/>
              <w:rPr>
                <w:sz w:val="20"/>
                <w:szCs w:val="20"/>
                <w:color w:val="auto"/>
              </w:rPr>
            </w:pPr>
            <w:r>
              <w:rPr>
                <w:rFonts w:ascii="Courier New" w:cs="Courier New" w:eastAsia="Courier New" w:hAnsi="Courier New"/>
                <w:sz w:val="14"/>
                <w:szCs w:val="14"/>
                <w:color w:val="auto"/>
              </w:rPr>
              <w:t>Noncash asset impairment write-off..........................................</w:t>
            </w:r>
          </w:p>
        </w:tc>
        <w:tc>
          <w:tcPr>
            <w:tcW w:w="600" w:type="dxa"/>
            <w:vAlign w:val="bottom"/>
          </w:tcPr>
          <w:p>
            <w:pPr>
              <w:spacing w:after="0"/>
              <w:rPr>
                <w:sz w:val="14"/>
                <w:szCs w:val="14"/>
                <w:color w:val="auto"/>
              </w:rPr>
            </w:pP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4,163</w:t>
            </w:r>
          </w:p>
        </w:tc>
        <w:tc>
          <w:tcPr>
            <w:tcW w:w="90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820" w:type="dxa"/>
            <w:vAlign w:val="bottom"/>
          </w:tcPr>
          <w:p>
            <w:pPr>
              <w:jc w:val="right"/>
              <w:spacing w:after="0"/>
              <w:rPr>
                <w:sz w:val="20"/>
                <w:szCs w:val="20"/>
                <w:color w:val="auto"/>
              </w:rPr>
            </w:pPr>
            <w:r>
              <w:rPr>
                <w:rFonts w:ascii="Courier New" w:cs="Courier New" w:eastAsia="Courier New" w:hAnsi="Courier New"/>
                <w:sz w:val="14"/>
                <w:szCs w:val="14"/>
                <w:color w:val="auto"/>
              </w:rPr>
              <w:t>Provision for depreciation and amortization.................................</w:t>
            </w:r>
          </w:p>
        </w:tc>
        <w:tc>
          <w:tcPr>
            <w:tcW w:w="600" w:type="dxa"/>
            <w:vAlign w:val="bottom"/>
          </w:tcPr>
          <w:p>
            <w:pPr>
              <w:spacing w:after="0"/>
              <w:rPr>
                <w:sz w:val="14"/>
                <w:szCs w:val="14"/>
                <w:color w:val="auto"/>
              </w:rPr>
            </w:pP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20,609</w:t>
            </w:r>
          </w:p>
        </w:tc>
        <w:tc>
          <w:tcPr>
            <w:tcW w:w="90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26,508</w:t>
            </w:r>
          </w:p>
        </w:tc>
      </w:tr>
      <w:tr>
        <w:trPr>
          <w:trHeight w:val="166"/>
        </w:trPr>
        <w:tc>
          <w:tcPr>
            <w:tcW w:w="6820" w:type="dxa"/>
            <w:vAlign w:val="bottom"/>
          </w:tcPr>
          <w:p>
            <w:pPr>
              <w:jc w:val="right"/>
              <w:spacing w:after="0"/>
              <w:rPr>
                <w:sz w:val="20"/>
                <w:szCs w:val="20"/>
                <w:color w:val="auto"/>
              </w:rPr>
            </w:pPr>
            <w:r>
              <w:rPr>
                <w:rFonts w:ascii="Courier New" w:cs="Courier New" w:eastAsia="Courier New" w:hAnsi="Courier New"/>
                <w:sz w:val="14"/>
                <w:szCs w:val="14"/>
                <w:color w:val="auto"/>
              </w:rPr>
              <w:t>Write-down of investments...................................................</w:t>
            </w:r>
          </w:p>
        </w:tc>
        <w:tc>
          <w:tcPr>
            <w:tcW w:w="600" w:type="dxa"/>
            <w:vAlign w:val="bottom"/>
          </w:tcPr>
          <w:p>
            <w:pPr>
              <w:spacing w:after="0"/>
              <w:rPr>
                <w:sz w:val="14"/>
                <w:szCs w:val="14"/>
                <w:color w:val="auto"/>
              </w:rPr>
            </w:pP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1,778</w:t>
            </w:r>
          </w:p>
        </w:tc>
      </w:tr>
      <w:tr>
        <w:trPr>
          <w:trHeight w:val="166"/>
        </w:trPr>
        <w:tc>
          <w:tcPr>
            <w:tcW w:w="6820" w:type="dxa"/>
            <w:vAlign w:val="bottom"/>
          </w:tcPr>
          <w:p>
            <w:pPr>
              <w:jc w:val="right"/>
              <w:spacing w:after="0"/>
              <w:rPr>
                <w:sz w:val="20"/>
                <w:szCs w:val="20"/>
                <w:color w:val="auto"/>
              </w:rPr>
            </w:pPr>
            <w:r>
              <w:rPr>
                <w:rFonts w:ascii="Courier New" w:cs="Courier New" w:eastAsia="Courier New" w:hAnsi="Courier New"/>
                <w:sz w:val="14"/>
                <w:szCs w:val="14"/>
                <w:color w:val="auto"/>
              </w:rPr>
              <w:t>Gain on disposal of property, plant, and equipment..........................</w:t>
            </w:r>
          </w:p>
        </w:tc>
        <w:tc>
          <w:tcPr>
            <w:tcW w:w="600" w:type="dxa"/>
            <w:vAlign w:val="bottom"/>
          </w:tcPr>
          <w:p>
            <w:pPr>
              <w:spacing w:after="0"/>
              <w:rPr>
                <w:sz w:val="14"/>
                <w:szCs w:val="14"/>
                <w:color w:val="auto"/>
              </w:rPr>
            </w:pP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(718)</w:t>
            </w:r>
          </w:p>
        </w:tc>
        <w:tc>
          <w:tcPr>
            <w:tcW w:w="9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(46)</w:t>
            </w:r>
          </w:p>
        </w:tc>
      </w:tr>
      <w:tr>
        <w:trPr>
          <w:trHeight w:val="166"/>
        </w:trPr>
        <w:tc>
          <w:tcPr>
            <w:tcW w:w="6820" w:type="dxa"/>
            <w:vAlign w:val="bottom"/>
          </w:tcPr>
          <w:p>
            <w:pPr>
              <w:jc w:val="right"/>
              <w:spacing w:after="0"/>
              <w:rPr>
                <w:sz w:val="20"/>
                <w:szCs w:val="20"/>
                <w:color w:val="auto"/>
              </w:rPr>
            </w:pPr>
            <w:r>
              <w:rPr>
                <w:rFonts w:ascii="Courier New" w:cs="Courier New" w:eastAsia="Courier New" w:hAnsi="Courier New"/>
                <w:sz w:val="14"/>
                <w:szCs w:val="14"/>
                <w:color w:val="auto"/>
              </w:rPr>
              <w:t>Increase in deferred income taxes...........................................</w:t>
            </w:r>
          </w:p>
        </w:tc>
        <w:tc>
          <w:tcPr>
            <w:tcW w:w="600" w:type="dxa"/>
            <w:vAlign w:val="bottom"/>
          </w:tcPr>
          <w:p>
            <w:pPr>
              <w:spacing w:after="0"/>
              <w:rPr>
                <w:sz w:val="14"/>
                <w:szCs w:val="14"/>
                <w:color w:val="auto"/>
              </w:rPr>
            </w:pP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(2,550)</w:t>
            </w:r>
          </w:p>
        </w:tc>
        <w:tc>
          <w:tcPr>
            <w:tcW w:w="9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(5,286)</w:t>
            </w:r>
          </w:p>
        </w:tc>
      </w:tr>
      <w:tr>
        <w:trPr>
          <w:trHeight w:val="166"/>
        </w:trPr>
        <w:tc>
          <w:tcPr>
            <w:tcW w:w="6820" w:type="dxa"/>
            <w:vAlign w:val="bottom"/>
          </w:tcPr>
          <w:p>
            <w:pPr>
              <w:jc w:val="right"/>
              <w:spacing w:after="0"/>
              <w:rPr>
                <w:sz w:val="20"/>
                <w:szCs w:val="20"/>
                <w:color w:val="auto"/>
              </w:rPr>
            </w:pPr>
            <w:r>
              <w:rPr>
                <w:rFonts w:ascii="Courier New" w:cs="Courier New" w:eastAsia="Courier New" w:hAnsi="Courier New"/>
                <w:sz w:val="14"/>
                <w:szCs w:val="14"/>
                <w:color w:val="auto"/>
              </w:rPr>
              <w:t>Tax benefits related to employee stock option transactions..................</w:t>
            </w:r>
          </w:p>
        </w:tc>
        <w:tc>
          <w:tcPr>
            <w:tcW w:w="600" w:type="dxa"/>
            <w:vAlign w:val="bottom"/>
          </w:tcPr>
          <w:p>
            <w:pPr>
              <w:spacing w:after="0"/>
              <w:rPr>
                <w:sz w:val="14"/>
                <w:szCs w:val="14"/>
                <w:color w:val="auto"/>
              </w:rPr>
            </w:pP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1,420</w:t>
            </w:r>
          </w:p>
        </w:tc>
        <w:tc>
          <w:tcPr>
            <w:tcW w:w="90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4,501</w:t>
            </w:r>
          </w:p>
        </w:tc>
      </w:tr>
      <w:tr>
        <w:trPr>
          <w:trHeight w:val="166"/>
        </w:trPr>
        <w:tc>
          <w:tcPr>
            <w:tcW w:w="6820" w:type="dxa"/>
            <w:vAlign w:val="bottom"/>
          </w:tcPr>
          <w:p>
            <w:pPr>
              <w:jc w:val="right"/>
              <w:ind w:right="2688"/>
              <w:spacing w:after="0"/>
              <w:rPr>
                <w:sz w:val="20"/>
                <w:szCs w:val="20"/>
                <w:color w:val="auto"/>
              </w:rPr>
            </w:pPr>
            <w:r>
              <w:rPr>
                <w:rFonts w:ascii="Courier New" w:cs="Courier New" w:eastAsia="Courier New" w:hAnsi="Courier New"/>
                <w:sz w:val="14"/>
                <w:szCs w:val="14"/>
                <w:color w:val="auto"/>
              </w:rPr>
              <w:t>Changes in operating assets and liabilities:</w:t>
            </w:r>
          </w:p>
        </w:tc>
        <w:tc>
          <w:tcPr>
            <w:tcW w:w="6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6820" w:type="dxa"/>
            <w:vAlign w:val="bottom"/>
          </w:tcPr>
          <w:p>
            <w:pPr>
              <w:jc w:val="right"/>
              <w:spacing w:after="0"/>
              <w:rPr>
                <w:sz w:val="20"/>
                <w:szCs w:val="20"/>
                <w:color w:val="auto"/>
              </w:rPr>
            </w:pPr>
            <w:r>
              <w:rPr>
                <w:rFonts w:ascii="Courier New" w:cs="Courier New" w:eastAsia="Courier New" w:hAnsi="Courier New"/>
                <w:sz w:val="14"/>
                <w:szCs w:val="14"/>
                <w:color w:val="auto"/>
              </w:rPr>
              <w:t>Receivables, net.......................................................</w:t>
            </w:r>
          </w:p>
        </w:tc>
        <w:tc>
          <w:tcPr>
            <w:tcW w:w="600" w:type="dxa"/>
            <w:vAlign w:val="bottom"/>
          </w:tcPr>
          <w:p>
            <w:pPr>
              <w:spacing w:after="0"/>
              <w:rPr>
                <w:sz w:val="14"/>
                <w:szCs w:val="14"/>
                <w:color w:val="auto"/>
              </w:rPr>
            </w:pP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(70,214)</w:t>
            </w:r>
          </w:p>
        </w:tc>
        <w:tc>
          <w:tcPr>
            <w:tcW w:w="9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(79,558)</w:t>
            </w:r>
          </w:p>
        </w:tc>
      </w:tr>
      <w:tr>
        <w:trPr>
          <w:trHeight w:val="166"/>
        </w:trPr>
        <w:tc>
          <w:tcPr>
            <w:tcW w:w="6820" w:type="dxa"/>
            <w:vAlign w:val="bottom"/>
          </w:tcPr>
          <w:p>
            <w:pPr>
              <w:jc w:val="right"/>
              <w:spacing w:after="0"/>
              <w:rPr>
                <w:sz w:val="20"/>
                <w:szCs w:val="20"/>
                <w:color w:val="auto"/>
              </w:rPr>
            </w:pPr>
            <w:r>
              <w:rPr>
                <w:rFonts w:ascii="Courier New" w:cs="Courier New" w:eastAsia="Courier New" w:hAnsi="Courier New"/>
                <w:sz w:val="14"/>
                <w:szCs w:val="14"/>
                <w:color w:val="auto"/>
              </w:rPr>
              <w:t>Inventories, net.......................................................</w:t>
            </w:r>
          </w:p>
        </w:tc>
        <w:tc>
          <w:tcPr>
            <w:tcW w:w="600" w:type="dxa"/>
            <w:vAlign w:val="bottom"/>
          </w:tcPr>
          <w:p>
            <w:pPr>
              <w:spacing w:after="0"/>
              <w:rPr>
                <w:sz w:val="14"/>
                <w:szCs w:val="14"/>
                <w:color w:val="auto"/>
              </w:rPr>
            </w:pP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25,341</w:t>
            </w:r>
          </w:p>
        </w:tc>
        <w:tc>
          <w:tcPr>
            <w:tcW w:w="9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(36,792)</w:t>
            </w:r>
          </w:p>
        </w:tc>
      </w:tr>
      <w:tr>
        <w:trPr>
          <w:trHeight w:val="166"/>
        </w:trPr>
        <w:tc>
          <w:tcPr>
            <w:tcW w:w="6820" w:type="dxa"/>
            <w:vAlign w:val="bottom"/>
          </w:tcPr>
          <w:p>
            <w:pPr>
              <w:jc w:val="right"/>
              <w:spacing w:after="0"/>
              <w:rPr>
                <w:sz w:val="20"/>
                <w:szCs w:val="20"/>
                <w:color w:val="auto"/>
              </w:rPr>
            </w:pPr>
            <w:r>
              <w:rPr>
                <w:rFonts w:ascii="Courier New" w:cs="Courier New" w:eastAsia="Courier New" w:hAnsi="Courier New"/>
                <w:sz w:val="14"/>
                <w:szCs w:val="14"/>
                <w:color w:val="auto"/>
              </w:rPr>
              <w:t>Prepaid expenses and other current assets..............................</w:t>
            </w:r>
          </w:p>
        </w:tc>
        <w:tc>
          <w:tcPr>
            <w:tcW w:w="600" w:type="dxa"/>
            <w:vAlign w:val="bottom"/>
          </w:tcPr>
          <w:p>
            <w:pPr>
              <w:spacing w:after="0"/>
              <w:rPr>
                <w:sz w:val="14"/>
                <w:szCs w:val="14"/>
                <w:color w:val="auto"/>
              </w:rPr>
            </w:pP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257</w:t>
            </w:r>
          </w:p>
        </w:tc>
        <w:tc>
          <w:tcPr>
            <w:tcW w:w="90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2,147</w:t>
            </w:r>
          </w:p>
        </w:tc>
      </w:tr>
      <w:tr>
        <w:trPr>
          <w:trHeight w:val="166"/>
        </w:trPr>
        <w:tc>
          <w:tcPr>
            <w:tcW w:w="6820" w:type="dxa"/>
            <w:vAlign w:val="bottom"/>
          </w:tcPr>
          <w:p>
            <w:pPr>
              <w:jc w:val="right"/>
              <w:spacing w:after="0"/>
              <w:rPr>
                <w:sz w:val="20"/>
                <w:szCs w:val="20"/>
                <w:color w:val="auto"/>
              </w:rPr>
            </w:pPr>
            <w:r>
              <w:rPr>
                <w:rFonts w:ascii="Courier New" w:cs="Courier New" w:eastAsia="Courier New" w:hAnsi="Courier New"/>
                <w:sz w:val="14"/>
                <w:szCs w:val="14"/>
                <w:color w:val="auto"/>
              </w:rPr>
              <w:t>Accounts payable and accrued liabilities...............................</w:t>
            </w:r>
          </w:p>
        </w:tc>
        <w:tc>
          <w:tcPr>
            <w:tcW w:w="600" w:type="dxa"/>
            <w:vAlign w:val="bottom"/>
          </w:tcPr>
          <w:p>
            <w:pPr>
              <w:spacing w:after="0"/>
              <w:rPr>
                <w:sz w:val="14"/>
                <w:szCs w:val="14"/>
                <w:color w:val="auto"/>
              </w:rPr>
            </w:pP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28,431</w:t>
            </w:r>
          </w:p>
        </w:tc>
        <w:tc>
          <w:tcPr>
            <w:tcW w:w="90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13,187</w:t>
            </w:r>
          </w:p>
        </w:tc>
      </w:tr>
      <w:tr>
        <w:trPr>
          <w:trHeight w:val="166"/>
        </w:trPr>
        <w:tc>
          <w:tcPr>
            <w:tcW w:w="6820" w:type="dxa"/>
            <w:vAlign w:val="bottom"/>
          </w:tcPr>
          <w:p>
            <w:pPr>
              <w:spacing w:after="0"/>
              <w:rPr>
                <w:sz w:val="14"/>
                <w:szCs w:val="14"/>
                <w:color w:val="auto"/>
              </w:rPr>
            </w:pPr>
          </w:p>
        </w:tc>
        <w:tc>
          <w:tcPr>
            <w:tcW w:w="202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21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820" w:type="dxa"/>
            <w:vAlign w:val="bottom"/>
          </w:tcPr>
          <w:p>
            <w:pPr>
              <w:jc w:val="right"/>
              <w:spacing w:after="0"/>
              <w:rPr>
                <w:sz w:val="20"/>
                <w:szCs w:val="20"/>
                <w:color w:val="auto"/>
              </w:rPr>
            </w:pPr>
            <w:r>
              <w:rPr>
                <w:rFonts w:ascii="Courier New" w:cs="Courier New" w:eastAsia="Courier New" w:hAnsi="Courier New"/>
                <w:sz w:val="14"/>
                <w:szCs w:val="14"/>
                <w:color w:val="auto"/>
              </w:rPr>
              <w:t>Net cash provided by (used in) operating activities................</w:t>
            </w:r>
          </w:p>
        </w:tc>
        <w:tc>
          <w:tcPr>
            <w:tcW w:w="600" w:type="dxa"/>
            <w:vAlign w:val="bottom"/>
          </w:tcPr>
          <w:p>
            <w:pPr>
              <w:spacing w:after="0"/>
              <w:rPr>
                <w:sz w:val="14"/>
                <w:szCs w:val="14"/>
                <w:color w:val="auto"/>
              </w:rPr>
            </w:pP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61,678</w:t>
            </w:r>
          </w:p>
        </w:tc>
        <w:tc>
          <w:tcPr>
            <w:tcW w:w="9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(25,269)</w:t>
            </w:r>
          </w:p>
        </w:tc>
      </w:tr>
      <w:tr>
        <w:trPr>
          <w:trHeight w:val="166"/>
        </w:trPr>
        <w:tc>
          <w:tcPr>
            <w:tcW w:w="6820" w:type="dxa"/>
            <w:vAlign w:val="bottom"/>
          </w:tcPr>
          <w:p>
            <w:pPr>
              <w:spacing w:after="0"/>
              <w:rPr>
                <w:sz w:val="14"/>
                <w:szCs w:val="14"/>
                <w:color w:val="auto"/>
              </w:rPr>
            </w:pPr>
          </w:p>
        </w:tc>
        <w:tc>
          <w:tcPr>
            <w:tcW w:w="202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21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820" w:type="dxa"/>
            <w:vAlign w:val="bottom"/>
          </w:tcPr>
          <w:p>
            <w:pPr>
              <w:spacing w:after="0"/>
              <w:rPr>
                <w:sz w:val="20"/>
                <w:szCs w:val="20"/>
                <w:color w:val="auto"/>
              </w:rPr>
            </w:pPr>
            <w:r>
              <w:rPr>
                <w:rFonts w:ascii="Courier New" w:cs="Courier New" w:eastAsia="Courier New" w:hAnsi="Courier New"/>
                <w:sz w:val="14"/>
                <w:szCs w:val="14"/>
                <w:color w:val="auto"/>
              </w:rPr>
              <w:t>Cash flows from investing activities:</w:t>
            </w:r>
          </w:p>
        </w:tc>
        <w:tc>
          <w:tcPr>
            <w:tcW w:w="6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6"/>
        </w:trPr>
        <w:tc>
          <w:tcPr>
            <w:tcW w:w="6820" w:type="dxa"/>
            <w:vAlign w:val="bottom"/>
          </w:tcPr>
          <w:p>
            <w:pPr>
              <w:jc w:val="right"/>
              <w:spacing w:after="0"/>
              <w:rPr>
                <w:sz w:val="20"/>
                <w:szCs w:val="20"/>
                <w:color w:val="auto"/>
              </w:rPr>
            </w:pPr>
            <w:r>
              <w:rPr>
                <w:rFonts w:ascii="Courier New" w:cs="Courier New" w:eastAsia="Courier New" w:hAnsi="Courier New"/>
                <w:sz w:val="14"/>
                <w:szCs w:val="14"/>
                <w:color w:val="auto"/>
              </w:rPr>
              <w:t>Purchases of property, plant, and equipment.................................</w:t>
            </w:r>
          </w:p>
        </w:tc>
        <w:tc>
          <w:tcPr>
            <w:tcW w:w="600" w:type="dxa"/>
            <w:vAlign w:val="bottom"/>
          </w:tcPr>
          <w:p>
            <w:pPr>
              <w:spacing w:after="0"/>
              <w:rPr>
                <w:sz w:val="14"/>
                <w:szCs w:val="14"/>
                <w:color w:val="auto"/>
              </w:rPr>
            </w:pP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(32,866)</w:t>
            </w:r>
          </w:p>
        </w:tc>
        <w:tc>
          <w:tcPr>
            <w:tcW w:w="9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(23,376)</w:t>
            </w:r>
          </w:p>
        </w:tc>
      </w:tr>
      <w:tr>
        <w:trPr>
          <w:trHeight w:val="166"/>
        </w:trPr>
        <w:tc>
          <w:tcPr>
            <w:tcW w:w="6820" w:type="dxa"/>
            <w:vAlign w:val="bottom"/>
          </w:tcPr>
          <w:p>
            <w:pPr>
              <w:jc w:val="right"/>
              <w:spacing w:after="0"/>
              <w:rPr>
                <w:sz w:val="20"/>
                <w:szCs w:val="20"/>
                <w:color w:val="auto"/>
              </w:rPr>
            </w:pPr>
            <w:r>
              <w:rPr>
                <w:rFonts w:ascii="Courier New" w:cs="Courier New" w:eastAsia="Courier New" w:hAnsi="Courier New"/>
                <w:sz w:val="14"/>
                <w:szCs w:val="14"/>
                <w:color w:val="auto"/>
              </w:rPr>
              <w:t>Proceeds from asset disposals...............................................</w:t>
            </w:r>
          </w:p>
        </w:tc>
        <w:tc>
          <w:tcPr>
            <w:tcW w:w="600" w:type="dxa"/>
            <w:vAlign w:val="bottom"/>
          </w:tcPr>
          <w:p>
            <w:pPr>
              <w:spacing w:after="0"/>
              <w:rPr>
                <w:sz w:val="14"/>
                <w:szCs w:val="14"/>
                <w:color w:val="auto"/>
              </w:rPr>
            </w:pP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2,055</w:t>
            </w:r>
          </w:p>
        </w:tc>
        <w:tc>
          <w:tcPr>
            <w:tcW w:w="90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2,181</w:t>
            </w:r>
          </w:p>
        </w:tc>
      </w:tr>
      <w:tr>
        <w:trPr>
          <w:trHeight w:val="166"/>
        </w:trPr>
        <w:tc>
          <w:tcPr>
            <w:tcW w:w="6820" w:type="dxa"/>
            <w:vAlign w:val="bottom"/>
          </w:tcPr>
          <w:p>
            <w:pPr>
              <w:jc w:val="right"/>
              <w:spacing w:after="0"/>
              <w:rPr>
                <w:sz w:val="20"/>
                <w:szCs w:val="20"/>
                <w:color w:val="auto"/>
              </w:rPr>
            </w:pPr>
            <w:r>
              <w:rPr>
                <w:rFonts w:ascii="Courier New" w:cs="Courier New" w:eastAsia="Courier New" w:hAnsi="Courier New"/>
                <w:sz w:val="14"/>
                <w:szCs w:val="14"/>
                <w:color w:val="auto"/>
              </w:rPr>
              <w:t>Decrease in investment in affiliates........................................</w:t>
            </w:r>
          </w:p>
        </w:tc>
        <w:tc>
          <w:tcPr>
            <w:tcW w:w="600" w:type="dxa"/>
            <w:vAlign w:val="bottom"/>
          </w:tcPr>
          <w:p>
            <w:pPr>
              <w:spacing w:after="0"/>
              <w:rPr>
                <w:sz w:val="14"/>
                <w:szCs w:val="14"/>
                <w:color w:val="auto"/>
              </w:rPr>
            </w:pP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154</w:t>
            </w:r>
          </w:p>
        </w:tc>
      </w:tr>
      <w:tr>
        <w:trPr>
          <w:trHeight w:val="166"/>
        </w:trPr>
        <w:tc>
          <w:tcPr>
            <w:tcW w:w="6820" w:type="dxa"/>
            <w:vAlign w:val="bottom"/>
          </w:tcPr>
          <w:p>
            <w:pPr>
              <w:jc w:val="right"/>
              <w:spacing w:after="0"/>
              <w:rPr>
                <w:sz w:val="20"/>
                <w:szCs w:val="20"/>
                <w:color w:val="auto"/>
              </w:rPr>
            </w:pPr>
            <w:r>
              <w:rPr>
                <w:rFonts w:ascii="Courier New" w:cs="Courier New" w:eastAsia="Courier New" w:hAnsi="Courier New"/>
                <w:sz w:val="14"/>
                <w:szCs w:val="14"/>
                <w:color w:val="auto"/>
              </w:rPr>
              <w:t>Increase in other assets....................................................</w:t>
            </w:r>
          </w:p>
        </w:tc>
        <w:tc>
          <w:tcPr>
            <w:tcW w:w="600" w:type="dxa"/>
            <w:vAlign w:val="bottom"/>
          </w:tcPr>
          <w:p>
            <w:pPr>
              <w:spacing w:after="0"/>
              <w:rPr>
                <w:sz w:val="14"/>
                <w:szCs w:val="14"/>
                <w:color w:val="auto"/>
              </w:rPr>
            </w:pP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(2,847)</w:t>
            </w:r>
          </w:p>
        </w:tc>
        <w:tc>
          <w:tcPr>
            <w:tcW w:w="9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(3,027)</w:t>
            </w:r>
          </w:p>
        </w:tc>
      </w:tr>
      <w:tr>
        <w:trPr>
          <w:trHeight w:val="166"/>
        </w:trPr>
        <w:tc>
          <w:tcPr>
            <w:tcW w:w="6820" w:type="dxa"/>
            <w:vAlign w:val="bottom"/>
          </w:tcPr>
          <w:p>
            <w:pPr>
              <w:jc w:val="right"/>
              <w:spacing w:after="0"/>
              <w:rPr>
                <w:sz w:val="20"/>
                <w:szCs w:val="20"/>
                <w:color w:val="auto"/>
              </w:rPr>
            </w:pPr>
            <w:r>
              <w:rPr>
                <w:rFonts w:ascii="Courier New" w:cs="Courier New" w:eastAsia="Courier New" w:hAnsi="Courier New"/>
                <w:sz w:val="14"/>
                <w:szCs w:val="14"/>
                <w:color w:val="auto"/>
              </w:rPr>
              <w:t>Acquisitions, net of cash acquired..........................................</w:t>
            </w:r>
          </w:p>
        </w:tc>
        <w:tc>
          <w:tcPr>
            <w:tcW w:w="600" w:type="dxa"/>
            <w:vAlign w:val="bottom"/>
          </w:tcPr>
          <w:p>
            <w:pPr>
              <w:spacing w:after="0"/>
              <w:rPr>
                <w:sz w:val="14"/>
                <w:szCs w:val="14"/>
                <w:color w:val="auto"/>
              </w:rPr>
            </w:pP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(8,549)</w:t>
            </w:r>
          </w:p>
        </w:tc>
      </w:tr>
      <w:tr>
        <w:trPr>
          <w:trHeight w:val="166"/>
        </w:trPr>
        <w:tc>
          <w:tcPr>
            <w:tcW w:w="6820" w:type="dxa"/>
            <w:vAlign w:val="bottom"/>
          </w:tcPr>
          <w:p>
            <w:pPr>
              <w:spacing w:after="0"/>
              <w:rPr>
                <w:sz w:val="14"/>
                <w:szCs w:val="14"/>
                <w:color w:val="auto"/>
              </w:rPr>
            </w:pPr>
          </w:p>
        </w:tc>
        <w:tc>
          <w:tcPr>
            <w:tcW w:w="202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21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820" w:type="dxa"/>
            <w:vAlign w:val="bottom"/>
          </w:tcPr>
          <w:p>
            <w:pPr>
              <w:jc w:val="right"/>
              <w:spacing w:after="0"/>
              <w:rPr>
                <w:sz w:val="20"/>
                <w:szCs w:val="20"/>
                <w:color w:val="auto"/>
              </w:rPr>
            </w:pPr>
            <w:r>
              <w:rPr>
                <w:rFonts w:ascii="Courier New" w:cs="Courier New" w:eastAsia="Courier New" w:hAnsi="Courier New"/>
                <w:sz w:val="14"/>
                <w:szCs w:val="14"/>
                <w:color w:val="auto"/>
              </w:rPr>
              <w:t>Net cash used in investing activities..............................</w:t>
            </w:r>
          </w:p>
        </w:tc>
        <w:tc>
          <w:tcPr>
            <w:tcW w:w="600" w:type="dxa"/>
            <w:vAlign w:val="bottom"/>
          </w:tcPr>
          <w:p>
            <w:pPr>
              <w:spacing w:after="0"/>
              <w:rPr>
                <w:sz w:val="14"/>
                <w:szCs w:val="14"/>
                <w:color w:val="auto"/>
              </w:rPr>
            </w:pP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(33,658)</w:t>
            </w:r>
          </w:p>
        </w:tc>
        <w:tc>
          <w:tcPr>
            <w:tcW w:w="9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(32,617)</w:t>
            </w:r>
          </w:p>
        </w:tc>
      </w:tr>
      <w:tr>
        <w:trPr>
          <w:trHeight w:val="166"/>
        </w:trPr>
        <w:tc>
          <w:tcPr>
            <w:tcW w:w="6820" w:type="dxa"/>
            <w:vAlign w:val="bottom"/>
          </w:tcPr>
          <w:p>
            <w:pPr>
              <w:spacing w:after="0"/>
              <w:rPr>
                <w:sz w:val="14"/>
                <w:szCs w:val="14"/>
                <w:color w:val="auto"/>
              </w:rPr>
            </w:pPr>
          </w:p>
        </w:tc>
        <w:tc>
          <w:tcPr>
            <w:tcW w:w="202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21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820" w:type="dxa"/>
            <w:vAlign w:val="bottom"/>
          </w:tcPr>
          <w:p>
            <w:pPr>
              <w:spacing w:after="0"/>
              <w:rPr>
                <w:sz w:val="20"/>
                <w:szCs w:val="20"/>
                <w:color w:val="auto"/>
              </w:rPr>
            </w:pPr>
            <w:r>
              <w:rPr>
                <w:rFonts w:ascii="Courier New" w:cs="Courier New" w:eastAsia="Courier New" w:hAnsi="Courier New"/>
                <w:sz w:val="14"/>
                <w:szCs w:val="14"/>
                <w:color w:val="auto"/>
              </w:rPr>
              <w:t>Cash flows from financing activities:</w:t>
            </w:r>
          </w:p>
        </w:tc>
        <w:tc>
          <w:tcPr>
            <w:tcW w:w="6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6"/>
        </w:trPr>
        <w:tc>
          <w:tcPr>
            <w:tcW w:w="6820" w:type="dxa"/>
            <w:vAlign w:val="bottom"/>
          </w:tcPr>
          <w:p>
            <w:pPr>
              <w:jc w:val="right"/>
              <w:spacing w:after="0"/>
              <w:rPr>
                <w:sz w:val="20"/>
                <w:szCs w:val="20"/>
                <w:color w:val="auto"/>
              </w:rPr>
            </w:pPr>
            <w:r>
              <w:rPr>
                <w:rFonts w:ascii="Courier New" w:cs="Courier New" w:eastAsia="Courier New" w:hAnsi="Courier New"/>
                <w:sz w:val="14"/>
                <w:szCs w:val="14"/>
                <w:color w:val="auto"/>
              </w:rPr>
              <w:t>(Decrease) increase in short-term debt......................................</w:t>
            </w:r>
          </w:p>
        </w:tc>
        <w:tc>
          <w:tcPr>
            <w:tcW w:w="600" w:type="dxa"/>
            <w:vAlign w:val="bottom"/>
          </w:tcPr>
          <w:p>
            <w:pPr>
              <w:spacing w:after="0"/>
              <w:rPr>
                <w:sz w:val="14"/>
                <w:szCs w:val="14"/>
                <w:color w:val="auto"/>
              </w:rPr>
            </w:pP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(26,402)</w:t>
            </w:r>
          </w:p>
        </w:tc>
        <w:tc>
          <w:tcPr>
            <w:tcW w:w="90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79,190</w:t>
            </w:r>
          </w:p>
        </w:tc>
      </w:tr>
      <w:tr>
        <w:trPr>
          <w:trHeight w:val="166"/>
        </w:trPr>
        <w:tc>
          <w:tcPr>
            <w:tcW w:w="6820" w:type="dxa"/>
            <w:vAlign w:val="bottom"/>
          </w:tcPr>
          <w:p>
            <w:pPr>
              <w:jc w:val="right"/>
              <w:spacing w:after="0"/>
              <w:rPr>
                <w:sz w:val="20"/>
                <w:szCs w:val="20"/>
                <w:color w:val="auto"/>
              </w:rPr>
            </w:pPr>
            <w:r>
              <w:rPr>
                <w:rFonts w:ascii="Courier New" w:cs="Courier New" w:eastAsia="Courier New" w:hAnsi="Courier New"/>
                <w:sz w:val="14"/>
                <w:szCs w:val="14"/>
                <w:color w:val="auto"/>
              </w:rPr>
              <w:t>Repayments of long-term debt................................................</w:t>
            </w:r>
          </w:p>
        </w:tc>
        <w:tc>
          <w:tcPr>
            <w:tcW w:w="600" w:type="dxa"/>
            <w:vAlign w:val="bottom"/>
          </w:tcPr>
          <w:p>
            <w:pPr>
              <w:spacing w:after="0"/>
              <w:rPr>
                <w:sz w:val="14"/>
                <w:szCs w:val="14"/>
                <w:color w:val="auto"/>
              </w:rPr>
            </w:pP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(486)</w:t>
            </w:r>
          </w:p>
        </w:tc>
        <w:tc>
          <w:tcPr>
            <w:tcW w:w="9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(64)</w:t>
            </w:r>
          </w:p>
        </w:tc>
      </w:tr>
      <w:tr>
        <w:trPr>
          <w:trHeight w:val="166"/>
        </w:trPr>
        <w:tc>
          <w:tcPr>
            <w:tcW w:w="6820" w:type="dxa"/>
            <w:vAlign w:val="bottom"/>
          </w:tcPr>
          <w:p>
            <w:pPr>
              <w:jc w:val="right"/>
              <w:spacing w:after="0"/>
              <w:rPr>
                <w:sz w:val="20"/>
                <w:szCs w:val="20"/>
                <w:color w:val="auto"/>
              </w:rPr>
            </w:pPr>
            <w:r>
              <w:rPr>
                <w:rFonts w:ascii="Courier New" w:cs="Courier New" w:eastAsia="Courier New" w:hAnsi="Courier New"/>
                <w:sz w:val="14"/>
                <w:szCs w:val="14"/>
                <w:color w:val="auto"/>
              </w:rPr>
              <w:t>Increase in other long-term liabilities.....................................</w:t>
            </w:r>
          </w:p>
        </w:tc>
        <w:tc>
          <w:tcPr>
            <w:tcW w:w="600" w:type="dxa"/>
            <w:vAlign w:val="bottom"/>
          </w:tcPr>
          <w:p>
            <w:pPr>
              <w:spacing w:after="0"/>
              <w:rPr>
                <w:sz w:val="14"/>
                <w:szCs w:val="14"/>
                <w:color w:val="auto"/>
              </w:rPr>
            </w:pP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280</w:t>
            </w:r>
          </w:p>
        </w:tc>
        <w:tc>
          <w:tcPr>
            <w:tcW w:w="90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440</w:t>
            </w:r>
          </w:p>
        </w:tc>
      </w:tr>
      <w:tr>
        <w:trPr>
          <w:trHeight w:val="166"/>
        </w:trPr>
        <w:tc>
          <w:tcPr>
            <w:tcW w:w="6820" w:type="dxa"/>
            <w:vAlign w:val="bottom"/>
          </w:tcPr>
          <w:p>
            <w:pPr>
              <w:jc w:val="right"/>
              <w:spacing w:after="0"/>
              <w:rPr>
                <w:sz w:val="20"/>
                <w:szCs w:val="20"/>
                <w:color w:val="auto"/>
              </w:rPr>
            </w:pPr>
            <w:r>
              <w:rPr>
                <w:rFonts w:ascii="Courier New" w:cs="Courier New" w:eastAsia="Courier New" w:hAnsi="Courier New"/>
                <w:sz w:val="14"/>
                <w:szCs w:val="14"/>
                <w:color w:val="auto"/>
              </w:rPr>
              <w:t>Proceeds from exercise of stock options.....................................</w:t>
            </w:r>
          </w:p>
        </w:tc>
        <w:tc>
          <w:tcPr>
            <w:tcW w:w="600" w:type="dxa"/>
            <w:vAlign w:val="bottom"/>
          </w:tcPr>
          <w:p>
            <w:pPr>
              <w:spacing w:after="0"/>
              <w:rPr>
                <w:sz w:val="14"/>
                <w:szCs w:val="14"/>
                <w:color w:val="auto"/>
              </w:rPr>
            </w:pP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11,827</w:t>
            </w:r>
          </w:p>
        </w:tc>
        <w:tc>
          <w:tcPr>
            <w:tcW w:w="90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15,548</w:t>
            </w:r>
          </w:p>
        </w:tc>
      </w:tr>
      <w:tr>
        <w:trPr>
          <w:trHeight w:val="166"/>
        </w:trPr>
        <w:tc>
          <w:tcPr>
            <w:tcW w:w="6820" w:type="dxa"/>
            <w:vAlign w:val="bottom"/>
          </w:tcPr>
          <w:p>
            <w:pPr>
              <w:jc w:val="right"/>
              <w:spacing w:after="0"/>
              <w:rPr>
                <w:sz w:val="20"/>
                <w:szCs w:val="20"/>
                <w:color w:val="auto"/>
              </w:rPr>
            </w:pPr>
            <w:r>
              <w:rPr>
                <w:rFonts w:ascii="Courier New" w:cs="Courier New" w:eastAsia="Courier New" w:hAnsi="Courier New"/>
                <w:sz w:val="14"/>
                <w:szCs w:val="14"/>
                <w:color w:val="auto"/>
              </w:rPr>
              <w:t>Purchases of common stock...................................................</w:t>
            </w:r>
          </w:p>
        </w:tc>
        <w:tc>
          <w:tcPr>
            <w:tcW w:w="600" w:type="dxa"/>
            <w:vAlign w:val="bottom"/>
          </w:tcPr>
          <w:p>
            <w:pPr>
              <w:spacing w:after="0"/>
              <w:rPr>
                <w:sz w:val="14"/>
                <w:szCs w:val="14"/>
                <w:color w:val="auto"/>
              </w:rPr>
            </w:pP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(22,558)</w:t>
            </w:r>
          </w:p>
        </w:tc>
        <w:tc>
          <w:tcPr>
            <w:tcW w:w="9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(33,559)</w:t>
            </w:r>
          </w:p>
        </w:tc>
      </w:tr>
      <w:tr>
        <w:trPr>
          <w:trHeight w:val="166"/>
        </w:trPr>
        <w:tc>
          <w:tcPr>
            <w:tcW w:w="6820" w:type="dxa"/>
            <w:vAlign w:val="bottom"/>
          </w:tcPr>
          <w:p>
            <w:pPr>
              <w:jc w:val="right"/>
              <w:spacing w:after="0"/>
              <w:rPr>
                <w:sz w:val="20"/>
                <w:szCs w:val="20"/>
                <w:color w:val="auto"/>
              </w:rPr>
            </w:pPr>
            <w:r>
              <w:rPr>
                <w:rFonts w:ascii="Courier New" w:cs="Courier New" w:eastAsia="Courier New" w:hAnsi="Courier New"/>
                <w:sz w:val="14"/>
                <w:szCs w:val="14"/>
                <w:color w:val="auto"/>
              </w:rPr>
              <w:t>Dividends on common stock...................................................</w:t>
            </w:r>
          </w:p>
        </w:tc>
        <w:tc>
          <w:tcPr>
            <w:tcW w:w="600" w:type="dxa"/>
            <w:vAlign w:val="bottom"/>
          </w:tcPr>
          <w:p>
            <w:pPr>
              <w:spacing w:after="0"/>
              <w:rPr>
                <w:sz w:val="14"/>
                <w:szCs w:val="14"/>
                <w:color w:val="auto"/>
              </w:rPr>
            </w:pP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(4,538)</w:t>
            </w:r>
          </w:p>
        </w:tc>
        <w:tc>
          <w:tcPr>
            <w:tcW w:w="9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(4,605)</w:t>
            </w:r>
          </w:p>
        </w:tc>
      </w:tr>
      <w:tr>
        <w:trPr>
          <w:trHeight w:val="166"/>
        </w:trPr>
        <w:tc>
          <w:tcPr>
            <w:tcW w:w="6820" w:type="dxa"/>
            <w:vAlign w:val="bottom"/>
          </w:tcPr>
          <w:p>
            <w:pPr>
              <w:spacing w:after="0"/>
              <w:rPr>
                <w:sz w:val="14"/>
                <w:szCs w:val="14"/>
                <w:color w:val="auto"/>
              </w:rPr>
            </w:pPr>
          </w:p>
        </w:tc>
        <w:tc>
          <w:tcPr>
            <w:tcW w:w="202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21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820" w:type="dxa"/>
            <w:vAlign w:val="bottom"/>
          </w:tcPr>
          <w:p>
            <w:pPr>
              <w:jc w:val="right"/>
              <w:spacing w:after="0"/>
              <w:rPr>
                <w:sz w:val="20"/>
                <w:szCs w:val="20"/>
                <w:color w:val="auto"/>
              </w:rPr>
            </w:pPr>
            <w:r>
              <w:rPr>
                <w:rFonts w:ascii="Courier New" w:cs="Courier New" w:eastAsia="Courier New" w:hAnsi="Courier New"/>
                <w:sz w:val="14"/>
                <w:szCs w:val="14"/>
                <w:color w:val="auto"/>
              </w:rPr>
              <w:t>Net cash (used in) provided by financing activities................</w:t>
            </w:r>
          </w:p>
        </w:tc>
        <w:tc>
          <w:tcPr>
            <w:tcW w:w="600" w:type="dxa"/>
            <w:vAlign w:val="bottom"/>
          </w:tcPr>
          <w:p>
            <w:pPr>
              <w:spacing w:after="0"/>
              <w:rPr>
                <w:sz w:val="14"/>
                <w:szCs w:val="14"/>
                <w:color w:val="auto"/>
              </w:rPr>
            </w:pP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(41,877)</w:t>
            </w:r>
          </w:p>
        </w:tc>
        <w:tc>
          <w:tcPr>
            <w:tcW w:w="90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56,950</w:t>
            </w:r>
          </w:p>
        </w:tc>
      </w:tr>
      <w:tr>
        <w:trPr>
          <w:trHeight w:val="166"/>
        </w:trPr>
        <w:tc>
          <w:tcPr>
            <w:tcW w:w="6820" w:type="dxa"/>
            <w:vAlign w:val="bottom"/>
          </w:tcPr>
          <w:p>
            <w:pPr>
              <w:spacing w:after="0"/>
              <w:rPr>
                <w:sz w:val="14"/>
                <w:szCs w:val="14"/>
                <w:color w:val="auto"/>
              </w:rPr>
            </w:pPr>
          </w:p>
        </w:tc>
        <w:tc>
          <w:tcPr>
            <w:tcW w:w="202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21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820" w:type="dxa"/>
            <w:vAlign w:val="bottom"/>
          </w:tcPr>
          <w:p>
            <w:pPr>
              <w:jc w:val="right"/>
              <w:spacing w:after="0"/>
              <w:rPr>
                <w:sz w:val="20"/>
                <w:szCs w:val="20"/>
                <w:color w:val="auto"/>
              </w:rPr>
            </w:pPr>
            <w:r>
              <w:rPr>
                <w:rFonts w:ascii="Courier New" w:cs="Courier New" w:eastAsia="Courier New" w:hAnsi="Courier New"/>
                <w:sz w:val="14"/>
                <w:szCs w:val="14"/>
                <w:color w:val="auto"/>
              </w:rPr>
              <w:t>Foreign currency translation adjustment........................................</w:t>
            </w:r>
          </w:p>
        </w:tc>
        <w:tc>
          <w:tcPr>
            <w:tcW w:w="600" w:type="dxa"/>
            <w:vAlign w:val="bottom"/>
          </w:tcPr>
          <w:p>
            <w:pPr>
              <w:spacing w:after="0"/>
              <w:rPr>
                <w:sz w:val="24"/>
                <w:szCs w:val="24"/>
                <w:color w:val="auto"/>
              </w:rPr>
            </w:pP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987</w:t>
            </w:r>
          </w:p>
        </w:tc>
        <w:tc>
          <w:tcPr>
            <w:tcW w:w="900" w:type="dxa"/>
            <w:vAlign w:val="bottom"/>
          </w:tcPr>
          <w:p>
            <w:pPr>
              <w:spacing w:after="0"/>
              <w:rPr>
                <w:sz w:val="24"/>
                <w:szCs w:val="2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w:t>
            </w:r>
          </w:p>
        </w:tc>
      </w:tr>
      <w:tr>
        <w:trPr>
          <w:trHeight w:val="166"/>
        </w:trPr>
        <w:tc>
          <w:tcPr>
            <w:tcW w:w="6820" w:type="dxa"/>
            <w:vAlign w:val="bottom"/>
          </w:tcPr>
          <w:p>
            <w:pPr>
              <w:spacing w:after="0"/>
              <w:rPr>
                <w:sz w:val="14"/>
                <w:szCs w:val="14"/>
                <w:color w:val="auto"/>
              </w:rPr>
            </w:pPr>
          </w:p>
        </w:tc>
        <w:tc>
          <w:tcPr>
            <w:tcW w:w="202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21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820" w:type="dxa"/>
            <w:vAlign w:val="bottom"/>
          </w:tcPr>
          <w:p>
            <w:pPr>
              <w:jc w:val="right"/>
              <w:spacing w:after="0"/>
              <w:rPr>
                <w:sz w:val="20"/>
                <w:szCs w:val="20"/>
                <w:color w:val="auto"/>
              </w:rPr>
            </w:pPr>
            <w:r>
              <w:rPr>
                <w:rFonts w:ascii="Courier New" w:cs="Courier New" w:eastAsia="Courier New" w:hAnsi="Courier New"/>
                <w:sz w:val="14"/>
                <w:szCs w:val="14"/>
                <w:color w:val="auto"/>
              </w:rPr>
              <w:t>Net decrease in cash and cash equivalents......................................</w:t>
            </w:r>
          </w:p>
        </w:tc>
        <w:tc>
          <w:tcPr>
            <w:tcW w:w="600" w:type="dxa"/>
            <w:vAlign w:val="bottom"/>
          </w:tcPr>
          <w:p>
            <w:pPr>
              <w:spacing w:after="0"/>
              <w:rPr>
                <w:sz w:val="24"/>
                <w:szCs w:val="24"/>
                <w:color w:val="auto"/>
              </w:rPr>
            </w:pP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(12,870)</w:t>
            </w:r>
          </w:p>
        </w:tc>
        <w:tc>
          <w:tcPr>
            <w:tcW w:w="9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(888)</w:t>
            </w:r>
          </w:p>
        </w:tc>
      </w:tr>
      <w:tr>
        <w:trPr>
          <w:trHeight w:val="166"/>
        </w:trPr>
        <w:tc>
          <w:tcPr>
            <w:tcW w:w="6820" w:type="dxa"/>
            <w:vAlign w:val="bottom"/>
          </w:tcPr>
          <w:p>
            <w:pPr>
              <w:jc w:val="right"/>
              <w:spacing w:after="0"/>
              <w:rPr>
                <w:sz w:val="20"/>
                <w:szCs w:val="20"/>
                <w:color w:val="auto"/>
              </w:rPr>
            </w:pPr>
            <w:r>
              <w:rPr>
                <w:rFonts w:ascii="Courier New" w:cs="Courier New" w:eastAsia="Courier New" w:hAnsi="Courier New"/>
                <w:sz w:val="14"/>
                <w:szCs w:val="14"/>
                <w:color w:val="auto"/>
              </w:rPr>
              <w:t>Cash and cash equivalents at beginning of period...............................</w:t>
            </w:r>
          </w:p>
        </w:tc>
        <w:tc>
          <w:tcPr>
            <w:tcW w:w="600" w:type="dxa"/>
            <w:vAlign w:val="bottom"/>
          </w:tcPr>
          <w:p>
            <w:pPr>
              <w:spacing w:after="0"/>
              <w:rPr>
                <w:sz w:val="14"/>
                <w:szCs w:val="14"/>
                <w:color w:val="auto"/>
              </w:rPr>
            </w:pP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12,876</w:t>
            </w:r>
          </w:p>
        </w:tc>
        <w:tc>
          <w:tcPr>
            <w:tcW w:w="90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978</w:t>
            </w:r>
          </w:p>
        </w:tc>
      </w:tr>
      <w:tr>
        <w:trPr>
          <w:trHeight w:val="166"/>
        </w:trPr>
        <w:tc>
          <w:tcPr>
            <w:tcW w:w="6820" w:type="dxa"/>
            <w:vAlign w:val="bottom"/>
          </w:tcPr>
          <w:p>
            <w:pPr>
              <w:spacing w:after="0"/>
              <w:rPr>
                <w:sz w:val="14"/>
                <w:szCs w:val="14"/>
                <w:color w:val="auto"/>
              </w:rPr>
            </w:pPr>
          </w:p>
        </w:tc>
        <w:tc>
          <w:tcPr>
            <w:tcW w:w="202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21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820" w:type="dxa"/>
            <w:vAlign w:val="bottom"/>
          </w:tcPr>
          <w:p>
            <w:pPr>
              <w:jc w:val="right"/>
              <w:spacing w:after="0"/>
              <w:rPr>
                <w:sz w:val="20"/>
                <w:szCs w:val="20"/>
                <w:color w:val="auto"/>
              </w:rPr>
            </w:pPr>
            <w:r>
              <w:rPr>
                <w:rFonts w:ascii="Courier New" w:cs="Courier New" w:eastAsia="Courier New" w:hAnsi="Courier New"/>
                <w:sz w:val="14"/>
                <w:szCs w:val="14"/>
                <w:color w:val="auto"/>
              </w:rPr>
              <w:t>Cash and cash equivalents at end of period.....................................</w:t>
            </w:r>
          </w:p>
        </w:tc>
        <w:tc>
          <w:tcPr>
            <w:tcW w:w="6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w:t>
            </w:r>
          </w:p>
        </w:tc>
        <w:tc>
          <w:tcPr>
            <w:tcW w:w="9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90</w:t>
            </w:r>
          </w:p>
        </w:tc>
      </w:tr>
      <w:tr>
        <w:trPr>
          <w:trHeight w:val="166"/>
        </w:trPr>
        <w:tc>
          <w:tcPr>
            <w:tcW w:w="6820" w:type="dxa"/>
            <w:vAlign w:val="bottom"/>
          </w:tcPr>
          <w:p>
            <w:pPr>
              <w:spacing w:after="0"/>
              <w:rPr>
                <w:sz w:val="14"/>
                <w:szCs w:val="14"/>
                <w:color w:val="auto"/>
              </w:rPr>
            </w:pPr>
          </w:p>
        </w:tc>
        <w:tc>
          <w:tcPr>
            <w:tcW w:w="202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21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 to condensed consolidated financial statements.</w:t>
      </w:r>
    </w:p>
    <w:p>
      <w:pPr>
        <w:spacing w:after="0" w:line="200" w:lineRule="exact"/>
        <w:rPr>
          <w:sz w:val="20"/>
          <w:szCs w:val="20"/>
          <w:color w:val="auto"/>
        </w:rPr>
      </w:pPr>
    </w:p>
    <w:p>
      <w:pPr>
        <w:spacing w:after="0" w:line="30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1200"/>
          </w:cols>
          <w:pgMar w:left="220" w:top="782" w:right="479" w:bottom="1440" w:gutter="0" w:footer="0" w:header="0"/>
        </w:sectPr>
      </w:pPr>
    </w:p>
    <w:bookmarkStart w:id="5" w:name="page6"/>
    <w:bookmarkEnd w:id="5"/>
    <w:p>
      <w:pPr>
        <w:jc w:val="center"/>
        <w:ind w:right="3319"/>
        <w:spacing w:after="0" w:line="257" w:lineRule="auto"/>
        <w:rPr>
          <w:sz w:val="20"/>
          <w:szCs w:val="20"/>
          <w:color w:val="auto"/>
        </w:rPr>
      </w:pPr>
      <w:r>
        <w:rPr>
          <w:rFonts w:ascii="Courier New" w:cs="Courier New" w:eastAsia="Courier New" w:hAnsi="Courier New"/>
          <w:sz w:val="14"/>
          <w:szCs w:val="14"/>
          <w:color w:val="auto"/>
        </w:rPr>
        <w:t>THE TORO COMPANY AND SUBSIDIARIES NOTES TO CONDENSED CONSOLIDATED FINANCIAL STATEMENTS (UNAUDITED) AUGUST 2, 2002</w:t>
      </w:r>
    </w:p>
    <w:p>
      <w:pPr>
        <w:spacing w:after="0" w:line="32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Basis of Presentation</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accompanying unaudited condensed consolidated financial statements have been prepared in accordance with the instructions to Form 10-Q and do not include all the information and notes required by accounting principles generally accepted in the United States of America for complete financial statements. Unless the context indicates otherwise, the terms "company" and "Toro" refer to The Toro Company and its subsidiaries. In the opinion of management, the unaudited condensed consolidated financial statements include all adjustments, consisting primarily of recurring accruals, considered necessary for a fair presentation of the financial position and the results of operations. Since the company's business is seasonal, operating results for the nine months ended August 2, 2002 cannot be annualized to determine the expected results for the fiscal year ending October 31, 2002. Certain amounts from prior period's financial statements have been reclassified to conform to this period's presentation.</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company's fiscal year ends on October 31, and quarterly results are reported based on three-month periods that generally end on the Friday closest to the quarter end. For comparative purposes, however; the company's second and third quarters always include exactly 13 weeks of results so that the quarter end date for these two quarters is not necessarily the Friday closest to the quarter end.</w:t>
      </w:r>
    </w:p>
    <w:p>
      <w:pPr>
        <w:spacing w:after="0" w:line="165"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For further information, refer to the consolidated financial statements and notes included in the company's Annual Report on Form 10-K for the fiscal year ended October 31, 2001. The policies described in that report are used for preparing quarterly reports.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Policies</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In preparing the consolidated financial statements in conformity with accounting principles generally accepted in the United States of America, management must make a variety of decisions which impact the reported amounts and the related disclosures. Such decisions include the selection of appropriate accounting principles to be applied and assumptions on which to base accounting estimates. In reaching such decisions, management makes judgments based on its understanding and analysis of the relevant circumstances. Note 1 to the consolidated financial statements in the company's Fiscal 2001 Annual Report on Form 10-K provides a summary of the significant accounting policies followed in the preparation of the financial statements. Other footnotes in the company's Annual Report on Form 10-K describe various elements of the financial statements and the assumptions made in determining specific amounts. While actual results could differ from those estimated at the time of preparation of the consolidated financial statements, management is committed to preparing financial statements which incorporate accounting policies, assumptions, and estimates that promote the representational faithfulness, verifiability, neutrality, and transparency of the accounting information included in the consolidated financial statements.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Inventories</w:t>
      </w:r>
    </w:p>
    <w:p>
      <w:pPr>
        <w:spacing w:after="0" w:line="173"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Inventories are valued at the lower of cost or net realizable value, with cost determined by the last-in, first-out (LIFO) method for most inventories.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Inventories were as follows:</w:t>
      </w:r>
    </w:p>
    <w:p>
      <w:pPr>
        <w:spacing w:after="0" w:line="200" w:lineRule="exact"/>
        <w:rPr>
          <w:sz w:val="20"/>
          <w:szCs w:val="20"/>
          <w:color w:val="auto"/>
        </w:rPr>
      </w:pPr>
    </w:p>
    <w:p>
      <w:pPr>
        <w:spacing w:after="0" w:line="304"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4660" w:type="dxa"/>
            <w:vAlign w:val="bottom"/>
          </w:tcPr>
          <w:p>
            <w:pPr>
              <w:jc w:val="right"/>
              <w:ind w:right="2688"/>
              <w:spacing w:after="0"/>
              <w:rPr>
                <w:sz w:val="20"/>
                <w:szCs w:val="20"/>
                <w:color w:val="auto"/>
              </w:rPr>
            </w:pPr>
            <w:r>
              <w:rPr>
                <w:rFonts w:ascii="Courier New" w:cs="Courier New" w:eastAsia="Courier New" w:hAnsi="Courier New"/>
                <w:sz w:val="14"/>
                <w:szCs w:val="14"/>
                <w:color w:val="auto"/>
              </w:rPr>
              <w:t>(Dollars in thousands)</w:t>
            </w:r>
          </w:p>
        </w:tc>
        <w:tc>
          <w:tcPr>
            <w:tcW w:w="26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August 2,</w:t>
            </w:r>
          </w:p>
        </w:tc>
        <w:tc>
          <w:tcPr>
            <w:tcW w:w="520" w:type="dxa"/>
            <w:vAlign w:val="bottom"/>
          </w:tcPr>
          <w:p>
            <w:pPr>
              <w:spacing w:after="0"/>
              <w:rPr>
                <w:sz w:val="14"/>
                <w:szCs w:val="14"/>
                <w:color w:val="auto"/>
              </w:rPr>
            </w:pPr>
          </w:p>
        </w:tc>
        <w:tc>
          <w:tcPr>
            <w:tcW w:w="12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August 3</w:t>
            </w:r>
          </w:p>
        </w:tc>
        <w:tc>
          <w:tcPr>
            <w:tcW w:w="44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October 31,</w:t>
            </w:r>
          </w:p>
        </w:tc>
      </w:tr>
      <w:tr>
        <w:trPr>
          <w:trHeight w:val="166"/>
        </w:trPr>
        <w:tc>
          <w:tcPr>
            <w:tcW w:w="4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2002</w:t>
            </w:r>
          </w:p>
        </w:tc>
        <w:tc>
          <w:tcPr>
            <w:tcW w:w="520" w:type="dxa"/>
            <w:vAlign w:val="bottom"/>
          </w:tcPr>
          <w:p>
            <w:pPr>
              <w:spacing w:after="0"/>
              <w:rPr>
                <w:sz w:val="14"/>
                <w:szCs w:val="14"/>
                <w:color w:val="auto"/>
              </w:rPr>
            </w:pPr>
          </w:p>
        </w:tc>
        <w:tc>
          <w:tcPr>
            <w:tcW w:w="12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2001</w:t>
            </w:r>
          </w:p>
        </w:tc>
        <w:tc>
          <w:tcPr>
            <w:tcW w:w="440" w:type="dxa"/>
            <w:vAlign w:val="bottom"/>
          </w:tcPr>
          <w:p>
            <w:pPr>
              <w:spacing w:after="0"/>
              <w:rPr>
                <w:sz w:val="14"/>
                <w:szCs w:val="14"/>
                <w:color w:val="auto"/>
              </w:rPr>
            </w:pP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2001</w:t>
            </w:r>
          </w:p>
        </w:tc>
      </w:tr>
      <w:tr>
        <w:trPr>
          <w:trHeight w:val="166"/>
        </w:trPr>
        <w:tc>
          <w:tcPr>
            <w:tcW w:w="4660" w:type="dxa"/>
            <w:vAlign w:val="bottom"/>
          </w:tcPr>
          <w:p>
            <w:pPr>
              <w:spacing w:after="0"/>
              <w:rPr>
                <w:sz w:val="14"/>
                <w:szCs w:val="14"/>
                <w:color w:val="auto"/>
              </w:rPr>
            </w:pPr>
          </w:p>
        </w:tc>
        <w:tc>
          <w:tcPr>
            <w:tcW w:w="14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7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660" w:type="dxa"/>
            <w:vAlign w:val="bottom"/>
          </w:tcPr>
          <w:p>
            <w:pPr>
              <w:jc w:val="right"/>
              <w:spacing w:after="0"/>
              <w:rPr>
                <w:sz w:val="20"/>
                <w:szCs w:val="20"/>
                <w:color w:val="auto"/>
              </w:rPr>
            </w:pPr>
            <w:r>
              <w:rPr>
                <w:rFonts w:ascii="Courier New" w:cs="Courier New" w:eastAsia="Courier New" w:hAnsi="Courier New"/>
                <w:sz w:val="14"/>
                <w:szCs w:val="14"/>
                <w:color w:val="auto"/>
              </w:rPr>
              <w:t>Raw materials and work in process....................</w:t>
            </w:r>
          </w:p>
        </w:tc>
        <w:tc>
          <w:tcPr>
            <w:tcW w:w="2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70"/>
              </w:rPr>
              <w:t>$</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63,256</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71,439</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70,458</w:t>
            </w:r>
          </w:p>
        </w:tc>
      </w:tr>
      <w:tr>
        <w:trPr>
          <w:trHeight w:val="166"/>
        </w:trPr>
        <w:tc>
          <w:tcPr>
            <w:tcW w:w="4660" w:type="dxa"/>
            <w:vAlign w:val="bottom"/>
          </w:tcPr>
          <w:p>
            <w:pPr>
              <w:jc w:val="right"/>
              <w:spacing w:after="0"/>
              <w:rPr>
                <w:sz w:val="20"/>
                <w:szCs w:val="20"/>
                <w:color w:val="auto"/>
              </w:rPr>
            </w:pPr>
            <w:r>
              <w:rPr>
                <w:rFonts w:ascii="Courier New" w:cs="Courier New" w:eastAsia="Courier New" w:hAnsi="Courier New"/>
                <w:sz w:val="14"/>
                <w:szCs w:val="14"/>
                <w:color w:val="auto"/>
              </w:rPr>
              <w:t>Finished goods and service parts.....................</w:t>
            </w:r>
          </w:p>
        </w:tc>
        <w:tc>
          <w:tcPr>
            <w:tcW w:w="260" w:type="dxa"/>
            <w:vAlign w:val="bottom"/>
          </w:tcPr>
          <w:p>
            <w:pPr>
              <w:spacing w:after="0"/>
              <w:rPr>
                <w:sz w:val="14"/>
                <w:szCs w:val="14"/>
                <w:color w:val="auto"/>
              </w:rPr>
            </w:pP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191,823</w:t>
            </w:r>
          </w:p>
        </w:tc>
        <w:tc>
          <w:tcPr>
            <w:tcW w:w="520" w:type="dxa"/>
            <w:vAlign w:val="bottom"/>
          </w:tcPr>
          <w:p>
            <w:pPr>
              <w:spacing w:after="0"/>
              <w:rPr>
                <w:sz w:val="14"/>
                <w:szCs w:val="14"/>
                <w:color w:val="auto"/>
              </w:rPr>
            </w:pP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215,246</w:t>
            </w:r>
          </w:p>
        </w:tc>
        <w:tc>
          <w:tcPr>
            <w:tcW w:w="4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207,231</w:t>
            </w:r>
          </w:p>
        </w:tc>
      </w:tr>
      <w:tr>
        <w:trPr>
          <w:trHeight w:val="166"/>
        </w:trPr>
        <w:tc>
          <w:tcPr>
            <w:tcW w:w="4660" w:type="dxa"/>
            <w:vAlign w:val="bottom"/>
          </w:tcPr>
          <w:p>
            <w:pPr>
              <w:spacing w:after="0"/>
              <w:rPr>
                <w:sz w:val="14"/>
                <w:szCs w:val="14"/>
                <w:color w:val="auto"/>
              </w:rPr>
            </w:pPr>
          </w:p>
        </w:tc>
        <w:tc>
          <w:tcPr>
            <w:tcW w:w="14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7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255,079</w:t>
            </w:r>
          </w:p>
        </w:tc>
        <w:tc>
          <w:tcPr>
            <w:tcW w:w="520" w:type="dxa"/>
            <w:vAlign w:val="bottom"/>
          </w:tcPr>
          <w:p>
            <w:pPr>
              <w:spacing w:after="0"/>
              <w:rPr>
                <w:sz w:val="14"/>
                <w:szCs w:val="14"/>
                <w:color w:val="auto"/>
              </w:rPr>
            </w:pP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286,685</w:t>
            </w:r>
          </w:p>
        </w:tc>
        <w:tc>
          <w:tcPr>
            <w:tcW w:w="4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277,689</w:t>
            </w:r>
          </w:p>
        </w:tc>
      </w:tr>
      <w:tr>
        <w:trPr>
          <w:trHeight w:val="166"/>
        </w:trPr>
        <w:tc>
          <w:tcPr>
            <w:tcW w:w="4660" w:type="dxa"/>
            <w:vAlign w:val="bottom"/>
          </w:tcPr>
          <w:p>
            <w:pPr>
              <w:jc w:val="right"/>
              <w:spacing w:after="0"/>
              <w:rPr>
                <w:sz w:val="20"/>
                <w:szCs w:val="20"/>
                <w:color w:val="auto"/>
              </w:rPr>
            </w:pPr>
            <w:r>
              <w:rPr>
                <w:rFonts w:ascii="Courier New" w:cs="Courier New" w:eastAsia="Courier New" w:hAnsi="Courier New"/>
                <w:sz w:val="14"/>
                <w:szCs w:val="14"/>
                <w:color w:val="auto"/>
              </w:rPr>
              <w:t>Less: LIFO...........................................</w:t>
            </w:r>
          </w:p>
        </w:tc>
        <w:tc>
          <w:tcPr>
            <w:tcW w:w="260" w:type="dxa"/>
            <w:vAlign w:val="bottom"/>
          </w:tcPr>
          <w:p>
            <w:pPr>
              <w:spacing w:after="0"/>
              <w:rPr>
                <w:sz w:val="14"/>
                <w:szCs w:val="14"/>
                <w:color w:val="auto"/>
              </w:rPr>
            </w:pP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29,264</w:t>
            </w:r>
          </w:p>
        </w:tc>
        <w:tc>
          <w:tcPr>
            <w:tcW w:w="520" w:type="dxa"/>
            <w:vAlign w:val="bottom"/>
          </w:tcPr>
          <w:p>
            <w:pPr>
              <w:spacing w:after="0"/>
              <w:rPr>
                <w:sz w:val="14"/>
                <w:szCs w:val="14"/>
                <w:color w:val="auto"/>
              </w:rPr>
            </w:pP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27,861</w:t>
            </w:r>
          </w:p>
        </w:tc>
        <w:tc>
          <w:tcPr>
            <w:tcW w:w="4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29,264</w:t>
            </w:r>
          </w:p>
        </w:tc>
      </w:tr>
      <w:tr>
        <w:trPr>
          <w:trHeight w:val="166"/>
        </w:trPr>
        <w:tc>
          <w:tcPr>
            <w:tcW w:w="4660" w:type="dxa"/>
            <w:vAlign w:val="bottom"/>
          </w:tcPr>
          <w:p>
            <w:pPr>
              <w:jc w:val="right"/>
              <w:spacing w:after="0"/>
              <w:rPr>
                <w:sz w:val="20"/>
                <w:szCs w:val="20"/>
                <w:color w:val="auto"/>
              </w:rPr>
            </w:pPr>
            <w:r>
              <w:rPr>
                <w:rFonts w:ascii="Courier New" w:cs="Courier New" w:eastAsia="Courier New" w:hAnsi="Courier New"/>
                <w:sz w:val="14"/>
                <w:szCs w:val="14"/>
                <w:color w:val="auto"/>
              </w:rPr>
              <w:t>Other reserves.................................</w:t>
            </w:r>
          </w:p>
        </w:tc>
        <w:tc>
          <w:tcPr>
            <w:tcW w:w="260" w:type="dxa"/>
            <w:vAlign w:val="bottom"/>
          </w:tcPr>
          <w:p>
            <w:pPr>
              <w:spacing w:after="0"/>
              <w:rPr>
                <w:sz w:val="14"/>
                <w:szCs w:val="14"/>
                <w:color w:val="auto"/>
              </w:rPr>
            </w:pP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16,495</w:t>
            </w:r>
          </w:p>
        </w:tc>
        <w:tc>
          <w:tcPr>
            <w:tcW w:w="520" w:type="dxa"/>
            <w:vAlign w:val="bottom"/>
          </w:tcPr>
          <w:p>
            <w:pPr>
              <w:spacing w:after="0"/>
              <w:rPr>
                <w:sz w:val="14"/>
                <w:szCs w:val="14"/>
                <w:color w:val="auto"/>
              </w:rPr>
            </w:pP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13,255</w:t>
            </w:r>
          </w:p>
        </w:tc>
        <w:tc>
          <w:tcPr>
            <w:tcW w:w="4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13,764</w:t>
            </w:r>
          </w:p>
        </w:tc>
      </w:tr>
      <w:tr>
        <w:trPr>
          <w:trHeight w:val="166"/>
        </w:trPr>
        <w:tc>
          <w:tcPr>
            <w:tcW w:w="4660" w:type="dxa"/>
            <w:vAlign w:val="bottom"/>
          </w:tcPr>
          <w:p>
            <w:pPr>
              <w:spacing w:after="0"/>
              <w:rPr>
                <w:sz w:val="14"/>
                <w:szCs w:val="14"/>
                <w:color w:val="auto"/>
              </w:rPr>
            </w:pPr>
          </w:p>
        </w:tc>
        <w:tc>
          <w:tcPr>
            <w:tcW w:w="14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7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660" w:type="dxa"/>
            <w:vAlign w:val="bottom"/>
          </w:tcPr>
          <w:p>
            <w:pPr>
              <w:jc w:val="right"/>
              <w:spacing w:after="0"/>
              <w:rPr>
                <w:sz w:val="20"/>
                <w:szCs w:val="20"/>
                <w:color w:val="auto"/>
              </w:rPr>
            </w:pPr>
            <w:r>
              <w:rPr>
                <w:rFonts w:ascii="Courier New" w:cs="Courier New" w:eastAsia="Courier New" w:hAnsi="Courier New"/>
                <w:sz w:val="14"/>
                <w:szCs w:val="14"/>
                <w:color w:val="auto"/>
              </w:rPr>
              <w:t>Total ...............................................</w:t>
            </w:r>
          </w:p>
        </w:tc>
        <w:tc>
          <w:tcPr>
            <w:tcW w:w="2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70"/>
              </w:rPr>
              <w:t>$</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209,320</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245,569</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234,661</w:t>
            </w:r>
          </w:p>
        </w:tc>
      </w:tr>
      <w:tr>
        <w:trPr>
          <w:trHeight w:val="166"/>
        </w:trPr>
        <w:tc>
          <w:tcPr>
            <w:tcW w:w="4660" w:type="dxa"/>
            <w:vAlign w:val="bottom"/>
          </w:tcPr>
          <w:p>
            <w:pPr>
              <w:spacing w:after="0"/>
              <w:rPr>
                <w:sz w:val="14"/>
                <w:szCs w:val="14"/>
                <w:color w:val="auto"/>
              </w:rPr>
            </w:pPr>
          </w:p>
        </w:tc>
        <w:tc>
          <w:tcPr>
            <w:tcW w:w="14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7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828"/>
        </w:trPr>
        <w:tc>
          <w:tcPr>
            <w:tcW w:w="4660" w:type="dxa"/>
            <w:vAlign w:val="bottom"/>
          </w:tcPr>
          <w:p>
            <w:pPr>
              <w:jc w:val="right"/>
              <w:ind w:right="1648"/>
              <w:spacing w:after="0"/>
              <w:rPr>
                <w:sz w:val="20"/>
                <w:szCs w:val="20"/>
                <w:color w:val="auto"/>
              </w:rPr>
            </w:pPr>
            <w:r>
              <w:rPr>
                <w:rFonts w:ascii="Courier New" w:cs="Courier New" w:eastAsia="Courier New" w:hAnsi="Courier New"/>
                <w:sz w:val="14"/>
                <w:szCs w:val="14"/>
                <w:color w:val="auto"/>
              </w:rPr>
              <w:t>6</w:t>
            </w: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0239"/>
          </w:cols>
          <w:pgMar w:left="220" w:top="782"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4"/>
          <w:szCs w:val="14"/>
          <w:color w:val="auto"/>
        </w:rPr>
        <w:t>Restructuring and Other Expense (Income)</w:t>
      </w:r>
    </w:p>
    <w:p>
      <w:pPr>
        <w:spacing w:after="0" w:line="173" w:lineRule="exact"/>
        <w:rPr>
          <w:sz w:val="20"/>
          <w:szCs w:val="20"/>
          <w:color w:val="auto"/>
        </w:rPr>
      </w:pPr>
    </w:p>
    <w:p>
      <w:pPr>
        <w:ind w:right="3960"/>
        <w:spacing w:after="0" w:line="251" w:lineRule="auto"/>
        <w:rPr>
          <w:sz w:val="20"/>
          <w:szCs w:val="20"/>
          <w:color w:val="auto"/>
        </w:rPr>
      </w:pPr>
      <w:r>
        <w:rPr>
          <w:rFonts w:ascii="Courier New" w:cs="Courier New" w:eastAsia="Courier New" w:hAnsi="Courier New"/>
          <w:sz w:val="14"/>
          <w:szCs w:val="14"/>
          <w:color w:val="auto"/>
        </w:rPr>
        <w:t>In the first quarter of fiscal 2002, the company announced plans to close its Evansville, Indiana and Riverside, California manufacturing facilities during fiscal 2002. Approximately 500 job positions will be lost in connection with closing the Evansville, Indiana and Riverside, California manufacturing facilities and related office staff reductions. As of August 2, 2002, of the 500 job position reductions, 161 have been eliminated. In addition, the company will incur ongoing costs after the facilities are closed and until they are sold, which is captioned in "other" below. These actions are part of Toro's overall long-term strategy to reduce production costs and improve long-term competitiveness. The company also incurred a charge for asset impairment related to write-downs of patents and non-compete agreements during the first quarter of fiscal 2002.</w:t>
      </w:r>
    </w:p>
    <w:p>
      <w:pPr>
        <w:spacing w:after="0" w:line="329" w:lineRule="exact"/>
        <w:rPr>
          <w:sz w:val="20"/>
          <w:szCs w:val="20"/>
          <w:color w:val="auto"/>
        </w:rPr>
      </w:pPr>
    </w:p>
    <w:p>
      <w:pPr>
        <w:ind w:right="4220"/>
        <w:spacing w:after="0" w:line="255" w:lineRule="auto"/>
        <w:rPr>
          <w:sz w:val="20"/>
          <w:szCs w:val="20"/>
          <w:color w:val="auto"/>
        </w:rPr>
      </w:pPr>
      <w:r>
        <w:rPr>
          <w:rFonts w:ascii="Courier New" w:cs="Courier New" w:eastAsia="Courier New" w:hAnsi="Courier New"/>
          <w:sz w:val="14"/>
          <w:szCs w:val="14"/>
          <w:color w:val="auto"/>
        </w:rPr>
        <w:t>The following is an analysis of the company's restructuring and other expense reserve accounts: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80" w:type="dxa"/>
            <w:vAlign w:val="bottom"/>
          </w:tcPr>
          <w:p>
            <w:pPr>
              <w:spacing w:after="0"/>
              <w:rPr>
                <w:sz w:val="20"/>
                <w:szCs w:val="20"/>
                <w:color w:val="auto"/>
              </w:rPr>
            </w:pPr>
            <w:r>
              <w:rPr>
                <w:rFonts w:ascii="Courier New" w:cs="Courier New" w:eastAsia="Courier New" w:hAnsi="Courier New"/>
                <w:sz w:val="14"/>
                <w:szCs w:val="14"/>
                <w:color w:val="auto"/>
              </w:rPr>
              <w:t>(Dollars in thousands)</w:t>
            </w:r>
          </w:p>
        </w:tc>
        <w:tc>
          <w:tcPr>
            <w:tcW w:w="160" w:type="dxa"/>
            <w:vAlign w:val="bottom"/>
          </w:tcPr>
          <w:p>
            <w:pPr>
              <w:spacing w:after="0"/>
              <w:rPr>
                <w:sz w:val="14"/>
                <w:szCs w:val="14"/>
                <w:color w:val="auto"/>
              </w:rPr>
            </w:pPr>
          </w:p>
        </w:tc>
        <w:tc>
          <w:tcPr>
            <w:tcW w:w="134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Asset</w:t>
            </w:r>
          </w:p>
        </w:tc>
        <w:tc>
          <w:tcPr>
            <w:tcW w:w="400" w:type="dxa"/>
            <w:vAlign w:val="bottom"/>
          </w:tcPr>
          <w:p>
            <w:pPr>
              <w:spacing w:after="0"/>
              <w:rPr>
                <w:sz w:val="14"/>
                <w:szCs w:val="14"/>
                <w:color w:val="auto"/>
              </w:rPr>
            </w:pP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Severance</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5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Impairment</w:t>
            </w:r>
          </w:p>
        </w:tc>
        <w:tc>
          <w:tcPr>
            <w:tcW w:w="400" w:type="dxa"/>
            <w:vAlign w:val="bottom"/>
          </w:tcPr>
          <w:p>
            <w:pPr>
              <w:spacing w:after="0"/>
              <w:rPr>
                <w:sz w:val="14"/>
                <w:szCs w:val="14"/>
                <w:color w:val="auto"/>
              </w:rPr>
            </w:pP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w w:val="99"/>
              </w:rPr>
              <w:t>&amp; Benefits</w:t>
            </w:r>
          </w:p>
        </w:tc>
        <w:tc>
          <w:tcPr>
            <w:tcW w:w="30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Other</w:t>
            </w:r>
          </w:p>
        </w:tc>
        <w:tc>
          <w:tcPr>
            <w:tcW w:w="34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5180" w:type="dxa"/>
            <w:vAlign w:val="bottom"/>
          </w:tcPr>
          <w:p>
            <w:pPr>
              <w:spacing w:after="0"/>
              <w:rPr>
                <w:sz w:val="14"/>
                <w:szCs w:val="14"/>
                <w:color w:val="auto"/>
              </w:rPr>
            </w:pPr>
          </w:p>
        </w:tc>
        <w:tc>
          <w:tcPr>
            <w:tcW w:w="15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180" w:type="dxa"/>
            <w:vAlign w:val="bottom"/>
          </w:tcPr>
          <w:p>
            <w:pPr>
              <w:spacing w:after="0"/>
              <w:rPr>
                <w:sz w:val="20"/>
                <w:szCs w:val="20"/>
                <w:color w:val="auto"/>
              </w:rPr>
            </w:pPr>
            <w:r>
              <w:rPr>
                <w:rFonts w:ascii="Courier New" w:cs="Courier New" w:eastAsia="Courier New" w:hAnsi="Courier New"/>
                <w:sz w:val="14"/>
                <w:szCs w:val="14"/>
                <w:color w:val="auto"/>
              </w:rPr>
              <w:t>Balance as of October 31, 2001..............................</w:t>
            </w:r>
          </w:p>
        </w:tc>
        <w:tc>
          <w:tcPr>
            <w:tcW w:w="160" w:type="dxa"/>
            <w:vAlign w:val="bottom"/>
          </w:tcPr>
          <w:p>
            <w:pPr>
              <w:jc w:val="right"/>
              <w:ind w:right="8"/>
              <w:spacing w:after="0"/>
              <w:rPr>
                <w:sz w:val="20"/>
                <w:szCs w:val="20"/>
                <w:color w:val="auto"/>
              </w:rPr>
            </w:pPr>
            <w:r>
              <w:rPr>
                <w:rFonts w:ascii="Courier New" w:cs="Courier New" w:eastAsia="Courier New" w:hAnsi="Courier New"/>
                <w:sz w:val="14"/>
                <w:szCs w:val="14"/>
                <w:color w:val="auto"/>
                <w:w w:val="70"/>
              </w:rPr>
              <w:t>$</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200</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24"/>
                <w:szCs w:val="2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45</w:t>
            </w:r>
          </w:p>
        </w:tc>
        <w:tc>
          <w:tcPr>
            <w:tcW w:w="34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245</w:t>
            </w: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Initial charge..............................................</w:t>
            </w:r>
          </w:p>
        </w:tc>
        <w:tc>
          <w:tcPr>
            <w:tcW w:w="160" w:type="dxa"/>
            <w:vAlign w:val="bottom"/>
          </w:tcPr>
          <w:p>
            <w:pPr>
              <w:spacing w:after="0"/>
              <w:rPr>
                <w:sz w:val="14"/>
                <w:szCs w:val="14"/>
                <w:color w:val="auto"/>
              </w:rPr>
            </w:pP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4,163</w:t>
            </w:r>
          </w:p>
        </w:tc>
        <w:tc>
          <w:tcPr>
            <w:tcW w:w="400" w:type="dxa"/>
            <w:vAlign w:val="bottom"/>
          </w:tcPr>
          <w:p>
            <w:pPr>
              <w:spacing w:after="0"/>
              <w:rPr>
                <w:sz w:val="14"/>
                <w:szCs w:val="14"/>
                <w:color w:val="auto"/>
              </w:rPr>
            </w:pPr>
          </w:p>
        </w:tc>
        <w:tc>
          <w:tcPr>
            <w:tcW w:w="12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3,527</w:t>
            </w:r>
          </w:p>
        </w:tc>
        <w:tc>
          <w:tcPr>
            <w:tcW w:w="3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2,263</w:t>
            </w:r>
          </w:p>
        </w:tc>
        <w:tc>
          <w:tcPr>
            <w:tcW w:w="3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9,953</w:t>
            </w: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Utilization.................................................</w:t>
            </w:r>
          </w:p>
        </w:tc>
        <w:tc>
          <w:tcPr>
            <w:tcW w:w="160" w:type="dxa"/>
            <w:vAlign w:val="bottom"/>
          </w:tcPr>
          <w:p>
            <w:pPr>
              <w:spacing w:after="0"/>
              <w:rPr>
                <w:sz w:val="14"/>
                <w:szCs w:val="14"/>
                <w:color w:val="auto"/>
              </w:rPr>
            </w:pP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(2,495)</w:t>
            </w:r>
          </w:p>
        </w:tc>
        <w:tc>
          <w:tcPr>
            <w:tcW w:w="400" w:type="dxa"/>
            <w:vAlign w:val="bottom"/>
          </w:tcPr>
          <w:p>
            <w:pPr>
              <w:spacing w:after="0"/>
              <w:rPr>
                <w:sz w:val="14"/>
                <w:szCs w:val="14"/>
                <w:color w:val="auto"/>
              </w:rPr>
            </w:pPr>
          </w:p>
        </w:tc>
        <w:tc>
          <w:tcPr>
            <w:tcW w:w="1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(818)</w:t>
            </w:r>
          </w:p>
        </w:tc>
        <w:tc>
          <w:tcPr>
            <w:tcW w:w="30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w:t>
            </w:r>
          </w:p>
        </w:tc>
        <w:tc>
          <w:tcPr>
            <w:tcW w:w="3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(3,323)</w:t>
            </w:r>
          </w:p>
        </w:tc>
      </w:tr>
      <w:tr>
        <w:trPr>
          <w:trHeight w:val="166"/>
        </w:trPr>
        <w:tc>
          <w:tcPr>
            <w:tcW w:w="5180" w:type="dxa"/>
            <w:vAlign w:val="bottom"/>
          </w:tcPr>
          <w:p>
            <w:pPr>
              <w:spacing w:after="0"/>
              <w:rPr>
                <w:sz w:val="14"/>
                <w:szCs w:val="14"/>
                <w:color w:val="auto"/>
              </w:rPr>
            </w:pPr>
          </w:p>
        </w:tc>
        <w:tc>
          <w:tcPr>
            <w:tcW w:w="15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Balance at August 2, 2002...................................</w:t>
            </w:r>
          </w:p>
        </w:tc>
        <w:tc>
          <w:tcPr>
            <w:tcW w:w="160" w:type="dxa"/>
            <w:vAlign w:val="bottom"/>
          </w:tcPr>
          <w:p>
            <w:pPr>
              <w:jc w:val="right"/>
              <w:ind w:right="8"/>
              <w:spacing w:after="0"/>
              <w:rPr>
                <w:sz w:val="20"/>
                <w:szCs w:val="20"/>
                <w:color w:val="auto"/>
              </w:rPr>
            </w:pPr>
            <w:r>
              <w:rPr>
                <w:rFonts w:ascii="Courier New" w:cs="Courier New" w:eastAsia="Courier New" w:hAnsi="Courier New"/>
                <w:sz w:val="14"/>
                <w:szCs w:val="14"/>
                <w:color w:val="auto"/>
                <w:w w:val="70"/>
              </w:rPr>
              <w:t>$</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1,868</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2,709</w:t>
            </w:r>
          </w:p>
        </w:tc>
        <w:tc>
          <w:tcPr>
            <w:tcW w:w="3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2,298</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6,875</w:t>
            </w:r>
          </w:p>
        </w:tc>
      </w:tr>
      <w:tr>
        <w:trPr>
          <w:trHeight w:val="166"/>
        </w:trPr>
        <w:tc>
          <w:tcPr>
            <w:tcW w:w="5180" w:type="dxa"/>
            <w:vAlign w:val="bottom"/>
          </w:tcPr>
          <w:p>
            <w:pPr>
              <w:spacing w:after="0"/>
              <w:rPr>
                <w:sz w:val="14"/>
                <w:szCs w:val="14"/>
                <w:color w:val="auto"/>
              </w:rPr>
            </w:pPr>
          </w:p>
        </w:tc>
        <w:tc>
          <w:tcPr>
            <w:tcW w:w="15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4220"/>
        <w:spacing w:after="0" w:line="255" w:lineRule="auto"/>
        <w:rPr>
          <w:sz w:val="20"/>
          <w:szCs w:val="20"/>
          <w:color w:val="auto"/>
        </w:rPr>
      </w:pPr>
      <w:r>
        <w:rPr>
          <w:rFonts w:ascii="Courier New" w:cs="Courier New" w:eastAsia="Courier New" w:hAnsi="Courier New"/>
          <w:sz w:val="14"/>
          <w:szCs w:val="14"/>
          <w:color w:val="auto"/>
        </w:rPr>
        <w:t>The company expects a majority of the reserve will be utilized by October 31, 2002.</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Cumulative Effect of Change in Accounting Principle</w:t>
      </w:r>
    </w:p>
    <w:p>
      <w:pPr>
        <w:spacing w:after="0" w:line="173" w:lineRule="exact"/>
        <w:rPr>
          <w:sz w:val="20"/>
          <w:szCs w:val="20"/>
          <w:color w:val="auto"/>
        </w:rPr>
      </w:pPr>
    </w:p>
    <w:p>
      <w:pPr>
        <w:ind w:right="3960"/>
        <w:spacing w:after="0" w:line="251" w:lineRule="auto"/>
        <w:rPr>
          <w:sz w:val="20"/>
          <w:szCs w:val="20"/>
          <w:color w:val="auto"/>
        </w:rPr>
      </w:pPr>
      <w:r>
        <w:rPr>
          <w:rFonts w:ascii="Courier New" w:cs="Courier New" w:eastAsia="Courier New" w:hAnsi="Courier New"/>
          <w:sz w:val="14"/>
          <w:szCs w:val="14"/>
          <w:color w:val="auto"/>
        </w:rPr>
        <w:t>In June 2001, the Financial Accounting Standards Board (FASB) issued Statement of Financial Accounting Standard (SFAS) No. 141, "Business Combinations" and SFAS No. 142, "Goodwill and Other Intangible Assets." SFAS No. 141 requires the purchase method of accounting be used for all business combinations initiated after June 30, 2001. SFAS No. 141 also provides new criteria in the determination of intangible assets, including goodwill acquired in a business combination, and expands financial disclosures concerning business combinations consummated after June 30, 2001. SFAS No. 142 requires that goodwill and intangible assets with indefinite useful lives no longer be amortized but instead tested for impairment at least annually at the reporting unit level using a two-step impairment test. The application of SFAS No. 141 did not affect previously reported amounts included in goodwill and other intangible assets for the company.</w:t>
      </w:r>
    </w:p>
    <w:p>
      <w:pPr>
        <w:spacing w:after="0" w:line="329" w:lineRule="exact"/>
        <w:rPr>
          <w:sz w:val="20"/>
          <w:szCs w:val="20"/>
          <w:color w:val="auto"/>
        </w:rPr>
      </w:pPr>
    </w:p>
    <w:p>
      <w:pPr>
        <w:ind w:right="3960"/>
        <w:spacing w:after="0" w:line="250" w:lineRule="auto"/>
        <w:rPr>
          <w:sz w:val="20"/>
          <w:szCs w:val="20"/>
          <w:color w:val="auto"/>
        </w:rPr>
      </w:pPr>
      <w:r>
        <w:rPr>
          <w:rFonts w:ascii="Courier New" w:cs="Courier New" w:eastAsia="Courier New" w:hAnsi="Courier New"/>
          <w:sz w:val="14"/>
          <w:szCs w:val="14"/>
          <w:color w:val="auto"/>
        </w:rPr>
        <w:t>Effective November 1, 2001, the company adopted SFAS No. 142. SFAS No. 142 provides a six-month transitional period from the effective date of adoption for the company to perform an assessment of whether there is an indication that goodwill is impaired. To the extent that an indication of impairment exists, the company must perform a second test to measure the amount of the impairment. The company tested for impairment of its reporting units by comparing fair value to carrying value. Fair value was determined using a discounted cash flow and cost methodology. The company employed a third-party appraisal firm in determining the fair value of its agricultural irrigation reporting unit. This evaluation indicated that all the goodwill recorded for several acquisitions in the agricultural irrigation market was impaired. The performance of these acquired businesses has not met management's original expectations. This is mainly due to lower than anticipated growth rates in the drip line market, which has resulted in lower industry-wide pricing and margins on product sales. Accordingly, noncash impairment charges on adoption of SFAS No. 142 of $24.6 million, net of income tax benefit of $.5 million, were recognized as a cumulative effect of change in accounting principle in the first quarter ended February 1, 2002. Impairment adjustments recognized after adoption, if any, generally are required to be recognized as operating expenses, captioned in selling, general, and administrative expense.</w:t>
      </w:r>
    </w:p>
    <w:p>
      <w:pPr>
        <w:spacing w:after="0" w:line="200" w:lineRule="exact"/>
        <w:rPr>
          <w:sz w:val="20"/>
          <w:szCs w:val="20"/>
          <w:color w:val="auto"/>
        </w:rPr>
      </w:pPr>
    </w:p>
    <w:p>
      <w:pPr>
        <w:spacing w:after="0" w:line="30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860"/>
          </w:cols>
          <w:pgMar w:left="220" w:top="782" w:right="819"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4"/>
          <w:szCs w:val="14"/>
          <w:color w:val="auto"/>
        </w:rPr>
        <w:t>Comprehensive Income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Comprehensive income and the components of other comprehensive income (loss)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were as follows: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60" w:type="dxa"/>
            <w:vAlign w:val="bottom"/>
            <w:gridSpan w:val="3"/>
          </w:tcPr>
          <w:p>
            <w:pPr>
              <w:jc w:val="right"/>
              <w:ind w:right="628"/>
              <w:spacing w:after="0"/>
              <w:rPr>
                <w:sz w:val="20"/>
                <w:szCs w:val="20"/>
                <w:color w:val="auto"/>
              </w:rPr>
            </w:pPr>
            <w:r>
              <w:rPr>
                <w:rFonts w:ascii="Courier New" w:cs="Courier New" w:eastAsia="Courier New" w:hAnsi="Courier New"/>
                <w:sz w:val="14"/>
                <w:szCs w:val="14"/>
                <w:color w:val="auto"/>
              </w:rPr>
              <w:t>Three Months Ended</w:t>
            </w:r>
          </w:p>
        </w:tc>
        <w:tc>
          <w:tcPr>
            <w:tcW w:w="300" w:type="dxa"/>
            <w:vAlign w:val="bottom"/>
          </w:tcPr>
          <w:p>
            <w:pPr>
              <w:spacing w:after="0"/>
              <w:rPr>
                <w:sz w:val="14"/>
                <w:szCs w:val="14"/>
                <w:color w:val="auto"/>
              </w:rPr>
            </w:pPr>
          </w:p>
        </w:tc>
        <w:tc>
          <w:tcPr>
            <w:tcW w:w="2880" w:type="dxa"/>
            <w:vAlign w:val="bottom"/>
            <w:gridSpan w:val="3"/>
          </w:tcPr>
          <w:p>
            <w:pPr>
              <w:jc w:val="right"/>
              <w:ind w:right="628"/>
              <w:spacing w:after="0"/>
              <w:rPr>
                <w:sz w:val="20"/>
                <w:szCs w:val="20"/>
                <w:color w:val="auto"/>
              </w:rPr>
            </w:pPr>
            <w:r>
              <w:rPr>
                <w:rFonts w:ascii="Courier New" w:cs="Courier New" w:eastAsia="Courier New" w:hAnsi="Courier New"/>
                <w:sz w:val="14"/>
                <w:szCs w:val="14"/>
                <w:color w:val="auto"/>
              </w:rPr>
              <w:t>Nine Months Ended</w:t>
            </w:r>
          </w:p>
        </w:tc>
      </w:tr>
      <w:tr>
        <w:trPr>
          <w:trHeight w:val="166"/>
        </w:trPr>
        <w:tc>
          <w:tcPr>
            <w:tcW w:w="5180" w:type="dxa"/>
            <w:vAlign w:val="bottom"/>
          </w:tcPr>
          <w:p>
            <w:pPr>
              <w:spacing w:after="0"/>
              <w:rPr>
                <w:sz w:val="14"/>
                <w:szCs w:val="14"/>
                <w:color w:val="auto"/>
              </w:rPr>
            </w:pPr>
          </w:p>
        </w:tc>
        <w:tc>
          <w:tcPr>
            <w:tcW w:w="1540" w:type="dxa"/>
            <w:vAlign w:val="bottom"/>
            <w:gridSpan w:val="2"/>
          </w:tcPr>
          <w:p>
            <w:pPr>
              <w:spacing w:after="0"/>
              <w:rPr>
                <w:sz w:val="20"/>
                <w:szCs w:val="20"/>
                <w:color w:val="auto"/>
              </w:rPr>
            </w:pPr>
            <w:r>
              <w:rPr>
                <w:rFonts w:ascii="Courier New" w:cs="Courier New" w:eastAsia="Courier New" w:hAnsi="Courier New"/>
                <w:sz w:val="11"/>
                <w:szCs w:val="11"/>
                <w:color w:val="auto"/>
                <w:w w:val="71"/>
              </w:rPr>
              <w:t>--------------------------------</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18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180" w:type="dxa"/>
            <w:vAlign w:val="bottom"/>
          </w:tcPr>
          <w:p>
            <w:pPr>
              <w:ind w:left="360"/>
              <w:spacing w:after="0"/>
              <w:rPr>
                <w:sz w:val="20"/>
                <w:szCs w:val="20"/>
                <w:color w:val="auto"/>
              </w:rPr>
            </w:pPr>
            <w:r>
              <w:rPr>
                <w:rFonts w:ascii="Courier New" w:cs="Courier New" w:eastAsia="Courier New" w:hAnsi="Courier New"/>
                <w:sz w:val="14"/>
                <w:szCs w:val="14"/>
                <w:color w:val="auto"/>
              </w:rPr>
              <w:t>(Dollars in thousands)</w:t>
            </w:r>
          </w:p>
        </w:tc>
        <w:tc>
          <w:tcPr>
            <w:tcW w:w="160" w:type="dxa"/>
            <w:vAlign w:val="bottom"/>
          </w:tcPr>
          <w:p>
            <w:pPr>
              <w:spacing w:after="0"/>
              <w:rPr>
                <w:sz w:val="14"/>
                <w:szCs w:val="14"/>
                <w:color w:val="auto"/>
              </w:rPr>
            </w:pPr>
          </w:p>
        </w:tc>
        <w:tc>
          <w:tcPr>
            <w:tcW w:w="13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August 2,</w:t>
            </w:r>
          </w:p>
        </w:tc>
        <w:tc>
          <w:tcPr>
            <w:tcW w:w="220" w:type="dxa"/>
            <w:vAlign w:val="bottom"/>
          </w:tcPr>
          <w:p>
            <w:pPr>
              <w:spacing w:after="0"/>
              <w:rPr>
                <w:sz w:val="14"/>
                <w:szCs w:val="14"/>
                <w:color w:val="auto"/>
              </w:rPr>
            </w:pP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August 3,</w:t>
            </w:r>
          </w:p>
        </w:tc>
        <w:tc>
          <w:tcPr>
            <w:tcW w:w="300" w:type="dxa"/>
            <w:vAlign w:val="bottom"/>
          </w:tcPr>
          <w:p>
            <w:pPr>
              <w:spacing w:after="0"/>
              <w:rPr>
                <w:sz w:val="14"/>
                <w:szCs w:val="14"/>
                <w:color w:val="auto"/>
              </w:rPr>
            </w:pPr>
          </w:p>
        </w:tc>
        <w:tc>
          <w:tcPr>
            <w:tcW w:w="13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August 2,</w:t>
            </w:r>
          </w:p>
        </w:tc>
        <w:tc>
          <w:tcPr>
            <w:tcW w:w="360" w:type="dxa"/>
            <w:vAlign w:val="bottom"/>
          </w:tcPr>
          <w:p>
            <w:pPr>
              <w:spacing w:after="0"/>
              <w:rPr>
                <w:sz w:val="14"/>
                <w:szCs w:val="14"/>
                <w:color w:val="auto"/>
              </w:rPr>
            </w:pP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August 3,</w:t>
            </w:r>
          </w:p>
        </w:tc>
      </w:tr>
      <w:tr>
        <w:trPr>
          <w:trHeight w:val="166"/>
        </w:trPr>
        <w:tc>
          <w:tcPr>
            <w:tcW w:w="5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2002</w:t>
            </w:r>
          </w:p>
        </w:tc>
        <w:tc>
          <w:tcPr>
            <w:tcW w:w="220" w:type="dxa"/>
            <w:vAlign w:val="bottom"/>
          </w:tcPr>
          <w:p>
            <w:pPr>
              <w:spacing w:after="0"/>
              <w:rPr>
                <w:sz w:val="14"/>
                <w:szCs w:val="14"/>
                <w:color w:val="auto"/>
              </w:rPr>
            </w:pP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2001</w:t>
            </w:r>
          </w:p>
        </w:tc>
        <w:tc>
          <w:tcPr>
            <w:tcW w:w="300" w:type="dxa"/>
            <w:vAlign w:val="bottom"/>
          </w:tcPr>
          <w:p>
            <w:pPr>
              <w:spacing w:after="0"/>
              <w:rPr>
                <w:sz w:val="14"/>
                <w:szCs w:val="14"/>
                <w:color w:val="auto"/>
              </w:rPr>
            </w:pPr>
          </w:p>
        </w:tc>
        <w:tc>
          <w:tcPr>
            <w:tcW w:w="13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2002</w:t>
            </w:r>
          </w:p>
        </w:tc>
        <w:tc>
          <w:tcPr>
            <w:tcW w:w="360" w:type="dxa"/>
            <w:vAlign w:val="bottom"/>
          </w:tcPr>
          <w:p>
            <w:pPr>
              <w:spacing w:after="0"/>
              <w:rPr>
                <w:sz w:val="14"/>
                <w:szCs w:val="14"/>
                <w:color w:val="auto"/>
              </w:rPr>
            </w:pP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2001</w:t>
            </w:r>
          </w:p>
        </w:tc>
      </w:tr>
      <w:tr>
        <w:trPr>
          <w:trHeight w:val="166"/>
        </w:trPr>
        <w:tc>
          <w:tcPr>
            <w:tcW w:w="5180" w:type="dxa"/>
            <w:vAlign w:val="bottom"/>
          </w:tcPr>
          <w:p>
            <w:pPr>
              <w:spacing w:after="0"/>
              <w:rPr>
                <w:sz w:val="14"/>
                <w:szCs w:val="14"/>
                <w:color w:val="auto"/>
              </w:rPr>
            </w:pPr>
          </w:p>
        </w:tc>
        <w:tc>
          <w:tcPr>
            <w:tcW w:w="154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6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180" w:type="dxa"/>
            <w:vAlign w:val="bottom"/>
          </w:tcPr>
          <w:p>
            <w:pPr>
              <w:jc w:val="right"/>
              <w:spacing w:after="0"/>
              <w:rPr>
                <w:sz w:val="20"/>
                <w:szCs w:val="20"/>
                <w:color w:val="auto"/>
              </w:rPr>
            </w:pPr>
            <w:r>
              <w:rPr>
                <w:rFonts w:ascii="Courier New" w:cs="Courier New" w:eastAsia="Courier New" w:hAnsi="Courier New"/>
                <w:sz w:val="14"/>
                <w:szCs w:val="14"/>
                <w:color w:val="auto"/>
              </w:rPr>
              <w:t>Net earnings............................................</w:t>
            </w:r>
          </w:p>
        </w:tc>
        <w:tc>
          <w:tcPr>
            <w:tcW w:w="1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21,922</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16,932</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30,325</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48,292</w:t>
            </w:r>
          </w:p>
        </w:tc>
      </w:tr>
      <w:tr>
        <w:trPr>
          <w:trHeight w:val="166"/>
        </w:trPr>
        <w:tc>
          <w:tcPr>
            <w:tcW w:w="5180" w:type="dxa"/>
            <w:vAlign w:val="bottom"/>
          </w:tcPr>
          <w:p>
            <w:pPr>
              <w:ind w:left="440"/>
              <w:spacing w:after="0"/>
              <w:rPr>
                <w:sz w:val="20"/>
                <w:szCs w:val="20"/>
                <w:color w:val="auto"/>
              </w:rPr>
            </w:pPr>
            <w:r>
              <w:rPr>
                <w:rFonts w:ascii="Courier New" w:cs="Courier New" w:eastAsia="Courier New" w:hAnsi="Courier New"/>
                <w:sz w:val="14"/>
                <w:szCs w:val="14"/>
                <w:color w:val="auto"/>
              </w:rPr>
              <w:t>Other comprehensive income (loss):</w:t>
            </w: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5180" w:type="dxa"/>
            <w:vAlign w:val="bottom"/>
          </w:tcPr>
          <w:p>
            <w:pPr>
              <w:jc w:val="right"/>
              <w:spacing w:after="0"/>
              <w:rPr>
                <w:sz w:val="20"/>
                <w:szCs w:val="20"/>
                <w:color w:val="auto"/>
              </w:rPr>
            </w:pPr>
            <w:r>
              <w:rPr>
                <w:rFonts w:ascii="Courier New" w:cs="Courier New" w:eastAsia="Courier New" w:hAnsi="Courier New"/>
                <w:sz w:val="14"/>
                <w:szCs w:val="14"/>
                <w:color w:val="auto"/>
              </w:rPr>
              <w:t>Foreign currency translation.........................</w:t>
            </w:r>
          </w:p>
        </w:tc>
        <w:tc>
          <w:tcPr>
            <w:tcW w:w="160" w:type="dxa"/>
            <w:vAlign w:val="bottom"/>
          </w:tcPr>
          <w:p>
            <w:pPr>
              <w:spacing w:after="0"/>
              <w:rPr>
                <w:sz w:val="14"/>
                <w:szCs w:val="14"/>
                <w:color w:val="auto"/>
              </w:rPr>
            </w:pP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177</w:t>
            </w:r>
          </w:p>
        </w:tc>
        <w:tc>
          <w:tcPr>
            <w:tcW w:w="220" w:type="dxa"/>
            <w:vAlign w:val="bottom"/>
          </w:tcPr>
          <w:p>
            <w:pPr>
              <w:spacing w:after="0"/>
              <w:rPr>
                <w:sz w:val="14"/>
                <w:szCs w:val="14"/>
                <w:color w:val="auto"/>
              </w:rPr>
            </w:pP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(59)</w:t>
            </w:r>
          </w:p>
        </w:tc>
        <w:tc>
          <w:tcPr>
            <w:tcW w:w="300" w:type="dxa"/>
            <w:vAlign w:val="bottom"/>
          </w:tcPr>
          <w:p>
            <w:pPr>
              <w:spacing w:after="0"/>
              <w:rPr>
                <w:sz w:val="14"/>
                <w:szCs w:val="14"/>
                <w:color w:val="auto"/>
              </w:rPr>
            </w:pPr>
          </w:p>
        </w:tc>
        <w:tc>
          <w:tcPr>
            <w:tcW w:w="13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987</w:t>
            </w:r>
          </w:p>
        </w:tc>
        <w:tc>
          <w:tcPr>
            <w:tcW w:w="36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w:t>
            </w:r>
          </w:p>
        </w:tc>
      </w:tr>
      <w:tr>
        <w:trPr>
          <w:trHeight w:val="166"/>
        </w:trPr>
        <w:tc>
          <w:tcPr>
            <w:tcW w:w="5180" w:type="dxa"/>
            <w:vAlign w:val="bottom"/>
          </w:tcPr>
          <w:p>
            <w:pPr>
              <w:jc w:val="right"/>
              <w:spacing w:after="0"/>
              <w:rPr>
                <w:sz w:val="20"/>
                <w:szCs w:val="20"/>
                <w:color w:val="auto"/>
              </w:rPr>
            </w:pPr>
            <w:r>
              <w:rPr>
                <w:rFonts w:ascii="Courier New" w:cs="Courier New" w:eastAsia="Courier New" w:hAnsi="Courier New"/>
                <w:sz w:val="14"/>
                <w:szCs w:val="14"/>
                <w:color w:val="auto"/>
              </w:rPr>
              <w:t>Unrealized gain (loss) on derivative instruments.....</w:t>
            </w:r>
          </w:p>
        </w:tc>
        <w:tc>
          <w:tcPr>
            <w:tcW w:w="160" w:type="dxa"/>
            <w:vAlign w:val="bottom"/>
          </w:tcPr>
          <w:p>
            <w:pPr>
              <w:spacing w:after="0"/>
              <w:rPr>
                <w:sz w:val="14"/>
                <w:szCs w:val="14"/>
                <w:color w:val="auto"/>
              </w:rPr>
            </w:pP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448</w:t>
            </w:r>
          </w:p>
        </w:tc>
        <w:tc>
          <w:tcPr>
            <w:tcW w:w="220" w:type="dxa"/>
            <w:vAlign w:val="bottom"/>
          </w:tcPr>
          <w:p>
            <w:pPr>
              <w:spacing w:after="0"/>
              <w:rPr>
                <w:sz w:val="14"/>
                <w:szCs w:val="14"/>
                <w:color w:val="auto"/>
              </w:rPr>
            </w:pP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(75)</w:t>
            </w:r>
          </w:p>
        </w:tc>
        <w:tc>
          <w:tcPr>
            <w:tcW w:w="300" w:type="dxa"/>
            <w:vAlign w:val="bottom"/>
          </w:tcPr>
          <w:p>
            <w:pPr>
              <w:spacing w:after="0"/>
              <w:rPr>
                <w:sz w:val="14"/>
                <w:szCs w:val="14"/>
                <w:color w:val="auto"/>
              </w:rPr>
            </w:pPr>
          </w:p>
        </w:tc>
        <w:tc>
          <w:tcPr>
            <w:tcW w:w="13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234</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(73)</w:t>
            </w:r>
          </w:p>
        </w:tc>
      </w:tr>
      <w:tr>
        <w:trPr>
          <w:trHeight w:val="166"/>
        </w:trPr>
        <w:tc>
          <w:tcPr>
            <w:tcW w:w="5180" w:type="dxa"/>
            <w:vAlign w:val="bottom"/>
          </w:tcPr>
          <w:p>
            <w:pPr>
              <w:spacing w:after="0"/>
              <w:rPr>
                <w:sz w:val="14"/>
                <w:szCs w:val="14"/>
                <w:color w:val="auto"/>
              </w:rPr>
            </w:pPr>
          </w:p>
        </w:tc>
        <w:tc>
          <w:tcPr>
            <w:tcW w:w="154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6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180" w:type="dxa"/>
            <w:vAlign w:val="bottom"/>
          </w:tcPr>
          <w:p>
            <w:pPr>
              <w:jc w:val="right"/>
              <w:spacing w:after="0"/>
              <w:rPr>
                <w:sz w:val="20"/>
                <w:szCs w:val="20"/>
                <w:color w:val="auto"/>
              </w:rPr>
            </w:pPr>
            <w:r>
              <w:rPr>
                <w:rFonts w:ascii="Courier New" w:cs="Courier New" w:eastAsia="Courier New" w:hAnsi="Courier New"/>
                <w:sz w:val="14"/>
                <w:szCs w:val="14"/>
                <w:color w:val="auto"/>
              </w:rPr>
              <w:t>Comprehensive income...................................</w:t>
            </w:r>
          </w:p>
        </w:tc>
        <w:tc>
          <w:tcPr>
            <w:tcW w:w="1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22,547</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16,798</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31,546</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48,267</w:t>
            </w:r>
          </w:p>
        </w:tc>
      </w:tr>
      <w:tr>
        <w:trPr>
          <w:trHeight w:val="166"/>
        </w:trPr>
        <w:tc>
          <w:tcPr>
            <w:tcW w:w="5180" w:type="dxa"/>
            <w:vAlign w:val="bottom"/>
          </w:tcPr>
          <w:p>
            <w:pPr>
              <w:spacing w:after="0"/>
              <w:rPr>
                <w:sz w:val="14"/>
                <w:szCs w:val="14"/>
                <w:color w:val="auto"/>
              </w:rPr>
            </w:pPr>
          </w:p>
        </w:tc>
        <w:tc>
          <w:tcPr>
            <w:tcW w:w="154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6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663"/>
        </w:trPr>
        <w:tc>
          <w:tcPr>
            <w:tcW w:w="5180" w:type="dxa"/>
            <w:vAlign w:val="bottom"/>
          </w:tcPr>
          <w:p>
            <w:pPr>
              <w:spacing w:after="0"/>
              <w:rPr>
                <w:sz w:val="20"/>
                <w:szCs w:val="20"/>
                <w:color w:val="auto"/>
              </w:rPr>
            </w:pPr>
            <w:r>
              <w:rPr>
                <w:rFonts w:ascii="Courier New" w:cs="Courier New" w:eastAsia="Courier New" w:hAnsi="Courier New"/>
                <w:sz w:val="14"/>
                <w:szCs w:val="14"/>
                <w:color w:val="auto"/>
              </w:rPr>
              <w:t>Net Earnings Per Share</w:t>
            </w: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31"/>
        </w:trPr>
        <w:tc>
          <w:tcPr>
            <w:tcW w:w="6720" w:type="dxa"/>
            <w:vAlign w:val="bottom"/>
            <w:gridSpan w:val="3"/>
          </w:tcPr>
          <w:p>
            <w:pPr>
              <w:spacing w:after="0"/>
              <w:rPr>
                <w:sz w:val="20"/>
                <w:szCs w:val="20"/>
                <w:color w:val="auto"/>
              </w:rPr>
            </w:pPr>
            <w:r>
              <w:rPr>
                <w:rFonts w:ascii="Courier New" w:cs="Courier New" w:eastAsia="Courier New" w:hAnsi="Courier New"/>
                <w:sz w:val="14"/>
                <w:szCs w:val="14"/>
                <w:color w:val="auto"/>
              </w:rPr>
              <w:t>Reconciliations of basic and dilutive weighted average shares of common stock</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outstanding were as follows:</w:t>
            </w: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663"/>
        </w:trPr>
        <w:tc>
          <w:tcPr>
            <w:tcW w:w="5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60" w:type="dxa"/>
            <w:vAlign w:val="bottom"/>
            <w:gridSpan w:val="3"/>
          </w:tcPr>
          <w:p>
            <w:pPr>
              <w:jc w:val="right"/>
              <w:ind w:right="808"/>
              <w:spacing w:after="0"/>
              <w:rPr>
                <w:sz w:val="20"/>
                <w:szCs w:val="20"/>
                <w:color w:val="auto"/>
              </w:rPr>
            </w:pPr>
            <w:r>
              <w:rPr>
                <w:rFonts w:ascii="Courier New" w:cs="Courier New" w:eastAsia="Courier New" w:hAnsi="Courier New"/>
                <w:sz w:val="14"/>
                <w:szCs w:val="14"/>
                <w:color w:val="auto"/>
              </w:rPr>
              <w:t>Three Months Ended</w:t>
            </w:r>
          </w:p>
        </w:tc>
        <w:tc>
          <w:tcPr>
            <w:tcW w:w="300" w:type="dxa"/>
            <w:vAlign w:val="bottom"/>
          </w:tcPr>
          <w:p>
            <w:pPr>
              <w:spacing w:after="0"/>
              <w:rPr>
                <w:sz w:val="24"/>
                <w:szCs w:val="24"/>
                <w:color w:val="auto"/>
              </w:rPr>
            </w:pPr>
          </w:p>
        </w:tc>
        <w:tc>
          <w:tcPr>
            <w:tcW w:w="2880" w:type="dxa"/>
            <w:vAlign w:val="bottom"/>
            <w:gridSpan w:val="3"/>
          </w:tcPr>
          <w:p>
            <w:pPr>
              <w:jc w:val="right"/>
              <w:ind w:right="628"/>
              <w:spacing w:after="0"/>
              <w:rPr>
                <w:sz w:val="20"/>
                <w:szCs w:val="20"/>
                <w:color w:val="auto"/>
              </w:rPr>
            </w:pPr>
            <w:r>
              <w:rPr>
                <w:rFonts w:ascii="Courier New" w:cs="Courier New" w:eastAsia="Courier New" w:hAnsi="Courier New"/>
                <w:sz w:val="14"/>
                <w:szCs w:val="14"/>
                <w:color w:val="auto"/>
              </w:rPr>
              <w:t>Nine Months Ended</w:t>
            </w:r>
          </w:p>
        </w:tc>
      </w:tr>
      <w:tr>
        <w:trPr>
          <w:trHeight w:val="166"/>
        </w:trPr>
        <w:tc>
          <w:tcPr>
            <w:tcW w:w="5180" w:type="dxa"/>
            <w:vAlign w:val="bottom"/>
          </w:tcPr>
          <w:p>
            <w:pPr>
              <w:spacing w:after="0"/>
              <w:rPr>
                <w:sz w:val="14"/>
                <w:szCs w:val="14"/>
                <w:color w:val="auto"/>
              </w:rPr>
            </w:pPr>
          </w:p>
        </w:tc>
        <w:tc>
          <w:tcPr>
            <w:tcW w:w="1540" w:type="dxa"/>
            <w:vAlign w:val="bottom"/>
            <w:gridSpan w:val="2"/>
          </w:tcPr>
          <w:p>
            <w:pPr>
              <w:spacing w:after="0"/>
              <w:rPr>
                <w:sz w:val="20"/>
                <w:szCs w:val="20"/>
                <w:color w:val="auto"/>
              </w:rPr>
            </w:pPr>
            <w:r>
              <w:rPr>
                <w:rFonts w:ascii="Courier New" w:cs="Courier New" w:eastAsia="Courier New" w:hAnsi="Courier New"/>
                <w:sz w:val="11"/>
                <w:szCs w:val="11"/>
                <w:color w:val="auto"/>
                <w:w w:val="71"/>
              </w:rPr>
              <w:t>--------------------------------</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18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August 2,</w:t>
            </w:r>
          </w:p>
        </w:tc>
        <w:tc>
          <w:tcPr>
            <w:tcW w:w="220" w:type="dxa"/>
            <w:vAlign w:val="bottom"/>
          </w:tcPr>
          <w:p>
            <w:pPr>
              <w:spacing w:after="0"/>
              <w:rPr>
                <w:sz w:val="14"/>
                <w:szCs w:val="14"/>
                <w:color w:val="auto"/>
              </w:rPr>
            </w:pP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August 3,</w:t>
            </w:r>
          </w:p>
        </w:tc>
        <w:tc>
          <w:tcPr>
            <w:tcW w:w="300" w:type="dxa"/>
            <w:vAlign w:val="bottom"/>
          </w:tcPr>
          <w:p>
            <w:pPr>
              <w:spacing w:after="0"/>
              <w:rPr>
                <w:sz w:val="14"/>
                <w:szCs w:val="14"/>
                <w:color w:val="auto"/>
              </w:rPr>
            </w:pPr>
          </w:p>
        </w:tc>
        <w:tc>
          <w:tcPr>
            <w:tcW w:w="13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August 2,</w:t>
            </w:r>
          </w:p>
        </w:tc>
        <w:tc>
          <w:tcPr>
            <w:tcW w:w="36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August 3,</w:t>
            </w:r>
          </w:p>
        </w:tc>
      </w:tr>
      <w:tr>
        <w:trPr>
          <w:trHeight w:val="166"/>
        </w:trPr>
        <w:tc>
          <w:tcPr>
            <w:tcW w:w="5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2002</w:t>
            </w:r>
          </w:p>
        </w:tc>
        <w:tc>
          <w:tcPr>
            <w:tcW w:w="220" w:type="dxa"/>
            <w:vAlign w:val="bottom"/>
          </w:tcPr>
          <w:p>
            <w:pPr>
              <w:spacing w:after="0"/>
              <w:rPr>
                <w:sz w:val="14"/>
                <w:szCs w:val="14"/>
                <w:color w:val="auto"/>
              </w:rPr>
            </w:pPr>
          </w:p>
        </w:tc>
        <w:tc>
          <w:tcPr>
            <w:tcW w:w="12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2001</w:t>
            </w:r>
          </w:p>
        </w:tc>
        <w:tc>
          <w:tcPr>
            <w:tcW w:w="300" w:type="dxa"/>
            <w:vAlign w:val="bottom"/>
          </w:tcPr>
          <w:p>
            <w:pPr>
              <w:spacing w:after="0"/>
              <w:rPr>
                <w:sz w:val="14"/>
                <w:szCs w:val="14"/>
                <w:color w:val="auto"/>
              </w:rPr>
            </w:pPr>
          </w:p>
        </w:tc>
        <w:tc>
          <w:tcPr>
            <w:tcW w:w="13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2002</w:t>
            </w:r>
          </w:p>
        </w:tc>
        <w:tc>
          <w:tcPr>
            <w:tcW w:w="360" w:type="dxa"/>
            <w:vAlign w:val="bottom"/>
          </w:tcPr>
          <w:p>
            <w:pPr>
              <w:spacing w:after="0"/>
              <w:rPr>
                <w:sz w:val="14"/>
                <w:szCs w:val="14"/>
                <w:color w:val="auto"/>
              </w:rPr>
            </w:pP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2001</w:t>
            </w:r>
          </w:p>
        </w:tc>
      </w:tr>
      <w:tr>
        <w:trPr>
          <w:trHeight w:val="166"/>
        </w:trPr>
        <w:tc>
          <w:tcPr>
            <w:tcW w:w="5180" w:type="dxa"/>
            <w:vAlign w:val="bottom"/>
          </w:tcPr>
          <w:p>
            <w:pPr>
              <w:spacing w:after="0"/>
              <w:rPr>
                <w:sz w:val="14"/>
                <w:szCs w:val="14"/>
                <w:color w:val="auto"/>
              </w:rPr>
            </w:pPr>
          </w:p>
        </w:tc>
        <w:tc>
          <w:tcPr>
            <w:tcW w:w="154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6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180" w:type="dxa"/>
            <w:vAlign w:val="bottom"/>
          </w:tcPr>
          <w:p>
            <w:pPr>
              <w:spacing w:after="0"/>
              <w:rPr>
                <w:sz w:val="20"/>
                <w:szCs w:val="20"/>
                <w:color w:val="auto"/>
              </w:rPr>
            </w:pPr>
            <w:r>
              <w:rPr>
                <w:rFonts w:ascii="Courier New" w:cs="Courier New" w:eastAsia="Courier New" w:hAnsi="Courier New"/>
                <w:sz w:val="14"/>
                <w:szCs w:val="14"/>
                <w:color w:val="auto"/>
              </w:rPr>
              <w:t>Basic</w:t>
            </w: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(Shares in thousands)</w:t>
            </w: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Weighted average number of shares of common</w:t>
            </w: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5180" w:type="dxa"/>
            <w:vAlign w:val="bottom"/>
          </w:tcPr>
          <w:p>
            <w:pPr>
              <w:jc w:val="right"/>
              <w:spacing w:after="0"/>
              <w:rPr>
                <w:sz w:val="20"/>
                <w:szCs w:val="20"/>
                <w:color w:val="auto"/>
              </w:rPr>
            </w:pPr>
            <w:r>
              <w:rPr>
                <w:rFonts w:ascii="Courier New" w:cs="Courier New" w:eastAsia="Courier New" w:hAnsi="Courier New"/>
                <w:sz w:val="14"/>
                <w:szCs w:val="14"/>
                <w:color w:val="auto"/>
              </w:rPr>
              <w:t>stock outstanding....................................</w:t>
            </w:r>
          </w:p>
        </w:tc>
        <w:tc>
          <w:tcPr>
            <w:tcW w:w="160" w:type="dxa"/>
            <w:vAlign w:val="bottom"/>
          </w:tcPr>
          <w:p>
            <w:pPr>
              <w:spacing w:after="0"/>
              <w:rPr>
                <w:sz w:val="14"/>
                <w:szCs w:val="14"/>
                <w:color w:val="auto"/>
              </w:rPr>
            </w:pP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12,609</w:t>
            </w:r>
          </w:p>
        </w:tc>
        <w:tc>
          <w:tcPr>
            <w:tcW w:w="220" w:type="dxa"/>
            <w:vAlign w:val="bottom"/>
          </w:tcPr>
          <w:p>
            <w:pPr>
              <w:spacing w:after="0"/>
              <w:rPr>
                <w:sz w:val="14"/>
                <w:szCs w:val="14"/>
                <w:color w:val="auto"/>
              </w:rPr>
            </w:pP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12,644</w:t>
            </w:r>
          </w:p>
        </w:tc>
        <w:tc>
          <w:tcPr>
            <w:tcW w:w="300" w:type="dxa"/>
            <w:vAlign w:val="bottom"/>
          </w:tcPr>
          <w:p>
            <w:pPr>
              <w:spacing w:after="0"/>
              <w:rPr>
                <w:sz w:val="14"/>
                <w:szCs w:val="14"/>
                <w:color w:val="auto"/>
              </w:rPr>
            </w:pPr>
          </w:p>
        </w:tc>
        <w:tc>
          <w:tcPr>
            <w:tcW w:w="13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12,558</w:t>
            </w:r>
          </w:p>
        </w:tc>
        <w:tc>
          <w:tcPr>
            <w:tcW w:w="36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12,729</w:t>
            </w: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Assumed issuance of contingent shares ......................</w:t>
            </w:r>
          </w:p>
        </w:tc>
        <w:tc>
          <w:tcPr>
            <w:tcW w:w="160" w:type="dxa"/>
            <w:vAlign w:val="bottom"/>
          </w:tcPr>
          <w:p>
            <w:pPr>
              <w:spacing w:after="0"/>
              <w:rPr>
                <w:sz w:val="14"/>
                <w:szCs w:val="14"/>
                <w:color w:val="auto"/>
              </w:rPr>
            </w:pP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3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w:t>
            </w:r>
          </w:p>
        </w:tc>
        <w:tc>
          <w:tcPr>
            <w:tcW w:w="36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w:t>
            </w:r>
          </w:p>
        </w:tc>
      </w:tr>
      <w:tr>
        <w:trPr>
          <w:trHeight w:val="166"/>
        </w:trPr>
        <w:tc>
          <w:tcPr>
            <w:tcW w:w="5180" w:type="dxa"/>
            <w:vAlign w:val="bottom"/>
          </w:tcPr>
          <w:p>
            <w:pPr>
              <w:spacing w:after="0"/>
              <w:rPr>
                <w:sz w:val="14"/>
                <w:szCs w:val="14"/>
                <w:color w:val="auto"/>
              </w:rPr>
            </w:pPr>
          </w:p>
        </w:tc>
        <w:tc>
          <w:tcPr>
            <w:tcW w:w="154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6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Weighted average number of shares of common stock</w:t>
            </w: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5180" w:type="dxa"/>
            <w:vAlign w:val="bottom"/>
          </w:tcPr>
          <w:p>
            <w:pPr>
              <w:jc w:val="right"/>
              <w:spacing w:after="0"/>
              <w:rPr>
                <w:sz w:val="20"/>
                <w:szCs w:val="20"/>
                <w:color w:val="auto"/>
              </w:rPr>
            </w:pPr>
            <w:r>
              <w:rPr>
                <w:rFonts w:ascii="Courier New" w:cs="Courier New" w:eastAsia="Courier New" w:hAnsi="Courier New"/>
                <w:sz w:val="14"/>
                <w:szCs w:val="14"/>
                <w:color w:val="auto"/>
              </w:rPr>
              <w:t>and assumed issuance of contingent shares............</w:t>
            </w:r>
          </w:p>
        </w:tc>
        <w:tc>
          <w:tcPr>
            <w:tcW w:w="160" w:type="dxa"/>
            <w:vAlign w:val="bottom"/>
          </w:tcPr>
          <w:p>
            <w:pPr>
              <w:spacing w:after="0"/>
              <w:rPr>
                <w:sz w:val="14"/>
                <w:szCs w:val="14"/>
                <w:color w:val="auto"/>
              </w:rPr>
            </w:pP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12,609</w:t>
            </w:r>
          </w:p>
        </w:tc>
        <w:tc>
          <w:tcPr>
            <w:tcW w:w="220" w:type="dxa"/>
            <w:vAlign w:val="bottom"/>
          </w:tcPr>
          <w:p>
            <w:pPr>
              <w:spacing w:after="0"/>
              <w:rPr>
                <w:sz w:val="14"/>
                <w:szCs w:val="14"/>
                <w:color w:val="auto"/>
              </w:rPr>
            </w:pP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12,644</w:t>
            </w:r>
          </w:p>
        </w:tc>
        <w:tc>
          <w:tcPr>
            <w:tcW w:w="300" w:type="dxa"/>
            <w:vAlign w:val="bottom"/>
          </w:tcPr>
          <w:p>
            <w:pPr>
              <w:spacing w:after="0"/>
              <w:rPr>
                <w:sz w:val="14"/>
                <w:szCs w:val="14"/>
                <w:color w:val="auto"/>
              </w:rPr>
            </w:pPr>
          </w:p>
        </w:tc>
        <w:tc>
          <w:tcPr>
            <w:tcW w:w="13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12,568</w:t>
            </w:r>
          </w:p>
        </w:tc>
        <w:tc>
          <w:tcPr>
            <w:tcW w:w="36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12,741</w:t>
            </w:r>
          </w:p>
        </w:tc>
      </w:tr>
      <w:tr>
        <w:trPr>
          <w:trHeight w:val="166"/>
        </w:trPr>
        <w:tc>
          <w:tcPr>
            <w:tcW w:w="5180" w:type="dxa"/>
            <w:vAlign w:val="bottom"/>
          </w:tcPr>
          <w:p>
            <w:pPr>
              <w:spacing w:after="0"/>
              <w:rPr>
                <w:sz w:val="14"/>
                <w:szCs w:val="14"/>
                <w:color w:val="auto"/>
              </w:rPr>
            </w:pPr>
          </w:p>
        </w:tc>
        <w:tc>
          <w:tcPr>
            <w:tcW w:w="154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6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994"/>
        </w:trPr>
        <w:tc>
          <w:tcPr>
            <w:tcW w:w="5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60" w:type="dxa"/>
            <w:vAlign w:val="bottom"/>
            <w:gridSpan w:val="3"/>
          </w:tcPr>
          <w:p>
            <w:pPr>
              <w:jc w:val="right"/>
              <w:ind w:right="808"/>
              <w:spacing w:after="0"/>
              <w:rPr>
                <w:sz w:val="20"/>
                <w:szCs w:val="20"/>
                <w:color w:val="auto"/>
              </w:rPr>
            </w:pPr>
            <w:r>
              <w:rPr>
                <w:rFonts w:ascii="Courier New" w:cs="Courier New" w:eastAsia="Courier New" w:hAnsi="Courier New"/>
                <w:sz w:val="14"/>
                <w:szCs w:val="14"/>
                <w:color w:val="auto"/>
              </w:rPr>
              <w:t>Three Months Ended</w:t>
            </w:r>
          </w:p>
        </w:tc>
        <w:tc>
          <w:tcPr>
            <w:tcW w:w="300" w:type="dxa"/>
            <w:vAlign w:val="bottom"/>
          </w:tcPr>
          <w:p>
            <w:pPr>
              <w:spacing w:after="0"/>
              <w:rPr>
                <w:sz w:val="24"/>
                <w:szCs w:val="24"/>
                <w:color w:val="auto"/>
              </w:rPr>
            </w:pPr>
          </w:p>
        </w:tc>
        <w:tc>
          <w:tcPr>
            <w:tcW w:w="2880" w:type="dxa"/>
            <w:vAlign w:val="bottom"/>
            <w:gridSpan w:val="3"/>
          </w:tcPr>
          <w:p>
            <w:pPr>
              <w:jc w:val="right"/>
              <w:ind w:right="628"/>
              <w:spacing w:after="0"/>
              <w:rPr>
                <w:sz w:val="20"/>
                <w:szCs w:val="20"/>
                <w:color w:val="auto"/>
              </w:rPr>
            </w:pPr>
            <w:r>
              <w:rPr>
                <w:rFonts w:ascii="Courier New" w:cs="Courier New" w:eastAsia="Courier New" w:hAnsi="Courier New"/>
                <w:sz w:val="14"/>
                <w:szCs w:val="14"/>
                <w:color w:val="auto"/>
              </w:rPr>
              <w:t>Nine Months Ended</w:t>
            </w:r>
          </w:p>
        </w:tc>
      </w:tr>
      <w:tr>
        <w:trPr>
          <w:trHeight w:val="166"/>
        </w:trPr>
        <w:tc>
          <w:tcPr>
            <w:tcW w:w="5180" w:type="dxa"/>
            <w:vAlign w:val="bottom"/>
          </w:tcPr>
          <w:p>
            <w:pPr>
              <w:spacing w:after="0"/>
              <w:rPr>
                <w:sz w:val="14"/>
                <w:szCs w:val="14"/>
                <w:color w:val="auto"/>
              </w:rPr>
            </w:pPr>
          </w:p>
        </w:tc>
        <w:tc>
          <w:tcPr>
            <w:tcW w:w="1540" w:type="dxa"/>
            <w:vAlign w:val="bottom"/>
            <w:gridSpan w:val="2"/>
          </w:tcPr>
          <w:p>
            <w:pPr>
              <w:spacing w:after="0"/>
              <w:rPr>
                <w:sz w:val="20"/>
                <w:szCs w:val="20"/>
                <w:color w:val="auto"/>
              </w:rPr>
            </w:pPr>
            <w:r>
              <w:rPr>
                <w:rFonts w:ascii="Courier New" w:cs="Courier New" w:eastAsia="Courier New" w:hAnsi="Courier New"/>
                <w:sz w:val="11"/>
                <w:szCs w:val="11"/>
                <w:color w:val="auto"/>
                <w:w w:val="71"/>
              </w:rPr>
              <w:t>--------------------------------</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18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August 2,</w:t>
            </w:r>
          </w:p>
        </w:tc>
        <w:tc>
          <w:tcPr>
            <w:tcW w:w="220" w:type="dxa"/>
            <w:vAlign w:val="bottom"/>
          </w:tcPr>
          <w:p>
            <w:pPr>
              <w:spacing w:after="0"/>
              <w:rPr>
                <w:sz w:val="14"/>
                <w:szCs w:val="14"/>
                <w:color w:val="auto"/>
              </w:rPr>
            </w:pP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August 3,</w:t>
            </w:r>
          </w:p>
        </w:tc>
        <w:tc>
          <w:tcPr>
            <w:tcW w:w="300" w:type="dxa"/>
            <w:vAlign w:val="bottom"/>
          </w:tcPr>
          <w:p>
            <w:pPr>
              <w:spacing w:after="0"/>
              <w:rPr>
                <w:sz w:val="14"/>
                <w:szCs w:val="14"/>
                <w:color w:val="auto"/>
              </w:rPr>
            </w:pPr>
          </w:p>
        </w:tc>
        <w:tc>
          <w:tcPr>
            <w:tcW w:w="13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August 2,</w:t>
            </w:r>
          </w:p>
        </w:tc>
        <w:tc>
          <w:tcPr>
            <w:tcW w:w="36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August 3,</w:t>
            </w:r>
          </w:p>
        </w:tc>
      </w:tr>
      <w:tr>
        <w:trPr>
          <w:trHeight w:val="166"/>
        </w:trPr>
        <w:tc>
          <w:tcPr>
            <w:tcW w:w="5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2002</w:t>
            </w:r>
          </w:p>
        </w:tc>
        <w:tc>
          <w:tcPr>
            <w:tcW w:w="220" w:type="dxa"/>
            <w:vAlign w:val="bottom"/>
          </w:tcPr>
          <w:p>
            <w:pPr>
              <w:spacing w:after="0"/>
              <w:rPr>
                <w:sz w:val="14"/>
                <w:szCs w:val="14"/>
                <w:color w:val="auto"/>
              </w:rPr>
            </w:pPr>
          </w:p>
        </w:tc>
        <w:tc>
          <w:tcPr>
            <w:tcW w:w="12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2001</w:t>
            </w:r>
          </w:p>
        </w:tc>
        <w:tc>
          <w:tcPr>
            <w:tcW w:w="300" w:type="dxa"/>
            <w:vAlign w:val="bottom"/>
          </w:tcPr>
          <w:p>
            <w:pPr>
              <w:spacing w:after="0"/>
              <w:rPr>
                <w:sz w:val="14"/>
                <w:szCs w:val="14"/>
                <w:color w:val="auto"/>
              </w:rPr>
            </w:pPr>
          </w:p>
        </w:tc>
        <w:tc>
          <w:tcPr>
            <w:tcW w:w="13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2002</w:t>
            </w:r>
          </w:p>
        </w:tc>
        <w:tc>
          <w:tcPr>
            <w:tcW w:w="360" w:type="dxa"/>
            <w:vAlign w:val="bottom"/>
          </w:tcPr>
          <w:p>
            <w:pPr>
              <w:spacing w:after="0"/>
              <w:rPr>
                <w:sz w:val="14"/>
                <w:szCs w:val="14"/>
                <w:color w:val="auto"/>
              </w:rPr>
            </w:pP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2001</w:t>
            </w:r>
          </w:p>
        </w:tc>
      </w:tr>
      <w:tr>
        <w:trPr>
          <w:trHeight w:val="166"/>
        </w:trPr>
        <w:tc>
          <w:tcPr>
            <w:tcW w:w="5180" w:type="dxa"/>
            <w:vAlign w:val="bottom"/>
          </w:tcPr>
          <w:p>
            <w:pPr>
              <w:spacing w:after="0"/>
              <w:rPr>
                <w:sz w:val="14"/>
                <w:szCs w:val="14"/>
                <w:color w:val="auto"/>
              </w:rPr>
            </w:pPr>
          </w:p>
        </w:tc>
        <w:tc>
          <w:tcPr>
            <w:tcW w:w="154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6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180" w:type="dxa"/>
            <w:vAlign w:val="bottom"/>
          </w:tcPr>
          <w:p>
            <w:pPr>
              <w:spacing w:after="0"/>
              <w:rPr>
                <w:sz w:val="20"/>
                <w:szCs w:val="20"/>
                <w:color w:val="auto"/>
              </w:rPr>
            </w:pPr>
            <w:r>
              <w:rPr>
                <w:rFonts w:ascii="Courier New" w:cs="Courier New" w:eastAsia="Courier New" w:hAnsi="Courier New"/>
                <w:sz w:val="14"/>
                <w:szCs w:val="14"/>
                <w:color w:val="auto"/>
              </w:rPr>
              <w:t>Dilutive</w:t>
            </w: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(Shares in thousands)</w:t>
            </w: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Weighted average number of shares of common stock</w:t>
            </w: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5180" w:type="dxa"/>
            <w:vAlign w:val="bottom"/>
          </w:tcPr>
          <w:p>
            <w:pPr>
              <w:jc w:val="right"/>
              <w:spacing w:after="0"/>
              <w:rPr>
                <w:sz w:val="20"/>
                <w:szCs w:val="20"/>
                <w:color w:val="auto"/>
              </w:rPr>
            </w:pPr>
            <w:r>
              <w:rPr>
                <w:rFonts w:ascii="Courier New" w:cs="Courier New" w:eastAsia="Courier New" w:hAnsi="Courier New"/>
                <w:sz w:val="14"/>
                <w:szCs w:val="14"/>
                <w:color w:val="auto"/>
              </w:rPr>
              <w:t>and assumed issuance of contingent shares............</w:t>
            </w:r>
          </w:p>
        </w:tc>
        <w:tc>
          <w:tcPr>
            <w:tcW w:w="160" w:type="dxa"/>
            <w:vAlign w:val="bottom"/>
          </w:tcPr>
          <w:p>
            <w:pPr>
              <w:spacing w:after="0"/>
              <w:rPr>
                <w:sz w:val="14"/>
                <w:szCs w:val="14"/>
                <w:color w:val="auto"/>
              </w:rPr>
            </w:pP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12,609</w:t>
            </w:r>
          </w:p>
        </w:tc>
        <w:tc>
          <w:tcPr>
            <w:tcW w:w="220" w:type="dxa"/>
            <w:vAlign w:val="bottom"/>
          </w:tcPr>
          <w:p>
            <w:pPr>
              <w:spacing w:after="0"/>
              <w:rPr>
                <w:sz w:val="14"/>
                <w:szCs w:val="14"/>
                <w:color w:val="auto"/>
              </w:rPr>
            </w:pP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12,644</w:t>
            </w:r>
          </w:p>
        </w:tc>
        <w:tc>
          <w:tcPr>
            <w:tcW w:w="300" w:type="dxa"/>
            <w:vAlign w:val="bottom"/>
          </w:tcPr>
          <w:p>
            <w:pPr>
              <w:spacing w:after="0"/>
              <w:rPr>
                <w:sz w:val="14"/>
                <w:szCs w:val="14"/>
                <w:color w:val="auto"/>
              </w:rPr>
            </w:pPr>
          </w:p>
        </w:tc>
        <w:tc>
          <w:tcPr>
            <w:tcW w:w="13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12,568</w:t>
            </w:r>
          </w:p>
        </w:tc>
        <w:tc>
          <w:tcPr>
            <w:tcW w:w="36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12,741</w:t>
            </w: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Assumed conversion of stock options ........................</w:t>
            </w:r>
          </w:p>
        </w:tc>
        <w:tc>
          <w:tcPr>
            <w:tcW w:w="160" w:type="dxa"/>
            <w:vAlign w:val="bottom"/>
          </w:tcPr>
          <w:p>
            <w:pPr>
              <w:spacing w:after="0"/>
              <w:rPr>
                <w:sz w:val="14"/>
                <w:szCs w:val="14"/>
                <w:color w:val="auto"/>
              </w:rPr>
            </w:pP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440</w:t>
            </w:r>
          </w:p>
        </w:tc>
        <w:tc>
          <w:tcPr>
            <w:tcW w:w="220" w:type="dxa"/>
            <w:vAlign w:val="bottom"/>
          </w:tcPr>
          <w:p>
            <w:pPr>
              <w:spacing w:after="0"/>
              <w:rPr>
                <w:sz w:val="14"/>
                <w:szCs w:val="14"/>
                <w:color w:val="auto"/>
              </w:rPr>
            </w:pP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365</w:t>
            </w:r>
          </w:p>
        </w:tc>
        <w:tc>
          <w:tcPr>
            <w:tcW w:w="300" w:type="dxa"/>
            <w:vAlign w:val="bottom"/>
          </w:tcPr>
          <w:p>
            <w:pPr>
              <w:spacing w:after="0"/>
              <w:rPr>
                <w:sz w:val="14"/>
                <w:szCs w:val="14"/>
                <w:color w:val="auto"/>
              </w:rPr>
            </w:pPr>
          </w:p>
        </w:tc>
        <w:tc>
          <w:tcPr>
            <w:tcW w:w="13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392</w:t>
            </w:r>
          </w:p>
        </w:tc>
        <w:tc>
          <w:tcPr>
            <w:tcW w:w="36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367</w:t>
            </w:r>
          </w:p>
        </w:tc>
      </w:tr>
      <w:tr>
        <w:trPr>
          <w:trHeight w:val="166"/>
        </w:trPr>
        <w:tc>
          <w:tcPr>
            <w:tcW w:w="5180" w:type="dxa"/>
            <w:vAlign w:val="bottom"/>
          </w:tcPr>
          <w:p>
            <w:pPr>
              <w:spacing w:after="0"/>
              <w:rPr>
                <w:sz w:val="14"/>
                <w:szCs w:val="14"/>
                <w:color w:val="auto"/>
              </w:rPr>
            </w:pPr>
          </w:p>
        </w:tc>
        <w:tc>
          <w:tcPr>
            <w:tcW w:w="154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6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Weighted average number of shares of common stock,</w:t>
            </w: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5180" w:type="dxa"/>
            <w:vAlign w:val="bottom"/>
          </w:tcPr>
          <w:p>
            <w:pPr>
              <w:ind w:left="620"/>
              <w:spacing w:after="0"/>
              <w:rPr>
                <w:sz w:val="20"/>
                <w:szCs w:val="20"/>
                <w:color w:val="auto"/>
              </w:rPr>
            </w:pPr>
            <w:r>
              <w:rPr>
                <w:rFonts w:ascii="Courier New" w:cs="Courier New" w:eastAsia="Courier New" w:hAnsi="Courier New"/>
                <w:sz w:val="14"/>
                <w:szCs w:val="14"/>
                <w:color w:val="auto"/>
              </w:rPr>
              <w:t>assumed issuance of contingent shares,</w:t>
            </w: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5180" w:type="dxa"/>
            <w:vAlign w:val="bottom"/>
          </w:tcPr>
          <w:p>
            <w:pPr>
              <w:jc w:val="right"/>
              <w:spacing w:after="0"/>
              <w:rPr>
                <w:sz w:val="20"/>
                <w:szCs w:val="20"/>
                <w:color w:val="auto"/>
              </w:rPr>
            </w:pPr>
            <w:r>
              <w:rPr>
                <w:rFonts w:ascii="Courier New" w:cs="Courier New" w:eastAsia="Courier New" w:hAnsi="Courier New"/>
                <w:sz w:val="14"/>
                <w:szCs w:val="14"/>
                <w:color w:val="auto"/>
              </w:rPr>
              <w:t>and assumed conversion of stock options..............</w:t>
            </w:r>
          </w:p>
        </w:tc>
        <w:tc>
          <w:tcPr>
            <w:tcW w:w="160" w:type="dxa"/>
            <w:vAlign w:val="bottom"/>
          </w:tcPr>
          <w:p>
            <w:pPr>
              <w:spacing w:after="0"/>
              <w:rPr>
                <w:sz w:val="14"/>
                <w:szCs w:val="14"/>
                <w:color w:val="auto"/>
              </w:rPr>
            </w:pP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13,049</w:t>
            </w:r>
          </w:p>
        </w:tc>
        <w:tc>
          <w:tcPr>
            <w:tcW w:w="220" w:type="dxa"/>
            <w:vAlign w:val="bottom"/>
          </w:tcPr>
          <w:p>
            <w:pPr>
              <w:spacing w:after="0"/>
              <w:rPr>
                <w:sz w:val="14"/>
                <w:szCs w:val="14"/>
                <w:color w:val="auto"/>
              </w:rPr>
            </w:pP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13,009</w:t>
            </w:r>
          </w:p>
        </w:tc>
        <w:tc>
          <w:tcPr>
            <w:tcW w:w="300" w:type="dxa"/>
            <w:vAlign w:val="bottom"/>
          </w:tcPr>
          <w:p>
            <w:pPr>
              <w:spacing w:after="0"/>
              <w:rPr>
                <w:sz w:val="14"/>
                <w:szCs w:val="14"/>
                <w:color w:val="auto"/>
              </w:rPr>
            </w:pPr>
          </w:p>
        </w:tc>
        <w:tc>
          <w:tcPr>
            <w:tcW w:w="13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12,960</w:t>
            </w:r>
          </w:p>
        </w:tc>
        <w:tc>
          <w:tcPr>
            <w:tcW w:w="36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13,108</w:t>
            </w:r>
          </w:p>
        </w:tc>
      </w:tr>
      <w:tr>
        <w:trPr>
          <w:trHeight w:val="166"/>
        </w:trPr>
        <w:tc>
          <w:tcPr>
            <w:tcW w:w="5180" w:type="dxa"/>
            <w:vAlign w:val="bottom"/>
          </w:tcPr>
          <w:p>
            <w:pPr>
              <w:spacing w:after="0"/>
              <w:rPr>
                <w:sz w:val="14"/>
                <w:szCs w:val="14"/>
                <w:color w:val="auto"/>
              </w:rPr>
            </w:pPr>
          </w:p>
        </w:tc>
        <w:tc>
          <w:tcPr>
            <w:tcW w:w="154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6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828"/>
        </w:trPr>
        <w:tc>
          <w:tcPr>
            <w:tcW w:w="5180" w:type="dxa"/>
            <w:vAlign w:val="bottom"/>
          </w:tcPr>
          <w:p>
            <w:pPr>
              <w:ind w:left="3360"/>
              <w:spacing w:after="0"/>
              <w:rPr>
                <w:sz w:val="20"/>
                <w:szCs w:val="20"/>
                <w:color w:val="auto"/>
              </w:rPr>
            </w:pPr>
            <w:r>
              <w:rPr>
                <w:rFonts w:ascii="Courier New" w:cs="Courier New" w:eastAsia="Courier New" w:hAnsi="Courier New"/>
                <w:sz w:val="14"/>
                <w:szCs w:val="14"/>
                <w:color w:val="auto"/>
              </w:rPr>
              <w:t>8</w:t>
            </w: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380"/>
          </w:cols>
          <w:pgMar w:left="220" w:top="948" w:right="299"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4"/>
          <w:szCs w:val="14"/>
          <w:color w:val="auto"/>
        </w:rPr>
        <w:t>Segment Data</w:t>
      </w:r>
    </w:p>
    <w:p>
      <w:pPr>
        <w:spacing w:after="0" w:line="173" w:lineRule="exact"/>
        <w:rPr>
          <w:sz w:val="20"/>
          <w:szCs w:val="20"/>
          <w:color w:val="auto"/>
        </w:rPr>
      </w:pPr>
    </w:p>
    <w:p>
      <w:pPr>
        <w:ind w:right="4720"/>
        <w:spacing w:after="0" w:line="251" w:lineRule="auto"/>
        <w:rPr>
          <w:sz w:val="20"/>
          <w:szCs w:val="20"/>
          <w:color w:val="auto"/>
        </w:rPr>
      </w:pPr>
      <w:r>
        <w:rPr>
          <w:rFonts w:ascii="Courier New" w:cs="Courier New" w:eastAsia="Courier New" w:hAnsi="Courier New"/>
          <w:sz w:val="14"/>
          <w:szCs w:val="14"/>
          <w:color w:val="auto"/>
        </w:rPr>
        <w:t>The presentation of segment information reflects the manner in which management organizes segments for making strategic operating decisions and assessing performance. On this basis, the company has determined it has three reportable business segments: Professional, Residential, and Distribution. The other segment consists of corporate activities, including corporate financing activities and elimination of intersegment revenues and expenses.</w:t>
      </w:r>
    </w:p>
    <w:p>
      <w:pPr>
        <w:spacing w:after="0" w:line="164" w:lineRule="exact"/>
        <w:rPr>
          <w:sz w:val="20"/>
          <w:szCs w:val="20"/>
          <w:color w:val="auto"/>
        </w:rPr>
      </w:pPr>
    </w:p>
    <w:p>
      <w:pPr>
        <w:ind w:right="4900"/>
        <w:spacing w:after="0" w:line="255" w:lineRule="auto"/>
        <w:rPr>
          <w:sz w:val="20"/>
          <w:szCs w:val="20"/>
          <w:color w:val="auto"/>
        </w:rPr>
      </w:pPr>
      <w:r>
        <w:rPr>
          <w:rFonts w:ascii="Courier New" w:cs="Courier New" w:eastAsia="Courier New" w:hAnsi="Courier New"/>
          <w:sz w:val="14"/>
          <w:szCs w:val="14"/>
          <w:color w:val="auto"/>
        </w:rPr>
        <w:t>The following table shows the summarized financial information concerning the company's reportable segments: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60" w:type="dxa"/>
            <w:vAlign w:val="bottom"/>
          </w:tcPr>
          <w:p>
            <w:pPr>
              <w:spacing w:after="0"/>
              <w:rPr>
                <w:sz w:val="20"/>
                <w:szCs w:val="20"/>
                <w:color w:val="auto"/>
              </w:rPr>
            </w:pPr>
            <w:r>
              <w:rPr>
                <w:rFonts w:ascii="Courier New" w:cs="Courier New" w:eastAsia="Courier New" w:hAnsi="Courier New"/>
                <w:sz w:val="14"/>
                <w:szCs w:val="14"/>
                <w:color w:val="auto"/>
              </w:rPr>
              <w:t>(Dollars in thousands)</w:t>
            </w: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Three months ended August 2, 2002</w:t>
            </w:r>
          </w:p>
        </w:tc>
        <w:tc>
          <w:tcPr>
            <w:tcW w:w="1300" w:type="dxa"/>
            <w:vAlign w:val="bottom"/>
            <w:gridSpan w:val="2"/>
          </w:tcPr>
          <w:p>
            <w:pPr>
              <w:spacing w:after="0"/>
              <w:rPr>
                <w:sz w:val="20"/>
                <w:szCs w:val="20"/>
                <w:color w:val="auto"/>
              </w:rPr>
            </w:pPr>
            <w:r>
              <w:rPr>
                <w:rFonts w:ascii="Courier New" w:cs="Courier New" w:eastAsia="Courier New" w:hAnsi="Courier New"/>
                <w:sz w:val="14"/>
                <w:szCs w:val="14"/>
                <w:color w:val="auto"/>
              </w:rPr>
              <w:t>Professional</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Residential</w:t>
            </w: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Distribution</w:t>
            </w:r>
          </w:p>
        </w:tc>
        <w:tc>
          <w:tcPr>
            <w:tcW w:w="1160" w:type="dxa"/>
            <w:vAlign w:val="bottom"/>
          </w:tcPr>
          <w:p>
            <w:pPr>
              <w:ind w:left="300"/>
              <w:spacing w:after="0"/>
              <w:rPr>
                <w:sz w:val="20"/>
                <w:szCs w:val="20"/>
                <w:color w:val="auto"/>
              </w:rPr>
            </w:pPr>
            <w:r>
              <w:rPr>
                <w:rFonts w:ascii="Courier New" w:cs="Courier New" w:eastAsia="Courier New" w:hAnsi="Courier New"/>
                <w:sz w:val="14"/>
                <w:szCs w:val="14"/>
                <w:color w:val="auto"/>
              </w:rPr>
              <w:t>Other</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40" w:type="dxa"/>
            <w:vAlign w:val="bottom"/>
          </w:tcPr>
          <w:p>
            <w:pPr>
              <w:spacing w:after="0"/>
              <w:rPr>
                <w:sz w:val="14"/>
                <w:szCs w:val="14"/>
                <w:color w:val="auto"/>
              </w:rPr>
            </w:pPr>
          </w:p>
        </w:tc>
        <w:tc>
          <w:tcPr>
            <w:tcW w:w="11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26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235,301</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$119,907</w:t>
            </w:r>
          </w:p>
        </w:tc>
        <w:tc>
          <w:tcPr>
            <w:tcW w:w="14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$50,452</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$(30,028)</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$375,632</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Intersegment gross sales.....................................</w:t>
            </w:r>
          </w:p>
        </w:tc>
        <w:tc>
          <w:tcPr>
            <w:tcW w:w="140" w:type="dxa"/>
            <w:vAlign w:val="bottom"/>
          </w:tcPr>
          <w:p>
            <w:pPr>
              <w:spacing w:after="0"/>
              <w:rPr>
                <w:sz w:val="14"/>
                <w:szCs w:val="14"/>
                <w:color w:val="auto"/>
              </w:rPr>
            </w:pP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31,551</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2,711</w:t>
            </w:r>
          </w:p>
        </w:tc>
        <w:tc>
          <w:tcPr>
            <w:tcW w:w="14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(34,262)</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Earnings (loss) before income taxes..........................</w:t>
            </w:r>
          </w:p>
        </w:tc>
        <w:tc>
          <w:tcPr>
            <w:tcW w:w="140" w:type="dxa"/>
            <w:vAlign w:val="bottom"/>
          </w:tcPr>
          <w:p>
            <w:pPr>
              <w:spacing w:after="0"/>
              <w:rPr>
                <w:sz w:val="14"/>
                <w:szCs w:val="14"/>
                <w:color w:val="auto"/>
              </w:rPr>
            </w:pP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34,822</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12,161</w:t>
            </w:r>
          </w:p>
        </w:tc>
        <w:tc>
          <w:tcPr>
            <w:tcW w:w="14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2,311</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(16,575)</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32,719</w:t>
            </w:r>
          </w:p>
        </w:tc>
      </w:tr>
      <w:tr>
        <w:trPr>
          <w:trHeight w:val="331"/>
        </w:trPr>
        <w:tc>
          <w:tcPr>
            <w:tcW w:w="5260" w:type="dxa"/>
            <w:vAlign w:val="bottom"/>
          </w:tcPr>
          <w:p>
            <w:pPr>
              <w:spacing w:after="0"/>
              <w:rPr>
                <w:sz w:val="20"/>
                <w:szCs w:val="20"/>
                <w:color w:val="auto"/>
              </w:rPr>
            </w:pPr>
            <w:r>
              <w:rPr>
                <w:rFonts w:ascii="Courier New" w:cs="Courier New" w:eastAsia="Courier New" w:hAnsi="Courier New"/>
                <w:sz w:val="14"/>
                <w:szCs w:val="14"/>
                <w:color w:val="auto"/>
              </w:rPr>
              <w:t>Three months ended August 3, 2001</w:t>
            </w: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222,569</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$85,460</w:t>
            </w:r>
          </w:p>
        </w:tc>
        <w:tc>
          <w:tcPr>
            <w:tcW w:w="14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$43,575</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$(21,860)</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$329,744</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Intersegment gross sales.....................................</w:t>
            </w:r>
          </w:p>
        </w:tc>
        <w:tc>
          <w:tcPr>
            <w:tcW w:w="140" w:type="dxa"/>
            <w:vAlign w:val="bottom"/>
          </w:tcPr>
          <w:p>
            <w:pPr>
              <w:spacing w:after="0"/>
              <w:rPr>
                <w:sz w:val="14"/>
                <w:szCs w:val="14"/>
                <w:color w:val="auto"/>
              </w:rPr>
            </w:pP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24,736</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1,946</w:t>
            </w:r>
          </w:p>
        </w:tc>
        <w:tc>
          <w:tcPr>
            <w:tcW w:w="14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(26,682)</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Earnings (loss) before income taxes..........................</w:t>
            </w:r>
          </w:p>
        </w:tc>
        <w:tc>
          <w:tcPr>
            <w:tcW w:w="140" w:type="dxa"/>
            <w:vAlign w:val="bottom"/>
          </w:tcPr>
          <w:p>
            <w:pPr>
              <w:spacing w:after="0"/>
              <w:rPr>
                <w:sz w:val="14"/>
                <w:szCs w:val="14"/>
                <w:color w:val="auto"/>
              </w:rPr>
            </w:pP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37,702</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5,100</w:t>
            </w:r>
          </w:p>
        </w:tc>
        <w:tc>
          <w:tcPr>
            <w:tcW w:w="14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192</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(16,118)</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26,876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60" w:type="dxa"/>
            <w:vAlign w:val="bottom"/>
          </w:tcPr>
          <w:p>
            <w:pPr>
              <w:spacing w:after="0"/>
              <w:rPr>
                <w:sz w:val="20"/>
                <w:szCs w:val="20"/>
                <w:color w:val="auto"/>
              </w:rPr>
            </w:pPr>
            <w:r>
              <w:rPr>
                <w:rFonts w:ascii="Courier New" w:cs="Courier New" w:eastAsia="Courier New" w:hAnsi="Courier New"/>
                <w:sz w:val="14"/>
                <w:szCs w:val="14"/>
                <w:color w:val="auto"/>
              </w:rPr>
              <w:t>Nine months ended August 2, 2002</w:t>
            </w:r>
          </w:p>
        </w:tc>
        <w:tc>
          <w:tcPr>
            <w:tcW w:w="1380" w:type="dxa"/>
            <w:vAlign w:val="bottom"/>
            <w:gridSpan w:val="2"/>
          </w:tcPr>
          <w:p>
            <w:pPr>
              <w:spacing w:after="0"/>
              <w:rPr>
                <w:sz w:val="20"/>
                <w:szCs w:val="20"/>
                <w:color w:val="auto"/>
              </w:rPr>
            </w:pPr>
            <w:r>
              <w:rPr>
                <w:rFonts w:ascii="Courier New" w:cs="Courier New" w:eastAsia="Courier New" w:hAnsi="Courier New"/>
                <w:sz w:val="14"/>
                <w:szCs w:val="14"/>
                <w:color w:val="auto"/>
              </w:rPr>
              <w:t>Professional(1)</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Residential(2)</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Distribution</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Other</w:t>
            </w:r>
          </w:p>
        </w:tc>
        <w:tc>
          <w:tcPr>
            <w:tcW w:w="11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40" w:type="dxa"/>
            <w:vAlign w:val="bottom"/>
          </w:tcPr>
          <w:p>
            <w:pPr>
              <w:spacing w:after="0"/>
              <w:rPr>
                <w:sz w:val="14"/>
                <w:szCs w:val="14"/>
                <w:color w:val="auto"/>
              </w:rPr>
            </w:pPr>
          </w:p>
        </w:tc>
        <w:tc>
          <w:tcPr>
            <w:tcW w:w="12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26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701,267</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$381,858</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$118,825</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$(78,089)</w:t>
            </w:r>
          </w:p>
        </w:tc>
        <w:tc>
          <w:tcPr>
            <w:tcW w:w="11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$1,123,861</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Intersegment gross sales.....................................</w:t>
            </w:r>
          </w:p>
        </w:tc>
        <w:tc>
          <w:tcPr>
            <w:tcW w:w="140" w:type="dxa"/>
            <w:vAlign w:val="bottom"/>
          </w:tcPr>
          <w:p>
            <w:pPr>
              <w:spacing w:after="0"/>
              <w:rPr>
                <w:sz w:val="14"/>
                <w:szCs w:val="14"/>
                <w:color w:val="auto"/>
              </w:rPr>
            </w:pPr>
          </w:p>
        </w:tc>
        <w:tc>
          <w:tcPr>
            <w:tcW w:w="1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78,591</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10,432</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(89,023)</w:t>
            </w:r>
          </w:p>
        </w:tc>
        <w:tc>
          <w:tcPr>
            <w:tcW w:w="11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Earnings (loss) before income taxes..........................</w:t>
            </w:r>
          </w:p>
        </w:tc>
        <w:tc>
          <w:tcPr>
            <w:tcW w:w="140" w:type="dxa"/>
            <w:vAlign w:val="bottom"/>
          </w:tcPr>
          <w:p>
            <w:pPr>
              <w:spacing w:after="0"/>
              <w:rPr>
                <w:sz w:val="14"/>
                <w:szCs w:val="14"/>
                <w:color w:val="auto"/>
              </w:rPr>
            </w:pPr>
          </w:p>
        </w:tc>
        <w:tc>
          <w:tcPr>
            <w:tcW w:w="1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97,119</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39,938</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1,961</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(59,669)</w:t>
            </w:r>
          </w:p>
        </w:tc>
        <w:tc>
          <w:tcPr>
            <w:tcW w:w="11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79,349</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140" w:type="dxa"/>
            <w:vAlign w:val="bottom"/>
          </w:tcPr>
          <w:p>
            <w:pPr>
              <w:spacing w:after="0"/>
              <w:rPr>
                <w:sz w:val="14"/>
                <w:szCs w:val="14"/>
                <w:color w:val="auto"/>
              </w:rPr>
            </w:pPr>
          </w:p>
        </w:tc>
        <w:tc>
          <w:tcPr>
            <w:tcW w:w="1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440,844</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155,823</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66,173</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193,830</w:t>
            </w:r>
          </w:p>
        </w:tc>
        <w:tc>
          <w:tcPr>
            <w:tcW w:w="11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856,670</w:t>
            </w:r>
          </w:p>
        </w:tc>
      </w:tr>
      <w:tr>
        <w:trPr>
          <w:trHeight w:val="331"/>
        </w:trPr>
        <w:tc>
          <w:tcPr>
            <w:tcW w:w="5260" w:type="dxa"/>
            <w:vAlign w:val="bottom"/>
          </w:tcPr>
          <w:p>
            <w:pPr>
              <w:spacing w:after="0"/>
              <w:rPr>
                <w:sz w:val="20"/>
                <w:szCs w:val="20"/>
                <w:color w:val="auto"/>
              </w:rPr>
            </w:pPr>
            <w:r>
              <w:rPr>
                <w:rFonts w:ascii="Courier New" w:cs="Courier New" w:eastAsia="Courier New" w:hAnsi="Courier New"/>
                <w:sz w:val="14"/>
                <w:szCs w:val="14"/>
                <w:color w:val="auto"/>
              </w:rPr>
              <w:t>Nine months ended August 3, 2001</w:t>
            </w: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700,954</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$330,338</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$104,088</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$(65,673)</w:t>
            </w:r>
          </w:p>
        </w:tc>
        <w:tc>
          <w:tcPr>
            <w:tcW w:w="11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$1,069,707</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Intersegment gross sales.....................................</w:t>
            </w:r>
          </w:p>
        </w:tc>
        <w:tc>
          <w:tcPr>
            <w:tcW w:w="140" w:type="dxa"/>
            <w:vAlign w:val="bottom"/>
          </w:tcPr>
          <w:p>
            <w:pPr>
              <w:spacing w:after="0"/>
              <w:rPr>
                <w:sz w:val="14"/>
                <w:szCs w:val="14"/>
                <w:color w:val="auto"/>
              </w:rPr>
            </w:pPr>
          </w:p>
        </w:tc>
        <w:tc>
          <w:tcPr>
            <w:tcW w:w="1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69,923</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7,802</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(77,725)</w:t>
            </w:r>
          </w:p>
        </w:tc>
        <w:tc>
          <w:tcPr>
            <w:tcW w:w="11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Earnings (loss) before income taxes..........................</w:t>
            </w:r>
          </w:p>
        </w:tc>
        <w:tc>
          <w:tcPr>
            <w:tcW w:w="140" w:type="dxa"/>
            <w:vAlign w:val="bottom"/>
          </w:tcPr>
          <w:p>
            <w:pPr>
              <w:spacing w:after="0"/>
              <w:rPr>
                <w:sz w:val="14"/>
                <w:szCs w:val="14"/>
                <w:color w:val="auto"/>
              </w:rPr>
            </w:pPr>
          </w:p>
        </w:tc>
        <w:tc>
          <w:tcPr>
            <w:tcW w:w="1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105,259</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29,973</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(1,117)</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(57,461)</w:t>
            </w:r>
          </w:p>
        </w:tc>
        <w:tc>
          <w:tcPr>
            <w:tcW w:w="11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76,654</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140" w:type="dxa"/>
            <w:vAlign w:val="bottom"/>
          </w:tcPr>
          <w:p>
            <w:pPr>
              <w:spacing w:after="0"/>
              <w:rPr>
                <w:sz w:val="14"/>
                <w:szCs w:val="14"/>
                <w:color w:val="auto"/>
              </w:rPr>
            </w:pPr>
          </w:p>
        </w:tc>
        <w:tc>
          <w:tcPr>
            <w:tcW w:w="1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478,447</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129,966</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68,960</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231,355</w:t>
            </w:r>
          </w:p>
        </w:tc>
        <w:tc>
          <w:tcPr>
            <w:tcW w:w="11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908,728</w:t>
            </w:r>
          </w:p>
        </w:tc>
      </w:tr>
    </w:tbl>
    <w:p>
      <w:pPr>
        <w:spacing w:after="0" w:line="335" w:lineRule="exact"/>
        <w:rPr>
          <w:sz w:val="20"/>
          <w:szCs w:val="20"/>
          <w:color w:val="auto"/>
        </w:rPr>
      </w:pPr>
    </w:p>
    <w:p>
      <w:pPr>
        <w:ind w:left="360" w:hanging="352"/>
        <w:spacing w:after="0"/>
        <w:tabs>
          <w:tab w:leader="none" w:pos="3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restructuring and other expense of $10.0 million in fiscal 2002.</w:t>
      </w:r>
    </w:p>
    <w:p>
      <w:pPr>
        <w:spacing w:after="0" w:line="7" w:lineRule="exact"/>
        <w:rPr>
          <w:rFonts w:ascii="Courier New" w:cs="Courier New" w:eastAsia="Courier New" w:hAnsi="Courier New"/>
          <w:sz w:val="14"/>
          <w:szCs w:val="14"/>
          <w:color w:val="auto"/>
        </w:rPr>
      </w:pPr>
    </w:p>
    <w:p>
      <w:pPr>
        <w:ind w:left="360" w:right="5160" w:hanging="352"/>
        <w:spacing w:after="0" w:line="255" w:lineRule="auto"/>
        <w:tabs>
          <w:tab w:leader="none" w:pos="3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restructuring and other expense (income) of $(0.7) million in fiscal 2001.</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following table presents the details of the other segment earnings (loss)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before income taxes: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00" w:type="dxa"/>
            <w:vAlign w:val="bottom"/>
          </w:tcPr>
          <w:p>
            <w:pPr>
              <w:spacing w:after="0"/>
              <w:rPr>
                <w:sz w:val="14"/>
                <w:szCs w:val="14"/>
                <w:color w:val="auto"/>
              </w:rPr>
            </w:pPr>
          </w:p>
        </w:tc>
        <w:tc>
          <w:tcPr>
            <w:tcW w:w="3100" w:type="dxa"/>
            <w:vAlign w:val="bottom"/>
            <w:gridSpan w:val="2"/>
          </w:tcPr>
          <w:p>
            <w:pPr>
              <w:jc w:val="right"/>
              <w:ind w:right="748"/>
              <w:spacing w:after="0"/>
              <w:rPr>
                <w:sz w:val="20"/>
                <w:szCs w:val="20"/>
                <w:color w:val="auto"/>
              </w:rPr>
            </w:pPr>
            <w:r>
              <w:rPr>
                <w:rFonts w:ascii="Courier New" w:cs="Courier New" w:eastAsia="Courier New" w:hAnsi="Courier New"/>
                <w:sz w:val="14"/>
                <w:szCs w:val="14"/>
                <w:color w:val="auto"/>
              </w:rPr>
              <w:t>Three Months Ended</w:t>
            </w:r>
          </w:p>
        </w:tc>
        <w:tc>
          <w:tcPr>
            <w:tcW w:w="270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Nine Months Ended</w:t>
            </w:r>
          </w:p>
        </w:tc>
      </w:tr>
      <w:tr>
        <w:trPr>
          <w:trHeight w:val="166"/>
        </w:trPr>
        <w:tc>
          <w:tcPr>
            <w:tcW w:w="5400" w:type="dxa"/>
            <w:vAlign w:val="bottom"/>
          </w:tcPr>
          <w:p>
            <w:pPr>
              <w:spacing w:after="0"/>
              <w:rPr>
                <w:sz w:val="14"/>
                <w:szCs w:val="14"/>
                <w:color w:val="auto"/>
              </w:rPr>
            </w:pPr>
          </w:p>
        </w:tc>
        <w:tc>
          <w:tcPr>
            <w:tcW w:w="310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27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(Dollars in thousands)</w:t>
            </w:r>
          </w:p>
        </w:tc>
        <w:tc>
          <w:tcPr>
            <w:tcW w:w="192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August 2,</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August 3,</w:t>
            </w:r>
          </w:p>
        </w:tc>
        <w:tc>
          <w:tcPr>
            <w:tcW w:w="1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August 2,</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August 3,</w:t>
            </w:r>
          </w:p>
        </w:tc>
      </w:tr>
      <w:tr>
        <w:trPr>
          <w:trHeight w:val="166"/>
        </w:trPr>
        <w:tc>
          <w:tcPr>
            <w:tcW w:w="5400" w:type="dxa"/>
            <w:vAlign w:val="bottom"/>
          </w:tcPr>
          <w:p>
            <w:pPr>
              <w:spacing w:after="0"/>
              <w:rPr>
                <w:sz w:val="14"/>
                <w:szCs w:val="14"/>
                <w:color w:val="auto"/>
              </w:rPr>
            </w:pPr>
          </w:p>
        </w:tc>
        <w:tc>
          <w:tcPr>
            <w:tcW w:w="1920" w:type="dxa"/>
            <w:vAlign w:val="bottom"/>
          </w:tcPr>
          <w:p>
            <w:pPr>
              <w:jc w:val="right"/>
              <w:ind w:right="1208"/>
              <w:spacing w:after="0"/>
              <w:rPr>
                <w:sz w:val="20"/>
                <w:szCs w:val="20"/>
                <w:color w:val="auto"/>
              </w:rPr>
            </w:pPr>
            <w:r>
              <w:rPr>
                <w:rFonts w:ascii="Courier New" w:cs="Courier New" w:eastAsia="Courier New" w:hAnsi="Courier New"/>
                <w:sz w:val="14"/>
                <w:szCs w:val="14"/>
                <w:color w:val="auto"/>
              </w:rPr>
              <w:t>2002</w:t>
            </w:r>
          </w:p>
        </w:tc>
        <w:tc>
          <w:tcPr>
            <w:tcW w:w="11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2001</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2002</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2001</w:t>
            </w:r>
          </w:p>
        </w:tc>
      </w:tr>
      <w:tr>
        <w:trPr>
          <w:trHeight w:val="166"/>
        </w:trPr>
        <w:tc>
          <w:tcPr>
            <w:tcW w:w="5400" w:type="dxa"/>
            <w:vAlign w:val="bottom"/>
          </w:tcPr>
          <w:p>
            <w:pPr>
              <w:spacing w:after="0"/>
              <w:rPr>
                <w:sz w:val="14"/>
                <w:szCs w:val="14"/>
                <w:color w:val="auto"/>
              </w:rPr>
            </w:pPr>
          </w:p>
        </w:tc>
        <w:tc>
          <w:tcPr>
            <w:tcW w:w="1920" w:type="dxa"/>
            <w:vAlign w:val="bottom"/>
          </w:tcPr>
          <w:p>
            <w:pPr>
              <w:jc w:val="right"/>
              <w:ind w:right="102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400" w:type="dxa"/>
            <w:vAlign w:val="bottom"/>
          </w:tcPr>
          <w:p>
            <w:pPr>
              <w:spacing w:after="0"/>
              <w:rPr>
                <w:sz w:val="20"/>
                <w:szCs w:val="20"/>
                <w:color w:val="auto"/>
              </w:rPr>
            </w:pPr>
            <w:r>
              <w:rPr>
                <w:rFonts w:ascii="Courier New" w:cs="Courier New" w:eastAsia="Courier New" w:hAnsi="Courier New"/>
                <w:sz w:val="14"/>
                <w:szCs w:val="14"/>
                <w:color w:val="auto"/>
              </w:rPr>
              <w:t>Corporate expenses............................................</w:t>
            </w:r>
          </w:p>
        </w:tc>
        <w:tc>
          <w:tcPr>
            <w:tcW w:w="192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$(17,254)</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$(16,781)</w:t>
            </w:r>
          </w:p>
        </w:tc>
        <w:tc>
          <w:tcPr>
            <w:tcW w:w="1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$(56,771)</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$(53,138)</w:t>
            </w: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Finance charge revenue........................................</w:t>
            </w:r>
          </w:p>
        </w:tc>
        <w:tc>
          <w:tcPr>
            <w:tcW w:w="1920" w:type="dxa"/>
            <w:vAlign w:val="bottom"/>
          </w:tcPr>
          <w:p>
            <w:pPr>
              <w:jc w:val="right"/>
              <w:ind w:right="1028"/>
              <w:spacing w:after="0"/>
              <w:rPr>
                <w:sz w:val="20"/>
                <w:szCs w:val="20"/>
                <w:color w:val="auto"/>
              </w:rPr>
            </w:pPr>
            <w:r>
              <w:rPr>
                <w:rFonts w:ascii="Courier New" w:cs="Courier New" w:eastAsia="Courier New" w:hAnsi="Courier New"/>
                <w:sz w:val="14"/>
                <w:szCs w:val="14"/>
                <w:color w:val="auto"/>
              </w:rPr>
              <w:t>735</w:t>
            </w:r>
          </w:p>
        </w:tc>
        <w:tc>
          <w:tcPr>
            <w:tcW w:w="11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1,278</w:t>
            </w:r>
          </w:p>
        </w:tc>
        <w:tc>
          <w:tcPr>
            <w:tcW w:w="15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3,052</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4,288</w:t>
            </w: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Elimination of corporate financing expense....................</w:t>
            </w:r>
          </w:p>
        </w:tc>
        <w:tc>
          <w:tcPr>
            <w:tcW w:w="1920" w:type="dxa"/>
            <w:vAlign w:val="bottom"/>
          </w:tcPr>
          <w:p>
            <w:pPr>
              <w:jc w:val="right"/>
              <w:ind w:right="1028"/>
              <w:spacing w:after="0"/>
              <w:rPr>
                <w:sz w:val="20"/>
                <w:szCs w:val="20"/>
                <w:color w:val="auto"/>
              </w:rPr>
            </w:pPr>
            <w:r>
              <w:rPr>
                <w:rFonts w:ascii="Courier New" w:cs="Courier New" w:eastAsia="Courier New" w:hAnsi="Courier New"/>
                <w:sz w:val="14"/>
                <w:szCs w:val="14"/>
                <w:color w:val="auto"/>
              </w:rPr>
              <w:t>4,415</w:t>
            </w:r>
          </w:p>
        </w:tc>
        <w:tc>
          <w:tcPr>
            <w:tcW w:w="11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4,825</w:t>
            </w:r>
          </w:p>
        </w:tc>
        <w:tc>
          <w:tcPr>
            <w:tcW w:w="15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11,453</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12,055</w:t>
            </w: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Interest expense, net.........................................</w:t>
            </w:r>
          </w:p>
        </w:tc>
        <w:tc>
          <w:tcPr>
            <w:tcW w:w="192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(4,656)</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(6,177)</w:t>
            </w:r>
          </w:p>
        </w:tc>
        <w:tc>
          <w:tcPr>
            <w:tcW w:w="1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(15,224)</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(17,890)</w:t>
            </w: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Other income (expense)........................................</w:t>
            </w:r>
          </w:p>
        </w:tc>
        <w:tc>
          <w:tcPr>
            <w:tcW w:w="1920" w:type="dxa"/>
            <w:vAlign w:val="bottom"/>
          </w:tcPr>
          <w:p>
            <w:pPr>
              <w:jc w:val="right"/>
              <w:ind w:right="1028"/>
              <w:spacing w:after="0"/>
              <w:rPr>
                <w:sz w:val="20"/>
                <w:szCs w:val="20"/>
                <w:color w:val="auto"/>
              </w:rPr>
            </w:pPr>
            <w:r>
              <w:rPr>
                <w:rFonts w:ascii="Courier New" w:cs="Courier New" w:eastAsia="Courier New" w:hAnsi="Courier New"/>
                <w:sz w:val="14"/>
                <w:szCs w:val="14"/>
                <w:color w:val="auto"/>
              </w:rPr>
              <w:t>185</w:t>
            </w:r>
          </w:p>
        </w:tc>
        <w:tc>
          <w:tcPr>
            <w:tcW w:w="11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737</w:t>
            </w:r>
          </w:p>
        </w:tc>
        <w:tc>
          <w:tcPr>
            <w:tcW w:w="1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(2,179)</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(2,776)</w:t>
            </w:r>
          </w:p>
        </w:tc>
      </w:tr>
      <w:tr>
        <w:trPr>
          <w:trHeight w:val="166"/>
        </w:trPr>
        <w:tc>
          <w:tcPr>
            <w:tcW w:w="5400" w:type="dxa"/>
            <w:vAlign w:val="bottom"/>
          </w:tcPr>
          <w:p>
            <w:pPr>
              <w:spacing w:after="0"/>
              <w:rPr>
                <w:sz w:val="14"/>
                <w:szCs w:val="14"/>
                <w:color w:val="auto"/>
              </w:rPr>
            </w:pPr>
          </w:p>
        </w:tc>
        <w:tc>
          <w:tcPr>
            <w:tcW w:w="1920" w:type="dxa"/>
            <w:vAlign w:val="bottom"/>
          </w:tcPr>
          <w:p>
            <w:pPr>
              <w:jc w:val="right"/>
              <w:ind w:right="102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192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$(16,575)</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$(16,118)</w:t>
            </w:r>
          </w:p>
        </w:tc>
        <w:tc>
          <w:tcPr>
            <w:tcW w:w="1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$(59,669)</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$(57,461)</w:t>
            </w:r>
          </w:p>
        </w:tc>
      </w:tr>
      <w:tr>
        <w:trPr>
          <w:trHeight w:val="166"/>
        </w:trPr>
        <w:tc>
          <w:tcPr>
            <w:tcW w:w="5400" w:type="dxa"/>
            <w:vAlign w:val="bottom"/>
          </w:tcPr>
          <w:p>
            <w:pPr>
              <w:spacing w:after="0"/>
              <w:rPr>
                <w:sz w:val="14"/>
                <w:szCs w:val="14"/>
                <w:color w:val="auto"/>
              </w:rPr>
            </w:pPr>
          </w:p>
        </w:tc>
        <w:tc>
          <w:tcPr>
            <w:tcW w:w="1920" w:type="dxa"/>
            <w:vAlign w:val="bottom"/>
          </w:tcPr>
          <w:p>
            <w:pPr>
              <w:jc w:val="right"/>
              <w:ind w:right="102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828"/>
        </w:trPr>
        <w:tc>
          <w:tcPr>
            <w:tcW w:w="5400" w:type="dxa"/>
            <w:vAlign w:val="bottom"/>
          </w:tcPr>
          <w:p>
            <w:pPr>
              <w:ind w:left="3360"/>
              <w:spacing w:after="0"/>
              <w:rPr>
                <w:sz w:val="20"/>
                <w:szCs w:val="20"/>
                <w:color w:val="auto"/>
              </w:rPr>
            </w:pPr>
            <w:r>
              <w:rPr>
                <w:rFonts w:ascii="Courier New" w:cs="Courier New" w:eastAsia="Courier New" w:hAnsi="Courier New"/>
                <w:sz w:val="14"/>
                <w:szCs w:val="14"/>
                <w:color w:val="auto"/>
              </w:rPr>
              <w:t>9</w:t>
            </w:r>
          </w:p>
        </w:tc>
        <w:tc>
          <w:tcPr>
            <w:tcW w:w="19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1540"/>
          </w:cols>
          <w:pgMar w:left="220" w:top="947" w:right="139"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4"/>
          <w:szCs w:val="14"/>
          <w:color w:val="auto"/>
        </w:rPr>
        <w:t>Goodwill</w:t>
      </w:r>
    </w:p>
    <w:p>
      <w:pPr>
        <w:spacing w:after="0" w:line="173" w:lineRule="exact"/>
        <w:rPr>
          <w:sz w:val="20"/>
          <w:szCs w:val="20"/>
          <w:color w:val="auto"/>
        </w:rPr>
      </w:pPr>
    </w:p>
    <w:p>
      <w:pPr>
        <w:ind w:right="4480"/>
        <w:spacing w:after="0" w:line="251" w:lineRule="auto"/>
        <w:rPr>
          <w:sz w:val="20"/>
          <w:szCs w:val="20"/>
          <w:color w:val="auto"/>
        </w:rPr>
      </w:pPr>
      <w:r>
        <w:rPr>
          <w:rFonts w:ascii="Courier New" w:cs="Courier New" w:eastAsia="Courier New" w:hAnsi="Courier New"/>
          <w:sz w:val="14"/>
          <w:szCs w:val="14"/>
          <w:color w:val="auto"/>
        </w:rPr>
        <w:t>As described previously, the company adopted SFAS No. 142 as of November 1, 2001. Fiscal 2001 results ending October 31, 2001 would have been $0.62 per diluted share higher if the provisions of SFAS No. 142 would have been adopted as of November 1, 2000. The following table reflects the consolidated results adjusted as though the adoption of SFAS No. 142 occurred as of the beginning of the nine month period ended August 3, 2001:</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4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60" w:type="dxa"/>
            <w:vAlign w:val="bottom"/>
            <w:gridSpan w:val="3"/>
          </w:tcPr>
          <w:p>
            <w:pPr>
              <w:jc w:val="right"/>
              <w:ind w:right="608"/>
              <w:spacing w:after="0"/>
              <w:rPr>
                <w:sz w:val="20"/>
                <w:szCs w:val="20"/>
                <w:color w:val="auto"/>
              </w:rPr>
            </w:pPr>
            <w:r>
              <w:rPr>
                <w:rFonts w:ascii="Courier New" w:cs="Courier New" w:eastAsia="Courier New" w:hAnsi="Courier New"/>
                <w:sz w:val="14"/>
                <w:szCs w:val="14"/>
                <w:color w:val="auto"/>
              </w:rPr>
              <w:t>Three Months Ended</w:t>
            </w:r>
          </w:p>
        </w:tc>
        <w:tc>
          <w:tcPr>
            <w:tcW w:w="300" w:type="dxa"/>
            <w:vAlign w:val="bottom"/>
          </w:tcPr>
          <w:p>
            <w:pPr>
              <w:spacing w:after="0"/>
              <w:rPr>
                <w:sz w:val="14"/>
                <w:szCs w:val="14"/>
                <w:color w:val="auto"/>
              </w:rPr>
            </w:pPr>
          </w:p>
        </w:tc>
        <w:tc>
          <w:tcPr>
            <w:tcW w:w="2640" w:type="dxa"/>
            <w:vAlign w:val="bottom"/>
            <w:gridSpan w:val="3"/>
          </w:tcPr>
          <w:p>
            <w:pPr>
              <w:jc w:val="right"/>
              <w:ind w:right="528"/>
              <w:spacing w:after="0"/>
              <w:rPr>
                <w:sz w:val="20"/>
                <w:szCs w:val="20"/>
                <w:color w:val="auto"/>
              </w:rPr>
            </w:pPr>
            <w:r>
              <w:rPr>
                <w:rFonts w:ascii="Courier New" w:cs="Courier New" w:eastAsia="Courier New" w:hAnsi="Courier New"/>
                <w:sz w:val="14"/>
                <w:szCs w:val="14"/>
                <w:color w:val="auto"/>
              </w:rPr>
              <w:t>Nine Months Ended</w:t>
            </w:r>
          </w:p>
        </w:tc>
      </w:tr>
      <w:tr>
        <w:trPr>
          <w:trHeight w:val="166"/>
        </w:trPr>
        <w:tc>
          <w:tcPr>
            <w:tcW w:w="4660" w:type="dxa"/>
            <w:vAlign w:val="bottom"/>
          </w:tcPr>
          <w:p>
            <w:pPr>
              <w:spacing w:after="0"/>
              <w:rPr>
                <w:sz w:val="14"/>
                <w:szCs w:val="14"/>
                <w:color w:val="auto"/>
              </w:rPr>
            </w:pPr>
          </w:p>
        </w:tc>
        <w:tc>
          <w:tcPr>
            <w:tcW w:w="1380" w:type="dxa"/>
            <w:vAlign w:val="bottom"/>
            <w:gridSpan w:val="2"/>
          </w:tcPr>
          <w:p>
            <w:pPr>
              <w:spacing w:after="0"/>
              <w:rPr>
                <w:sz w:val="20"/>
                <w:szCs w:val="20"/>
                <w:color w:val="auto"/>
              </w:rPr>
            </w:pPr>
            <w:r>
              <w:rPr>
                <w:rFonts w:ascii="Courier New" w:cs="Courier New" w:eastAsia="Courier New" w:hAnsi="Courier New"/>
                <w:sz w:val="10"/>
                <w:szCs w:val="10"/>
                <w:color w:val="auto"/>
                <w:w w:val="70"/>
              </w:rPr>
              <w:t>--------------------------------</w:t>
            </w:r>
          </w:p>
        </w:tc>
        <w:tc>
          <w:tcPr>
            <w:tcW w:w="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9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(Dollars in thousands, except per share data)</w:t>
            </w:r>
          </w:p>
        </w:tc>
        <w:tc>
          <w:tcPr>
            <w:tcW w:w="26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August 2,</w:t>
            </w:r>
          </w:p>
        </w:tc>
        <w:tc>
          <w:tcPr>
            <w:tcW w:w="4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August 3,</w:t>
            </w:r>
          </w:p>
        </w:tc>
        <w:tc>
          <w:tcPr>
            <w:tcW w:w="300" w:type="dxa"/>
            <w:vAlign w:val="bottom"/>
          </w:tcPr>
          <w:p>
            <w:pPr>
              <w:spacing w:after="0"/>
              <w:rPr>
                <w:sz w:val="14"/>
                <w:szCs w:val="14"/>
                <w:color w:val="auto"/>
              </w:rPr>
            </w:pP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August 2,</w:t>
            </w:r>
          </w:p>
        </w:tc>
        <w:tc>
          <w:tcPr>
            <w:tcW w:w="34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August 3,</w:t>
            </w:r>
          </w:p>
        </w:tc>
      </w:tr>
      <w:tr>
        <w:trPr>
          <w:trHeight w:val="166"/>
        </w:trPr>
        <w:tc>
          <w:tcPr>
            <w:tcW w:w="4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2002</w:t>
            </w:r>
          </w:p>
        </w:tc>
        <w:tc>
          <w:tcPr>
            <w:tcW w:w="420" w:type="dxa"/>
            <w:vAlign w:val="bottom"/>
          </w:tcPr>
          <w:p>
            <w:pPr>
              <w:spacing w:after="0"/>
              <w:rPr>
                <w:sz w:val="14"/>
                <w:szCs w:val="14"/>
                <w:color w:val="auto"/>
              </w:rPr>
            </w:pP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2001</w:t>
            </w:r>
          </w:p>
        </w:tc>
        <w:tc>
          <w:tcPr>
            <w:tcW w:w="300" w:type="dxa"/>
            <w:vAlign w:val="bottom"/>
          </w:tcPr>
          <w:p>
            <w:pPr>
              <w:spacing w:after="0"/>
              <w:rPr>
                <w:sz w:val="14"/>
                <w:szCs w:val="14"/>
                <w:color w:val="auto"/>
              </w:rPr>
            </w:pPr>
          </w:p>
        </w:tc>
        <w:tc>
          <w:tcPr>
            <w:tcW w:w="13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2002</w:t>
            </w:r>
          </w:p>
        </w:tc>
        <w:tc>
          <w:tcPr>
            <w:tcW w:w="340" w:type="dxa"/>
            <w:vAlign w:val="bottom"/>
          </w:tcPr>
          <w:p>
            <w:pPr>
              <w:spacing w:after="0"/>
              <w:rPr>
                <w:sz w:val="14"/>
                <w:szCs w:val="14"/>
                <w:color w:val="auto"/>
              </w:rPr>
            </w:pP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2001</w:t>
            </w:r>
          </w:p>
        </w:tc>
      </w:tr>
      <w:tr>
        <w:trPr>
          <w:trHeight w:val="166"/>
        </w:trPr>
        <w:tc>
          <w:tcPr>
            <w:tcW w:w="4660" w:type="dxa"/>
            <w:vAlign w:val="bottom"/>
          </w:tcPr>
          <w:p>
            <w:pPr>
              <w:spacing w:after="0"/>
              <w:rPr>
                <w:sz w:val="14"/>
                <w:szCs w:val="14"/>
                <w:color w:val="auto"/>
              </w:rPr>
            </w:pP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660" w:type="dxa"/>
            <w:vAlign w:val="bottom"/>
          </w:tcPr>
          <w:p>
            <w:pPr>
              <w:spacing w:after="0"/>
              <w:rPr>
                <w:sz w:val="20"/>
                <w:szCs w:val="20"/>
                <w:color w:val="auto"/>
              </w:rPr>
            </w:pPr>
            <w:r>
              <w:rPr>
                <w:rFonts w:ascii="Courier New" w:cs="Courier New" w:eastAsia="Courier New" w:hAnsi="Courier New"/>
                <w:sz w:val="14"/>
                <w:szCs w:val="14"/>
                <w:color w:val="auto"/>
              </w:rPr>
              <w:t>Net earnings:</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As reported...........................................</w:t>
            </w:r>
          </w:p>
        </w:tc>
        <w:tc>
          <w:tcPr>
            <w:tcW w:w="2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21,922</w:t>
            </w:r>
          </w:p>
        </w:tc>
        <w:tc>
          <w:tcPr>
            <w:tcW w:w="4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center"/>
              <w:ind w:left="208"/>
              <w:spacing w:after="0"/>
              <w:rPr>
                <w:sz w:val="20"/>
                <w:szCs w:val="20"/>
                <w:color w:val="auto"/>
              </w:rPr>
            </w:pPr>
            <w:r>
              <w:rPr>
                <w:rFonts w:ascii="Courier New" w:cs="Courier New" w:eastAsia="Courier New" w:hAnsi="Courier New"/>
                <w:sz w:val="14"/>
                <w:szCs w:val="14"/>
                <w:color w:val="auto"/>
              </w:rPr>
              <w:t>16,932</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30,325</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48,292</w:t>
            </w: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Goodwill amortization, net of tax.....................</w:t>
            </w:r>
          </w:p>
        </w:tc>
        <w:tc>
          <w:tcPr>
            <w:tcW w:w="26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2,248</w:t>
            </w:r>
          </w:p>
        </w:tc>
        <w:tc>
          <w:tcPr>
            <w:tcW w:w="300" w:type="dxa"/>
            <w:vAlign w:val="bottom"/>
          </w:tcPr>
          <w:p>
            <w:pPr>
              <w:spacing w:after="0"/>
              <w:rPr>
                <w:sz w:val="14"/>
                <w:szCs w:val="14"/>
                <w:color w:val="auto"/>
              </w:rPr>
            </w:pP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6,504</w:t>
            </w:r>
          </w:p>
        </w:tc>
      </w:tr>
      <w:tr>
        <w:trPr>
          <w:trHeight w:val="166"/>
        </w:trPr>
        <w:tc>
          <w:tcPr>
            <w:tcW w:w="4660" w:type="dxa"/>
            <w:vAlign w:val="bottom"/>
          </w:tcPr>
          <w:p>
            <w:pPr>
              <w:spacing w:after="0"/>
              <w:rPr>
                <w:sz w:val="14"/>
                <w:szCs w:val="14"/>
                <w:color w:val="auto"/>
              </w:rPr>
            </w:pP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Adjusted net earnings.................................</w:t>
            </w:r>
          </w:p>
        </w:tc>
        <w:tc>
          <w:tcPr>
            <w:tcW w:w="2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21,922</w:t>
            </w:r>
          </w:p>
        </w:tc>
        <w:tc>
          <w:tcPr>
            <w:tcW w:w="4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center"/>
              <w:ind w:left="208"/>
              <w:spacing w:after="0"/>
              <w:rPr>
                <w:sz w:val="20"/>
                <w:szCs w:val="20"/>
                <w:color w:val="auto"/>
              </w:rPr>
            </w:pPr>
            <w:r>
              <w:rPr>
                <w:rFonts w:ascii="Courier New" w:cs="Courier New" w:eastAsia="Courier New" w:hAnsi="Courier New"/>
                <w:sz w:val="14"/>
                <w:szCs w:val="14"/>
                <w:color w:val="auto"/>
              </w:rPr>
              <w:t>19,180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30,325</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54,796</w:t>
            </w:r>
          </w:p>
        </w:tc>
      </w:tr>
      <w:tr>
        <w:trPr>
          <w:trHeight w:val="166"/>
        </w:trPr>
        <w:tc>
          <w:tcPr>
            <w:tcW w:w="4660" w:type="dxa"/>
            <w:vAlign w:val="bottom"/>
          </w:tcPr>
          <w:p>
            <w:pPr>
              <w:spacing w:after="0"/>
              <w:rPr>
                <w:sz w:val="14"/>
                <w:szCs w:val="14"/>
                <w:color w:val="auto"/>
              </w:rPr>
            </w:pP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660" w:type="dxa"/>
            <w:vAlign w:val="bottom"/>
          </w:tcPr>
          <w:p>
            <w:pPr>
              <w:spacing w:after="0"/>
              <w:rPr>
                <w:sz w:val="20"/>
                <w:szCs w:val="20"/>
                <w:color w:val="auto"/>
              </w:rPr>
            </w:pPr>
            <w:r>
              <w:rPr>
                <w:rFonts w:ascii="Courier New" w:cs="Courier New" w:eastAsia="Courier New" w:hAnsi="Courier New"/>
                <w:sz w:val="14"/>
                <w:szCs w:val="14"/>
                <w:color w:val="auto"/>
              </w:rPr>
              <w:t>Basic net earnings per share:</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As reported...........................................</w:t>
            </w:r>
          </w:p>
        </w:tc>
        <w:tc>
          <w:tcPr>
            <w:tcW w:w="2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1.74</w:t>
            </w:r>
          </w:p>
        </w:tc>
        <w:tc>
          <w:tcPr>
            <w:tcW w:w="4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1.34</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2.41</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3.79</w:t>
            </w: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Goodwill amortization, net of tax.....................</w:t>
            </w:r>
          </w:p>
        </w:tc>
        <w:tc>
          <w:tcPr>
            <w:tcW w:w="26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112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0.18</w:t>
            </w:r>
          </w:p>
        </w:tc>
        <w:tc>
          <w:tcPr>
            <w:tcW w:w="300" w:type="dxa"/>
            <w:vAlign w:val="bottom"/>
          </w:tcPr>
          <w:p>
            <w:pPr>
              <w:spacing w:after="0"/>
              <w:rPr>
                <w:sz w:val="14"/>
                <w:szCs w:val="14"/>
                <w:color w:val="auto"/>
              </w:rPr>
            </w:pP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0.51</w:t>
            </w:r>
          </w:p>
        </w:tc>
      </w:tr>
      <w:tr>
        <w:trPr>
          <w:trHeight w:val="166"/>
        </w:trPr>
        <w:tc>
          <w:tcPr>
            <w:tcW w:w="4660" w:type="dxa"/>
            <w:vAlign w:val="bottom"/>
          </w:tcPr>
          <w:p>
            <w:pPr>
              <w:spacing w:after="0"/>
              <w:rPr>
                <w:sz w:val="14"/>
                <w:szCs w:val="14"/>
                <w:color w:val="auto"/>
              </w:rPr>
            </w:pP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Adjusted basic net earnings per share.................</w:t>
            </w:r>
          </w:p>
        </w:tc>
        <w:tc>
          <w:tcPr>
            <w:tcW w:w="2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1.74</w:t>
            </w:r>
          </w:p>
        </w:tc>
        <w:tc>
          <w:tcPr>
            <w:tcW w:w="4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1.52</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2.41</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4.30</w:t>
            </w:r>
          </w:p>
        </w:tc>
      </w:tr>
      <w:tr>
        <w:trPr>
          <w:trHeight w:val="166"/>
        </w:trPr>
        <w:tc>
          <w:tcPr>
            <w:tcW w:w="4660" w:type="dxa"/>
            <w:vAlign w:val="bottom"/>
          </w:tcPr>
          <w:p>
            <w:pPr>
              <w:spacing w:after="0"/>
              <w:rPr>
                <w:sz w:val="14"/>
                <w:szCs w:val="14"/>
                <w:color w:val="auto"/>
              </w:rPr>
            </w:pP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660" w:type="dxa"/>
            <w:vAlign w:val="bottom"/>
          </w:tcPr>
          <w:p>
            <w:pPr>
              <w:spacing w:after="0"/>
              <w:rPr>
                <w:sz w:val="20"/>
                <w:szCs w:val="20"/>
                <w:color w:val="auto"/>
              </w:rPr>
            </w:pPr>
            <w:r>
              <w:rPr>
                <w:rFonts w:ascii="Courier New" w:cs="Courier New" w:eastAsia="Courier New" w:hAnsi="Courier New"/>
                <w:sz w:val="14"/>
                <w:szCs w:val="14"/>
                <w:color w:val="auto"/>
              </w:rPr>
              <w:t>Diluted net earnings per share:</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As reported...........................................</w:t>
            </w:r>
          </w:p>
        </w:tc>
        <w:tc>
          <w:tcPr>
            <w:tcW w:w="2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1.68</w:t>
            </w:r>
          </w:p>
        </w:tc>
        <w:tc>
          <w:tcPr>
            <w:tcW w:w="4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1.30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2.34</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3.68</w:t>
            </w: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Goodwill amortization, net of tax.....................</w:t>
            </w:r>
          </w:p>
        </w:tc>
        <w:tc>
          <w:tcPr>
            <w:tcW w:w="26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112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0.17</w:t>
            </w:r>
          </w:p>
        </w:tc>
        <w:tc>
          <w:tcPr>
            <w:tcW w:w="300" w:type="dxa"/>
            <w:vAlign w:val="bottom"/>
          </w:tcPr>
          <w:p>
            <w:pPr>
              <w:spacing w:after="0"/>
              <w:rPr>
                <w:sz w:val="14"/>
                <w:szCs w:val="14"/>
                <w:color w:val="auto"/>
              </w:rPr>
            </w:pP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0.50</w:t>
            </w:r>
          </w:p>
        </w:tc>
      </w:tr>
      <w:tr>
        <w:trPr>
          <w:trHeight w:val="166"/>
        </w:trPr>
        <w:tc>
          <w:tcPr>
            <w:tcW w:w="4660" w:type="dxa"/>
            <w:vAlign w:val="bottom"/>
          </w:tcPr>
          <w:p>
            <w:pPr>
              <w:spacing w:after="0"/>
              <w:rPr>
                <w:sz w:val="14"/>
                <w:szCs w:val="14"/>
                <w:color w:val="auto"/>
              </w:rPr>
            </w:pP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Adjusted diluted net earnings per share...............</w:t>
            </w:r>
          </w:p>
        </w:tc>
        <w:tc>
          <w:tcPr>
            <w:tcW w:w="2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1.68</w:t>
            </w:r>
          </w:p>
        </w:tc>
        <w:tc>
          <w:tcPr>
            <w:tcW w:w="4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1.47</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2.34</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4.18</w:t>
            </w:r>
          </w:p>
        </w:tc>
      </w:tr>
      <w:tr>
        <w:trPr>
          <w:trHeight w:val="166"/>
        </w:trPr>
        <w:tc>
          <w:tcPr>
            <w:tcW w:w="4660" w:type="dxa"/>
            <w:vAlign w:val="bottom"/>
          </w:tcPr>
          <w:p>
            <w:pPr>
              <w:spacing w:after="0"/>
              <w:rPr>
                <w:sz w:val="14"/>
                <w:szCs w:val="14"/>
                <w:color w:val="auto"/>
              </w:rPr>
            </w:pP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4480"/>
        <w:spacing w:after="0" w:line="255" w:lineRule="auto"/>
        <w:rPr>
          <w:sz w:val="20"/>
          <w:szCs w:val="20"/>
          <w:color w:val="auto"/>
        </w:rPr>
      </w:pPr>
      <w:r>
        <w:rPr>
          <w:rFonts w:ascii="Courier New" w:cs="Courier New" w:eastAsia="Courier New" w:hAnsi="Courier New"/>
          <w:sz w:val="14"/>
          <w:szCs w:val="14"/>
          <w:color w:val="auto"/>
        </w:rPr>
        <w:t>The changes in the net carrying amount of goodwill for the first nine months of fiscal 2002 were as follows:</w:t>
      </w:r>
    </w:p>
    <w:p>
      <w:pPr>
        <w:spacing w:after="0" w:line="200" w:lineRule="exact"/>
        <w:rPr>
          <w:sz w:val="20"/>
          <w:szCs w:val="20"/>
          <w:color w:val="auto"/>
        </w:rPr>
      </w:pPr>
    </w:p>
    <w:p>
      <w:pPr>
        <w:spacing w:after="0" w:line="291"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(Dollars in</w:t>
            </w:r>
          </w:p>
        </w:tc>
        <w:tc>
          <w:tcPr>
            <w:tcW w:w="3660" w:type="dxa"/>
            <w:vAlign w:val="bottom"/>
          </w:tcPr>
          <w:p>
            <w:pPr>
              <w:jc w:val="right"/>
              <w:ind w:right="2688"/>
              <w:spacing w:after="0"/>
              <w:rPr>
                <w:sz w:val="20"/>
                <w:szCs w:val="20"/>
                <w:color w:val="auto"/>
              </w:rPr>
            </w:pPr>
            <w:r>
              <w:rPr>
                <w:rFonts w:ascii="Courier New" w:cs="Courier New" w:eastAsia="Courier New" w:hAnsi="Courier New"/>
                <w:sz w:val="14"/>
                <w:szCs w:val="14"/>
                <w:color w:val="auto"/>
              </w:rPr>
              <w:t>thousands)</w:t>
            </w:r>
          </w:p>
        </w:tc>
        <w:tc>
          <w:tcPr>
            <w:tcW w:w="1500" w:type="dxa"/>
            <w:vAlign w:val="bottom"/>
            <w:gridSpan w:val="2"/>
          </w:tcPr>
          <w:p>
            <w:pPr>
              <w:spacing w:after="0"/>
              <w:rPr>
                <w:sz w:val="20"/>
                <w:szCs w:val="20"/>
                <w:color w:val="auto"/>
              </w:rPr>
            </w:pPr>
            <w:r>
              <w:rPr>
                <w:rFonts w:ascii="Courier New" w:cs="Courier New" w:eastAsia="Courier New" w:hAnsi="Courier New"/>
                <w:sz w:val="14"/>
                <w:szCs w:val="14"/>
                <w:color w:val="auto"/>
              </w:rPr>
              <w:t>Professional</w:t>
            </w:r>
          </w:p>
        </w:tc>
        <w:tc>
          <w:tcPr>
            <w:tcW w:w="400" w:type="dxa"/>
            <w:vAlign w:val="bottom"/>
          </w:tcPr>
          <w:p>
            <w:pPr>
              <w:spacing w:after="0"/>
              <w:rPr>
                <w:sz w:val="14"/>
                <w:szCs w:val="14"/>
                <w:color w:val="auto"/>
              </w:rPr>
            </w:pPr>
          </w:p>
        </w:tc>
        <w:tc>
          <w:tcPr>
            <w:tcW w:w="1320" w:type="dxa"/>
            <w:vAlign w:val="bottom"/>
          </w:tcPr>
          <w:p>
            <w:pPr>
              <w:jc w:val="right"/>
              <w:ind w:right="308"/>
              <w:spacing w:after="0"/>
              <w:rPr>
                <w:sz w:val="20"/>
                <w:szCs w:val="20"/>
                <w:color w:val="auto"/>
              </w:rPr>
            </w:pPr>
            <w:r>
              <w:rPr>
                <w:rFonts w:ascii="Courier New" w:cs="Courier New" w:eastAsia="Courier New" w:hAnsi="Courier New"/>
                <w:sz w:val="14"/>
                <w:szCs w:val="14"/>
                <w:color w:val="auto"/>
                <w:w w:val="99"/>
              </w:rPr>
              <w:t>Residential</w:t>
            </w: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10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ind w:right="488"/>
              <w:spacing w:after="0"/>
              <w:rPr>
                <w:sz w:val="20"/>
                <w:szCs w:val="20"/>
                <w:color w:val="auto"/>
              </w:rPr>
            </w:pPr>
            <w:r>
              <w:rPr>
                <w:rFonts w:ascii="Courier New" w:cs="Courier New" w:eastAsia="Courier New" w:hAnsi="Courier New"/>
                <w:sz w:val="14"/>
                <w:szCs w:val="14"/>
                <w:color w:val="auto"/>
                <w:w w:val="98"/>
              </w:rPr>
              <w:t>Segment</w:t>
            </w:r>
          </w:p>
        </w:tc>
        <w:tc>
          <w:tcPr>
            <w:tcW w:w="400" w:type="dxa"/>
            <w:vAlign w:val="bottom"/>
          </w:tcPr>
          <w:p>
            <w:pPr>
              <w:spacing w:after="0"/>
              <w:rPr>
                <w:sz w:val="14"/>
                <w:szCs w:val="14"/>
                <w:color w:val="auto"/>
              </w:rPr>
            </w:pPr>
          </w:p>
        </w:tc>
        <w:tc>
          <w:tcPr>
            <w:tcW w:w="13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Segment</w:t>
            </w:r>
          </w:p>
        </w:tc>
        <w:tc>
          <w:tcPr>
            <w:tcW w:w="60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10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5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Balance as</w:t>
            </w:r>
          </w:p>
        </w:tc>
        <w:tc>
          <w:tcPr>
            <w:tcW w:w="3660" w:type="dxa"/>
            <w:vAlign w:val="bottom"/>
          </w:tcPr>
          <w:p>
            <w:pPr>
              <w:jc w:val="right"/>
              <w:spacing w:after="0"/>
              <w:rPr>
                <w:sz w:val="20"/>
                <w:szCs w:val="20"/>
                <w:color w:val="auto"/>
              </w:rPr>
            </w:pPr>
            <w:r>
              <w:rPr>
                <w:rFonts w:ascii="Courier New" w:cs="Courier New" w:eastAsia="Courier New" w:hAnsi="Courier New"/>
                <w:sz w:val="14"/>
                <w:szCs w:val="14"/>
                <w:color w:val="auto"/>
              </w:rPr>
              <w:t>of October 31, 2001.......................</w:t>
            </w:r>
          </w:p>
        </w:tc>
        <w:tc>
          <w:tcPr>
            <w:tcW w:w="3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94,050</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8,874</w:t>
            </w:r>
          </w:p>
        </w:tc>
        <w:tc>
          <w:tcPr>
            <w:tcW w:w="6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102,924</w:t>
            </w:r>
          </w:p>
        </w:tc>
      </w:tr>
      <w:tr>
        <w:trPr>
          <w:trHeight w:val="166"/>
        </w:trPr>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Impairment</w:t>
            </w:r>
          </w:p>
        </w:tc>
        <w:tc>
          <w:tcPr>
            <w:tcW w:w="3660" w:type="dxa"/>
            <w:vAlign w:val="bottom"/>
          </w:tcPr>
          <w:p>
            <w:pPr>
              <w:jc w:val="right"/>
              <w:spacing w:after="0"/>
              <w:rPr>
                <w:sz w:val="20"/>
                <w:szCs w:val="20"/>
                <w:color w:val="auto"/>
              </w:rPr>
            </w:pPr>
            <w:r>
              <w:rPr>
                <w:rFonts w:ascii="Courier New" w:cs="Courier New" w:eastAsia="Courier New" w:hAnsi="Courier New"/>
                <w:sz w:val="14"/>
                <w:szCs w:val="14"/>
                <w:color w:val="auto"/>
              </w:rPr>
              <w:t>charge ...................................</w:t>
            </w:r>
          </w:p>
        </w:tc>
        <w:tc>
          <w:tcPr>
            <w:tcW w:w="34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(25,123)</w:t>
            </w:r>
          </w:p>
        </w:tc>
        <w:tc>
          <w:tcPr>
            <w:tcW w:w="400" w:type="dxa"/>
            <w:vAlign w:val="bottom"/>
          </w:tcPr>
          <w:p>
            <w:pPr>
              <w:spacing w:after="0"/>
              <w:rPr>
                <w:sz w:val="14"/>
                <w:szCs w:val="14"/>
                <w:color w:val="auto"/>
              </w:rPr>
            </w:pP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(25,123)</w:t>
            </w:r>
          </w:p>
        </w:tc>
      </w:tr>
      <w:tr>
        <w:trPr>
          <w:trHeight w:val="166"/>
        </w:trPr>
        <w:tc>
          <w:tcPr>
            <w:tcW w:w="46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Translation adjustment...............................</w:t>
            </w:r>
          </w:p>
        </w:tc>
        <w:tc>
          <w:tcPr>
            <w:tcW w:w="340" w:type="dxa"/>
            <w:vAlign w:val="bottom"/>
          </w:tcPr>
          <w:p>
            <w:pPr>
              <w:spacing w:after="0"/>
              <w:rPr>
                <w:sz w:val="14"/>
                <w:szCs w:val="14"/>
                <w:color w:val="auto"/>
              </w:rPr>
            </w:pP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w:t>
            </w:r>
          </w:p>
        </w:tc>
        <w:tc>
          <w:tcPr>
            <w:tcW w:w="400" w:type="dxa"/>
            <w:vAlign w:val="bottom"/>
          </w:tcPr>
          <w:p>
            <w:pPr>
              <w:spacing w:after="0"/>
              <w:rPr>
                <w:sz w:val="14"/>
                <w:szCs w:val="14"/>
                <w:color w:val="auto"/>
              </w:rPr>
            </w:pP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w:t>
            </w:r>
          </w:p>
        </w:tc>
        <w:tc>
          <w:tcPr>
            <w:tcW w:w="60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w:t>
            </w:r>
          </w:p>
        </w:tc>
      </w:tr>
      <w:tr>
        <w:trPr>
          <w:trHeight w:val="166"/>
        </w:trPr>
        <w:tc>
          <w:tcPr>
            <w:tcW w:w="10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5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Balance as</w:t>
            </w:r>
          </w:p>
        </w:tc>
        <w:tc>
          <w:tcPr>
            <w:tcW w:w="3660" w:type="dxa"/>
            <w:vAlign w:val="bottom"/>
          </w:tcPr>
          <w:p>
            <w:pPr>
              <w:jc w:val="right"/>
              <w:spacing w:after="0"/>
              <w:rPr>
                <w:sz w:val="20"/>
                <w:szCs w:val="20"/>
                <w:color w:val="auto"/>
              </w:rPr>
            </w:pPr>
            <w:r>
              <w:rPr>
                <w:rFonts w:ascii="Courier New" w:cs="Courier New" w:eastAsia="Courier New" w:hAnsi="Courier New"/>
                <w:sz w:val="14"/>
                <w:szCs w:val="14"/>
                <w:color w:val="auto"/>
              </w:rPr>
              <w:t>of August 2, 2002.........................</w:t>
            </w:r>
          </w:p>
        </w:tc>
        <w:tc>
          <w:tcPr>
            <w:tcW w:w="3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68,939</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8,903</w:t>
            </w:r>
          </w:p>
        </w:tc>
        <w:tc>
          <w:tcPr>
            <w:tcW w:w="6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77,842</w:t>
            </w:r>
          </w:p>
        </w:tc>
      </w:tr>
      <w:tr>
        <w:trPr>
          <w:trHeight w:val="166"/>
        </w:trPr>
        <w:tc>
          <w:tcPr>
            <w:tcW w:w="10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5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Intangible Assets</w:t>
      </w:r>
    </w:p>
    <w:p>
      <w:pPr>
        <w:spacing w:after="0" w:line="173" w:lineRule="exact"/>
        <w:rPr>
          <w:sz w:val="20"/>
          <w:szCs w:val="20"/>
          <w:color w:val="auto"/>
        </w:rPr>
      </w:pPr>
    </w:p>
    <w:p>
      <w:pPr>
        <w:ind w:right="4400"/>
        <w:spacing w:after="0" w:line="252" w:lineRule="auto"/>
        <w:rPr>
          <w:sz w:val="20"/>
          <w:szCs w:val="20"/>
          <w:color w:val="auto"/>
        </w:rPr>
      </w:pPr>
      <w:r>
        <w:rPr>
          <w:rFonts w:ascii="Courier New" w:cs="Courier New" w:eastAsia="Courier New" w:hAnsi="Courier New"/>
          <w:sz w:val="14"/>
          <w:szCs w:val="14"/>
          <w:color w:val="auto"/>
        </w:rPr>
        <w:t>During the first quarter of fiscal 2002, the company determined that the patents and non-compete agreements related to the agricultural irrigation market were impaired. This impairment charge of $2.0 million was recognized as part of restructuring and other expense during the first quarter of fiscal 2002.</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components of other amortizable intangible assets were as follows: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60" w:type="dxa"/>
            <w:vAlign w:val="bottom"/>
            <w:gridSpan w:val="3"/>
          </w:tcPr>
          <w:p>
            <w:pPr>
              <w:jc w:val="right"/>
              <w:ind w:right="968"/>
              <w:spacing w:after="0"/>
              <w:rPr>
                <w:sz w:val="20"/>
                <w:szCs w:val="20"/>
                <w:color w:val="auto"/>
              </w:rPr>
            </w:pPr>
            <w:r>
              <w:rPr>
                <w:rFonts w:ascii="Courier New" w:cs="Courier New" w:eastAsia="Courier New" w:hAnsi="Courier New"/>
                <w:sz w:val="14"/>
                <w:szCs w:val="14"/>
                <w:color w:val="auto"/>
              </w:rPr>
              <w:t>August 2, 2002</w:t>
            </w:r>
          </w:p>
        </w:tc>
        <w:tc>
          <w:tcPr>
            <w:tcW w:w="480" w:type="dxa"/>
            <w:vAlign w:val="bottom"/>
          </w:tcPr>
          <w:p>
            <w:pPr>
              <w:spacing w:after="0"/>
              <w:rPr>
                <w:sz w:val="14"/>
                <w:szCs w:val="14"/>
                <w:color w:val="auto"/>
              </w:rPr>
            </w:pPr>
          </w:p>
        </w:tc>
        <w:tc>
          <w:tcPr>
            <w:tcW w:w="1920" w:type="dxa"/>
            <w:vAlign w:val="bottom"/>
            <w:gridSpan w:val="2"/>
          </w:tcPr>
          <w:p>
            <w:pPr>
              <w:ind w:left="560"/>
              <w:spacing w:after="0"/>
              <w:rPr>
                <w:sz w:val="20"/>
                <w:szCs w:val="20"/>
                <w:color w:val="auto"/>
              </w:rPr>
            </w:pPr>
            <w:r>
              <w:rPr>
                <w:rFonts w:ascii="Courier New" w:cs="Courier New" w:eastAsia="Courier New" w:hAnsi="Courier New"/>
                <w:sz w:val="14"/>
                <w:szCs w:val="14"/>
                <w:color w:val="auto"/>
                <w:w w:val="99"/>
              </w:rPr>
              <w:t>October 31, 2001</w:t>
            </w:r>
          </w:p>
        </w:tc>
        <w:tc>
          <w:tcPr>
            <w:tcW w:w="620" w:type="dxa"/>
            <w:vAlign w:val="bottom"/>
          </w:tcPr>
          <w:p>
            <w:pPr>
              <w:spacing w:after="0"/>
              <w:rPr>
                <w:sz w:val="14"/>
                <w:szCs w:val="14"/>
                <w:color w:val="auto"/>
              </w:rPr>
            </w:pPr>
          </w:p>
        </w:tc>
      </w:tr>
      <w:tr>
        <w:trPr>
          <w:trHeight w:val="166"/>
        </w:trPr>
        <w:tc>
          <w:tcPr>
            <w:tcW w:w="5180" w:type="dxa"/>
            <w:vAlign w:val="bottom"/>
          </w:tcPr>
          <w:p>
            <w:pPr>
              <w:spacing w:after="0"/>
              <w:rPr>
                <w:sz w:val="14"/>
                <w:szCs w:val="14"/>
                <w:color w:val="auto"/>
              </w:rPr>
            </w:pPr>
          </w:p>
        </w:tc>
        <w:tc>
          <w:tcPr>
            <w:tcW w:w="15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(Dollars in thousands)</w:t>
            </w:r>
          </w:p>
        </w:tc>
        <w:tc>
          <w:tcPr>
            <w:tcW w:w="15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Gross Carrying</w:t>
            </w:r>
          </w:p>
        </w:tc>
        <w:tc>
          <w:tcPr>
            <w:tcW w:w="156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Accumulated</w:t>
            </w:r>
          </w:p>
        </w:tc>
        <w:tc>
          <w:tcPr>
            <w:tcW w:w="16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Gross Carrying</w:t>
            </w:r>
          </w:p>
        </w:tc>
        <w:tc>
          <w:tcPr>
            <w:tcW w:w="134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Accumulated</w:t>
            </w:r>
          </w:p>
        </w:tc>
      </w:tr>
      <w:tr>
        <w:trPr>
          <w:trHeight w:val="166"/>
        </w:trPr>
        <w:tc>
          <w:tcPr>
            <w:tcW w:w="5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jc w:val="right"/>
              <w:ind w:right="608"/>
              <w:spacing w:after="0"/>
              <w:rPr>
                <w:sz w:val="20"/>
                <w:szCs w:val="20"/>
                <w:color w:val="auto"/>
              </w:rPr>
            </w:pPr>
            <w:r>
              <w:rPr>
                <w:rFonts w:ascii="Courier New" w:cs="Courier New" w:eastAsia="Courier New" w:hAnsi="Courier New"/>
                <w:sz w:val="14"/>
                <w:szCs w:val="14"/>
                <w:color w:val="auto"/>
                <w:w w:val="99"/>
              </w:rPr>
              <w:t>Amount</w:t>
            </w:r>
          </w:p>
        </w:tc>
        <w:tc>
          <w:tcPr>
            <w:tcW w:w="156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Amortization</w:t>
            </w:r>
          </w:p>
        </w:tc>
        <w:tc>
          <w:tcPr>
            <w:tcW w:w="480" w:type="dxa"/>
            <w:vAlign w:val="bottom"/>
          </w:tcPr>
          <w:p>
            <w:pPr>
              <w:spacing w:after="0"/>
              <w:rPr>
                <w:sz w:val="14"/>
                <w:szCs w:val="14"/>
                <w:color w:val="auto"/>
              </w:rPr>
            </w:pPr>
          </w:p>
        </w:tc>
        <w:tc>
          <w:tcPr>
            <w:tcW w:w="12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Amount</w:t>
            </w:r>
          </w:p>
        </w:tc>
        <w:tc>
          <w:tcPr>
            <w:tcW w:w="134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Amortization</w:t>
            </w:r>
          </w:p>
        </w:tc>
      </w:tr>
      <w:tr>
        <w:trPr>
          <w:trHeight w:val="166"/>
        </w:trPr>
        <w:tc>
          <w:tcPr>
            <w:tcW w:w="5180" w:type="dxa"/>
            <w:vAlign w:val="bottom"/>
          </w:tcPr>
          <w:p>
            <w:pPr>
              <w:spacing w:after="0"/>
              <w:rPr>
                <w:sz w:val="14"/>
                <w:szCs w:val="14"/>
                <w:color w:val="auto"/>
              </w:rPr>
            </w:pPr>
          </w:p>
        </w:tc>
        <w:tc>
          <w:tcPr>
            <w:tcW w:w="154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180" w:type="dxa"/>
            <w:vAlign w:val="bottom"/>
          </w:tcPr>
          <w:p>
            <w:pPr>
              <w:spacing w:after="0"/>
              <w:rPr>
                <w:sz w:val="20"/>
                <w:szCs w:val="20"/>
                <w:color w:val="auto"/>
              </w:rPr>
            </w:pPr>
            <w:r>
              <w:rPr>
                <w:rFonts w:ascii="Courier New" w:cs="Courier New" w:eastAsia="Courier New" w:hAnsi="Courier New"/>
                <w:sz w:val="14"/>
                <w:szCs w:val="14"/>
                <w:color w:val="auto"/>
              </w:rPr>
              <w:t>Patents.....................................................</w:t>
            </w:r>
          </w:p>
        </w:tc>
        <w:tc>
          <w:tcPr>
            <w:tcW w:w="340" w:type="dxa"/>
            <w:vAlign w:val="bottom"/>
          </w:tcPr>
          <w:p>
            <w:pPr>
              <w:jc w:val="right"/>
              <w:ind w:right="11"/>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6,104</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(4,527)</w:t>
            </w: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7,104</w:t>
            </w:r>
          </w:p>
        </w:tc>
        <w:tc>
          <w:tcPr>
            <w:tcW w:w="72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(4,501)</w:t>
            </w: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Non-compete agreements......................................</w:t>
            </w:r>
          </w:p>
        </w:tc>
        <w:tc>
          <w:tcPr>
            <w:tcW w:w="340" w:type="dxa"/>
            <w:vAlign w:val="bottom"/>
          </w:tcPr>
          <w:p>
            <w:pPr>
              <w:spacing w:after="0"/>
              <w:rPr>
                <w:sz w:val="14"/>
                <w:szCs w:val="14"/>
                <w:color w:val="auto"/>
              </w:rPr>
            </w:pPr>
          </w:p>
        </w:tc>
        <w:tc>
          <w:tcPr>
            <w:tcW w:w="12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800</w:t>
            </w:r>
          </w:p>
        </w:tc>
        <w:tc>
          <w:tcPr>
            <w:tcW w:w="44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(362)</w:t>
            </w:r>
          </w:p>
        </w:tc>
        <w:tc>
          <w:tcPr>
            <w:tcW w:w="480" w:type="dxa"/>
            <w:vAlign w:val="bottom"/>
          </w:tcPr>
          <w:p>
            <w:pPr>
              <w:spacing w:after="0"/>
              <w:rPr>
                <w:sz w:val="14"/>
                <w:szCs w:val="14"/>
                <w:color w:val="auto"/>
              </w:rPr>
            </w:pPr>
          </w:p>
        </w:tc>
        <w:tc>
          <w:tcPr>
            <w:tcW w:w="12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3,183</w:t>
            </w:r>
          </w:p>
        </w:tc>
        <w:tc>
          <w:tcPr>
            <w:tcW w:w="7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(1,285)</w:t>
            </w: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340" w:type="dxa"/>
            <w:vAlign w:val="bottom"/>
          </w:tcPr>
          <w:p>
            <w:pPr>
              <w:spacing w:after="0"/>
              <w:rPr>
                <w:sz w:val="14"/>
                <w:szCs w:val="14"/>
                <w:color w:val="auto"/>
              </w:rPr>
            </w:pPr>
          </w:p>
        </w:tc>
        <w:tc>
          <w:tcPr>
            <w:tcW w:w="12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800</w:t>
            </w:r>
          </w:p>
        </w:tc>
        <w:tc>
          <w:tcPr>
            <w:tcW w:w="44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(770)</w:t>
            </w:r>
          </w:p>
        </w:tc>
        <w:tc>
          <w:tcPr>
            <w:tcW w:w="480" w:type="dxa"/>
            <w:vAlign w:val="bottom"/>
          </w:tcPr>
          <w:p>
            <w:pPr>
              <w:spacing w:after="0"/>
              <w:rPr>
                <w:sz w:val="14"/>
                <w:szCs w:val="14"/>
                <w:color w:val="auto"/>
              </w:rPr>
            </w:pPr>
          </w:p>
        </w:tc>
        <w:tc>
          <w:tcPr>
            <w:tcW w:w="12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1,197</w:t>
            </w:r>
          </w:p>
        </w:tc>
        <w:tc>
          <w:tcPr>
            <w:tcW w:w="7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(1,090)</w:t>
            </w:r>
          </w:p>
        </w:tc>
      </w:tr>
      <w:tr>
        <w:trPr>
          <w:trHeight w:val="166"/>
        </w:trPr>
        <w:tc>
          <w:tcPr>
            <w:tcW w:w="5180" w:type="dxa"/>
            <w:vAlign w:val="bottom"/>
          </w:tcPr>
          <w:p>
            <w:pPr>
              <w:spacing w:after="0"/>
              <w:rPr>
                <w:sz w:val="14"/>
                <w:szCs w:val="14"/>
                <w:color w:val="auto"/>
              </w:rPr>
            </w:pPr>
          </w:p>
        </w:tc>
        <w:tc>
          <w:tcPr>
            <w:tcW w:w="1540" w:type="dxa"/>
            <w:vAlign w:val="bottom"/>
            <w:gridSpan w:val="2"/>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w:t>
            </w:r>
          </w:p>
        </w:tc>
        <w:tc>
          <w:tcPr>
            <w:tcW w:w="168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340" w:type="dxa"/>
            <w:vAlign w:val="bottom"/>
          </w:tcPr>
          <w:p>
            <w:pPr>
              <w:jc w:val="right"/>
              <w:ind w:right="11"/>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7,704</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(5,659)</w:t>
            </w: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11,484</w:t>
            </w:r>
          </w:p>
        </w:tc>
        <w:tc>
          <w:tcPr>
            <w:tcW w:w="72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(6,876)</w:t>
            </w:r>
          </w:p>
        </w:tc>
      </w:tr>
      <w:tr>
        <w:trPr>
          <w:trHeight w:val="166"/>
        </w:trPr>
        <w:tc>
          <w:tcPr>
            <w:tcW w:w="5180" w:type="dxa"/>
            <w:vAlign w:val="bottom"/>
          </w:tcPr>
          <w:p>
            <w:pPr>
              <w:spacing w:after="0"/>
              <w:rPr>
                <w:sz w:val="14"/>
                <w:szCs w:val="14"/>
                <w:color w:val="auto"/>
              </w:rPr>
            </w:pPr>
          </w:p>
        </w:tc>
        <w:tc>
          <w:tcPr>
            <w:tcW w:w="1540" w:type="dxa"/>
            <w:vAlign w:val="bottom"/>
            <w:gridSpan w:val="2"/>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Total other intangible assets, net..........................</w:t>
            </w:r>
          </w:p>
        </w:tc>
        <w:tc>
          <w:tcPr>
            <w:tcW w:w="340" w:type="dxa"/>
            <w:vAlign w:val="bottom"/>
          </w:tcPr>
          <w:p>
            <w:pPr>
              <w:jc w:val="right"/>
              <w:ind w:right="11"/>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2,045</w:t>
            </w: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4,608</w:t>
            </w: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6"/>
        </w:trPr>
        <w:tc>
          <w:tcPr>
            <w:tcW w:w="5180" w:type="dxa"/>
            <w:vAlign w:val="bottom"/>
          </w:tcPr>
          <w:p>
            <w:pPr>
              <w:spacing w:after="0"/>
              <w:rPr>
                <w:sz w:val="14"/>
                <w:szCs w:val="14"/>
                <w:color w:val="auto"/>
              </w:rPr>
            </w:pPr>
          </w:p>
        </w:tc>
        <w:tc>
          <w:tcPr>
            <w:tcW w:w="1540" w:type="dxa"/>
            <w:vAlign w:val="bottom"/>
            <w:gridSpan w:val="2"/>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8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r>
    </w:tbl>
    <w:p>
      <w:pPr>
        <w:spacing w:after="0" w:line="335" w:lineRule="exact"/>
        <w:rPr>
          <w:sz w:val="20"/>
          <w:szCs w:val="20"/>
          <w:color w:val="auto"/>
        </w:rPr>
      </w:pPr>
    </w:p>
    <w:p>
      <w:pPr>
        <w:ind w:right="4580"/>
        <w:spacing w:after="0" w:line="251" w:lineRule="auto"/>
        <w:rPr>
          <w:sz w:val="20"/>
          <w:szCs w:val="20"/>
          <w:color w:val="auto"/>
        </w:rPr>
      </w:pPr>
      <w:r>
        <w:rPr>
          <w:rFonts w:ascii="Courier New" w:cs="Courier New" w:eastAsia="Courier New" w:hAnsi="Courier New"/>
          <w:sz w:val="14"/>
          <w:szCs w:val="14"/>
          <w:color w:val="auto"/>
        </w:rPr>
        <w:t>Amortization expense for intangible assets during the first nine months of fiscal 2002 was $0.5 million. Estimated amortization expense for the remainder of fiscal 2002 and succeeding fiscal years are as follows ($ in thousands): remainder of 2002, $146; 2003, $479; 2004, $357; 2005, $337; 2006, $337; 2007, $182 and beyond 2008, $207.</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1300"/>
          </w:cols>
          <w:pgMar w:left="220" w:top="782" w:right="379" w:bottom="94" w:gutter="0" w:footer="0" w:header="0"/>
        </w:sectPr>
      </w:pPr>
    </w:p>
    <w:bookmarkStart w:id="10" w:name="page11"/>
    <w:bookmarkEnd w:id="10"/>
    <w:p>
      <w:pPr>
        <w:spacing w:after="0"/>
        <w:rPr>
          <w:sz w:val="20"/>
          <w:szCs w:val="20"/>
          <w:color w:val="auto"/>
        </w:rPr>
      </w:pPr>
      <w:r>
        <w:rPr>
          <w:rFonts w:ascii="Courier New" w:cs="Courier New" w:eastAsia="Courier New" w:hAnsi="Courier New"/>
          <w:sz w:val="14"/>
          <w:szCs w:val="14"/>
          <w:color w:val="auto"/>
        </w:rPr>
        <w:t>Derivative Instruments and Hedging Activities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uses derivative instruments to manage exposure to foreign currency. Toro uses derivatives only in an attempt to limit underlying exposure to currency fluctuations, and not for trading purposes. The company maintains a record of each hedging instrument and the items it hedges, as well as the risk-management objective and strategy for undertaking the particular hedge. The company assesses, both at the hedge's inception and on an ongoing basis, whether the derivatives that are used in hedging transactions are highly effective in offsetting changes in cash flows of the hedged item.</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enters into foreign currency exchange contracts to hedge the risk from forecasted settlement in local currencies of trade sales. These contracts are designated as cash flow hedges with the fair value recorded in accumulated comprehensive income (loss) and as a hedge asset or liability in prepaid expenses or accrued liabilities, as applicable. Once the forecasted transaction has been recognized as a sale and a related asset recorded in the balance sheet, the related fair value of the derivative hedge contract is reclassified from accumulated comprehensive income (loss) into earnings. During the quarter ended August 2, 2002, the amount of adjustments to earnings for such cash flow hedges was immaterial. At August 2, 2002, the amount of such contracts outstanding was $22.4 million. The unrecognized after-tax gain portion of the fair value of the contracts recorded in accumulated comprehensive income (loss) at August 2, 2002 was immaterial.</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enters into foreign currency exchange contracts to hedge the risk from forecasted settlement in local currencies of trade purchases. These contracts are designated as cash flow hedges with the fair value recorded in accumulated comprehensive income (loss) and as a hedge asset or liability in prepaid expenses or accrued liabilities, as applicable. Once the forecasted transaction has been recognized as a purchase and a related liability recorded in the balance sheet, the related fair value of the derivative hedge contract is reclassified from accumulated comprehensive income (loss) into earnings. During the quarter ended August 2, 2002, the amount of adjustments to earnings for such cash flow hedges was immaterial. At August 2, 2002, the amount of such contracts outstanding was $15.0 million. The unrecognized after-tax gain portion of the fair value of the contracts recorded in accumulated comprehensive income (loss) at August 2, 2002 was immaterial.</w:t>
      </w:r>
    </w:p>
    <w:p>
      <w:pPr>
        <w:spacing w:after="0" w:line="16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 also enters into foreign currency exchange contracts to hedge the risk from forecasted settlement in local currencies. Some of these transactions and other foreign currency exchange contracts do not meet the accounting rules established under SFAS No. 133 of recording the unrecognized after-tax gain or loss portion of the fair value of the contracts in accumulated comprehensive income (loss). Therefore, the related fair value of the derivative hedge contract is recognized in earnings.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Accounting Pronouncements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June 2001, the FASB issued SFAS No. 143, "Accounting for Asset Retirement Obligations." This statement addresses the diverse accounting practices for obligations associated with the retirement of tangible long-lived assets and the associated asset retirement costs. The company plans to adopt the provisions of SFAS No. 143 during the first quarter of fiscal 2003, as required. Management expects that the adoption of SFAS No. 143 will not have a material impact on the company's financial statements.</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October 2001, the FASB issued SFAS No. 144, "Accounting for the Impairment or Disposal of Long-Lived Assets." This statement establishes a single accounting model for the impairment or disposal of long-lived assets. The company plans to adopt the provisions of SFAS No. 144 during the first quarter of fiscal 2003, as required. Management expects that the adoption of SFAS No. 144 will not have a material impact on the company's financial statements.</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June 2002, the FASB issued SFAS No. 146, "Accounting for Costs Associated with Exit or Disposal Activities." This statement requires that a liability for a cost associated with an exit or disposal activity be recognized when the liability is incurred. This statement also establishes that fair value is the objective for initial measurement of the liability. The company plans to adopt the provisions of SFAS No. 146 for exit or disposal activities initiated after December 31, 2002, as required. Management expects that the adoption of SFAS No. 146 will not have a material impact on the company's financial statements.</w:t>
      </w:r>
    </w:p>
    <w:p>
      <w:pPr>
        <w:spacing w:after="0" w:line="200" w:lineRule="exact"/>
        <w:rPr>
          <w:sz w:val="20"/>
          <w:szCs w:val="20"/>
          <w:color w:val="auto"/>
        </w:rPr>
      </w:pPr>
    </w:p>
    <w:p>
      <w:pPr>
        <w:spacing w:after="0" w:line="29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782" w:right="1440" w:bottom="1440" w:gutter="0" w:footer="0" w:header="0"/>
        </w:sectPr>
      </w:pPr>
    </w:p>
    <w:bookmarkStart w:id="11" w:name="page12"/>
    <w:bookmarkEnd w:id="11"/>
    <w:p>
      <w:pPr>
        <w:jc w:val="center"/>
        <w:ind w:right="3239"/>
        <w:spacing w:after="0"/>
        <w:rPr>
          <w:sz w:val="20"/>
          <w:szCs w:val="20"/>
          <w:color w:val="auto"/>
        </w:rPr>
      </w:pPr>
      <w:r>
        <w:rPr>
          <w:rFonts w:ascii="Courier New" w:cs="Courier New" w:eastAsia="Courier New" w:hAnsi="Courier New"/>
          <w:sz w:val="14"/>
          <w:szCs w:val="14"/>
          <w:color w:val="auto"/>
        </w:rPr>
        <w:t>ITEM 2. MANAGEMENT'S DISCUSSION AND ANALYSIS OF FINANCIAL CONDITION</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AND RESULTS OF OPERATIONS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FORWARD-LOOKING INFORMATION</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Safe Harbor Statement. This Quarterly Report on Form 10-Q contains not only historical information, but also forward-looking statements within the meaning of Section 27A of the Securities Act of 1933 and Section 21E of the Securities Exchange Act of 1934. Statements that are not historical are forward-looking and reflect expectations about future company performance. In addition, forward-looking statements may be made orally or in press releases, conferences, reports, on Toro's worldwide web site, or otherwise, in the future by or on behalf of the company. When used by or on behalf of the company, the words "expect", "anticipate", "estimate", "believe", "intend", and similar expressions generally identify forward-looking statements.</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Forward-looking statements involve risks and uncertainties. The company is subject to risks and uncertainties facing its industry in general, including changes in business, financial, and political conditions and the economy in general in both foreign and domestic markets; the uncertainty of the economic effect of the war on terrorism; weather conditions affecting demand, including warm winters and wet or cold spring and dry summer weather; a slowing in housing starts or new golf course starts; inability to raise prices of products due to market conditions; changes in market demographics; actions of competitors; seasonal factors in the company's industry; unforeseen litigation; government action, including budget levels, regulation, and legislation, primarily legislation relating to the environment, commerce, infrastructure spending, health, safety, and tax law changes, such as repeal of the foreign sales corporation benefit; imposition of new tariffs on commodities, such as steel; availability of raw materials and unforeseen price fluctuations for commodity raw materials; and the company's ability to maintain good relations with its employees.</w:t>
      </w:r>
    </w:p>
    <w:p>
      <w:pPr>
        <w:spacing w:after="0" w:line="328"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In addition, the company is subject to risks and uncertainties that affect all businesses operating in a global market, as well as matters specific to the company and the markets it serves. Particular risks and uncertainties that could affect the company's overall financial position include further slowing of growth in the global and domestic economies; economic uncertainty created by the threat of terrorist acts and war, which may result in reductions in consumer spending, including spending for travel and golf; heightened security which could slow import and export of components and finished goods and increase costs; the company's customers' ability to pay amounts owed to Toro; inability to achieve goals of the "5 by Five" profit improvement program, which is intended to result in an after-tax return on sales of five percent by the end of fiscal 2003; the company's ability to develop and manufacture new and existing products based on anticipated investments in manufacturing capacity and engineering; market acceptance of new products relative to expectations and based on current commitments to fund advertising and promotions; market acceptance of existing products based on the company's current commitment to develop, improve, and market existing product lines; increased competition in the company's businesses from competitors that have greater financial resources, including competitive pricing pressures; financial viability of some distributors and dealers; the company's ability to acquire, develop, and integrate new businesses and manage alliances successfully; changes in distributor ownership; changes in distributors', dealers', home centers', or mass retailers' purchasing practices, especially elimination or reduction of shelf space for Toro's products; the company's ability to cost-effectively expand existing, open new, move production between, and close manufacturing facilities; the company's ability to manage costs and capacity constraints at its manufacturing facilities; the company's ability to manage inventory levels and fully realize recorded inventory value; the impact of unexpected developments in warranty claims or unknown product defects; the ability to retain and hire quality employees; threatened or pending litigation on matters relating to patent infringement, employment, and commercial disputes; impact of new accounting standards; and the risk that these uncertainties could affect the impact of critical accounting policies and estimates.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782" w:right="1440" w:bottom="1440" w:gutter="0" w:footer="0" w:header="0"/>
        </w:sectPr>
      </w:pPr>
    </w:p>
    <w:bookmarkStart w:id="12" w:name="page13"/>
    <w:bookmarkEnd w:id="12"/>
    <w:p>
      <w:pPr>
        <w:ind w:right="3339"/>
        <w:spacing w:after="0" w:line="250" w:lineRule="auto"/>
        <w:rPr>
          <w:sz w:val="20"/>
          <w:szCs w:val="20"/>
          <w:color w:val="auto"/>
        </w:rPr>
      </w:pPr>
      <w:r>
        <w:rPr>
          <w:rFonts w:ascii="Courier New" w:cs="Courier New" w:eastAsia="Courier New" w:hAnsi="Courier New"/>
          <w:sz w:val="14"/>
          <w:szCs w:val="14"/>
          <w:color w:val="auto"/>
        </w:rPr>
        <w:t>Particular risks and uncertainties facing the company's professional segment at the present include slower growth in both global and domestic economies that has been important to the growth of the company's professional businesses, including the golf and landscape contractor markets; customer's management of their inventory levels which could reduce their purchases and negatively impact the company's sales; decline in retail demand; customer's ordering closer to retail demand, which shifted sales from the first six months to the third quarter; market acceptance of new products, which is important to revenue growth; unforeseen quality problems in the development and production of new and existing products, which could result in loss of market share; whether Toro is successful in restructuring and plant consolidation; slowing in the growth rate in new golf course construction or existing golf course renovations; a slower growth rate in the number of new golfers, which leads to less new golf course construction; a potential slowdown in new home construction; a potential slowdown in the trend to outsource lawn maintenance to landscape contractors; challenges of establishing new dealers for the Sitework Systems product line; and the degree of success in reducing costs and achieving benefits from management changes in the agricultural irrigation business.</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Particular risks and uncertainties facing the company's residential segment at the present time include inflationary pressures and the risk of a return to a recession; a decline in consumer spending for higher-priced products; further decline in consumer confidence; a weaker than expected market response to new or existing products; a decline in sales of existing products resulting from Toro's introduction of new products; unforeseen product quality problems; degree of financial success related to the new moderate-priced walk power mowers and the cost of capital investments for the new production facility to satisfy expected increase in demand for this product; increased dependence on The Home Depot as a customer; changing buying patterns, including but not limited to, a trend away from purchases at dealer outlets to price and value sensitive purchases at hardware retailers, home centers, and mass retailers; loss of, or a significant reduction in, sales through a significant distribution channel or customer, particularly because the company's residential segment has become more dependent on home center sales; and a potential slowdown in home sales.</w:t>
      </w:r>
    </w:p>
    <w:p>
      <w:pPr>
        <w:spacing w:after="0" w:line="17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Particular risks and uncertainties facing the company's international business at the present include weak economic conditions in the European market; customer's ordering closer to retail demand, which shifted sales from the first six months to the third quarter; heightened security for import and export shipments of components or finished goods, including delays at border crossings; the cost of price support provided to international customers and suppliers; internal and external conflicts in or between foreign countries and economic recession in countries that are markets for Toro; currency fluctuations of the dollar against the euro, Japanese yen, Australian dollar, British pound, Canadian dollar, and Mexican peso; and tax law and duty changes.</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Particular risks and uncertainties facing the company's distribution segment at the present include inflationary pressures and slower economic growth; a decline in retail sales; viability of Toro dealers as customers; degree of success related to restructuring, including investments in technology and facilities for the distribution companies; ability to capture national account business, which purchases products, mainly for golf courses and landscape contractors; changes in purchasing practices of national accounts; a slower growth rate in new golf course construction or existing golf course renovations; degree of success in integrating acquired distribution companies; impact of Toro pricing that reduces gross profit on some product lines sold through the distribution companies; ability to successfully implement a just-in-time inventory initiative; and unforeseen product quality problems.</w:t>
      </w:r>
    </w:p>
    <w:p>
      <w:pPr>
        <w:spacing w:after="0" w:line="16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 wishes to caution readers not to place undue reliance on any forward-looking statement and to recognize that the statements are predictions of future results, which may not occur as anticipated. Actual results could differ materially from those anticipated in the forward-looking statements and from historical results, due to the risks and uncertainties described above, as well as others not now anticipated. The foregoing statements are not exclusive and further information concerning the company and its businesses, including factors that potentially could materially affect the company's financial results, may emerge from time to time. Toro assumes no obligation to update forward-looking statements to reflect actual results or changes in factors or assumptions affecting such forward-looking statements.</w:t>
      </w:r>
    </w:p>
    <w:p>
      <w:pPr>
        <w:spacing w:after="0" w:line="200" w:lineRule="exact"/>
        <w:rPr>
          <w:sz w:val="20"/>
          <w:szCs w:val="20"/>
          <w:color w:val="auto"/>
        </w:rPr>
      </w:pPr>
    </w:p>
    <w:p>
      <w:pPr>
        <w:spacing w:after="0" w:line="29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948"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4"/>
          <w:szCs w:val="14"/>
          <w:color w:val="auto"/>
        </w:rPr>
        <w:t>RESULTS OF OPERATIONS</w:t>
      </w:r>
    </w:p>
    <w:p>
      <w:pPr>
        <w:spacing w:after="0" w:line="173" w:lineRule="exact"/>
        <w:rPr>
          <w:sz w:val="20"/>
          <w:szCs w:val="20"/>
          <w:color w:val="auto"/>
        </w:rPr>
      </w:pPr>
    </w:p>
    <w:p>
      <w:pPr>
        <w:ind w:right="4400"/>
        <w:spacing w:after="0" w:line="250" w:lineRule="auto"/>
        <w:rPr>
          <w:sz w:val="20"/>
          <w:szCs w:val="20"/>
          <w:color w:val="auto"/>
        </w:rPr>
      </w:pPr>
      <w:r>
        <w:rPr>
          <w:rFonts w:ascii="Courier New" w:cs="Courier New" w:eastAsia="Courier New" w:hAnsi="Courier New"/>
          <w:sz w:val="14"/>
          <w:szCs w:val="14"/>
          <w:color w:val="auto"/>
        </w:rPr>
        <w:t>Third quarter net sales were $375.6 million compared to $329.7 million last year, an increase of 13.9 percent. Year-to-date net sales were up by 5.1 percent. Residential segment net sales contributed significantly to the increase in the quarter and first nine months, primarily because of positive reaction to the new moderate-priced line of Toro walk power mowers. Worldwide sales for the professional segment were also up for the third quarter and slightly up year-to-date compared to last year, which reflects distribution customers ordering closer to retail demand that shifted Toro sales from the first six months of fiscal 2002 to the third quarter, as well as positive acceptance of new product introductions. Distribution segment sales were higher for the third quarter due to increased demand for professional equipment, irrigation systems, and residential products. Distribution segment sales were up year-to-date compared to last year due to the addition of revenues of a distribution company acquired in the third quarter of 2001. The other segment net sales reflect the elimination of sales from Toro's professional and residential segments to the distribution segment. The unfavorable change in the other segment net sales reflects Toro's increase in shipments to the distribution segment. International sales increased in the third quarter and slightly year-to-date compared to last year due in part to stronger than expected demand in the Asian golf market and distribution customers ordering closer to retail demand. Disregarding currency effects, international sales were up 11.1 percent for the third quarter and up year-to-date by 2.2 percent.</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80" w:type="dxa"/>
            <w:vAlign w:val="bottom"/>
          </w:tcPr>
          <w:p>
            <w:pPr>
              <w:spacing w:after="0"/>
              <w:rPr>
                <w:sz w:val="20"/>
                <w:szCs w:val="20"/>
                <w:color w:val="auto"/>
              </w:rPr>
            </w:pPr>
            <w:r>
              <w:rPr>
                <w:rFonts w:ascii="Courier New" w:cs="Courier New" w:eastAsia="Courier New" w:hAnsi="Courier New"/>
                <w:sz w:val="14"/>
                <w:szCs w:val="14"/>
                <w:color w:val="auto"/>
              </w:rPr>
              <w:t>The following table summarizes net sales by segment:</w:t>
            </w: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663"/>
        </w:trPr>
        <w:tc>
          <w:tcPr>
            <w:tcW w:w="5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Three Months Ended</w:t>
            </w:r>
          </w:p>
        </w:tc>
        <w:tc>
          <w:tcPr>
            <w:tcW w:w="14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6"/>
        </w:trPr>
        <w:tc>
          <w:tcPr>
            <w:tcW w:w="5180" w:type="dxa"/>
            <w:vAlign w:val="bottom"/>
          </w:tcPr>
          <w:p>
            <w:pPr>
              <w:spacing w:after="0"/>
              <w:rPr>
                <w:sz w:val="14"/>
                <w:szCs w:val="14"/>
                <w:color w:val="auto"/>
              </w:rPr>
            </w:pPr>
          </w:p>
        </w:tc>
        <w:tc>
          <w:tcPr>
            <w:tcW w:w="612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(Dollars in thousands)</w:t>
            </w:r>
          </w:p>
        </w:tc>
        <w:tc>
          <w:tcPr>
            <w:tcW w:w="260" w:type="dxa"/>
            <w:vAlign w:val="bottom"/>
          </w:tcPr>
          <w:p>
            <w:pPr>
              <w:spacing w:after="0"/>
              <w:rPr>
                <w:sz w:val="14"/>
                <w:szCs w:val="14"/>
                <w:color w:val="auto"/>
              </w:rPr>
            </w:pPr>
          </w:p>
        </w:tc>
        <w:tc>
          <w:tcPr>
            <w:tcW w:w="12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August 2,</w:t>
            </w:r>
          </w:p>
        </w:tc>
        <w:tc>
          <w:tcPr>
            <w:tcW w:w="480" w:type="dxa"/>
            <w:vAlign w:val="bottom"/>
          </w:tcPr>
          <w:p>
            <w:pPr>
              <w:spacing w:after="0"/>
              <w:rPr>
                <w:sz w:val="14"/>
                <w:szCs w:val="14"/>
                <w:color w:val="auto"/>
              </w:rPr>
            </w:pPr>
          </w:p>
        </w:tc>
        <w:tc>
          <w:tcPr>
            <w:tcW w:w="1540" w:type="dxa"/>
            <w:vAlign w:val="bottom"/>
          </w:tcPr>
          <w:p>
            <w:pPr>
              <w:ind w:left="80"/>
              <w:spacing w:after="0"/>
              <w:rPr>
                <w:sz w:val="20"/>
                <w:szCs w:val="20"/>
                <w:color w:val="auto"/>
              </w:rPr>
            </w:pPr>
            <w:r>
              <w:rPr>
                <w:rFonts w:ascii="Courier New" w:cs="Courier New" w:eastAsia="Courier New" w:hAnsi="Courier New"/>
                <w:sz w:val="14"/>
                <w:szCs w:val="14"/>
                <w:color w:val="auto"/>
              </w:rPr>
              <w:t>August 3,</w:t>
            </w: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5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2002</w:t>
            </w:r>
          </w:p>
        </w:tc>
        <w:tc>
          <w:tcPr>
            <w:tcW w:w="480" w:type="dxa"/>
            <w:vAlign w:val="bottom"/>
          </w:tcPr>
          <w:p>
            <w:pPr>
              <w:spacing w:after="0"/>
              <w:rPr>
                <w:sz w:val="14"/>
                <w:szCs w:val="14"/>
                <w:color w:val="auto"/>
              </w:rPr>
            </w:pPr>
          </w:p>
        </w:tc>
        <w:tc>
          <w:tcPr>
            <w:tcW w:w="154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2001</w:t>
            </w:r>
          </w:p>
        </w:tc>
        <w:tc>
          <w:tcPr>
            <w:tcW w:w="180" w:type="dxa"/>
            <w:vAlign w:val="bottom"/>
          </w:tcPr>
          <w:p>
            <w:pPr>
              <w:spacing w:after="0"/>
              <w:rPr>
                <w:sz w:val="14"/>
                <w:szCs w:val="14"/>
                <w:color w:val="auto"/>
              </w:rPr>
            </w:pPr>
          </w:p>
        </w:tc>
        <w:tc>
          <w:tcPr>
            <w:tcW w:w="1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 Change</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 Change</w:t>
            </w:r>
          </w:p>
        </w:tc>
      </w:tr>
      <w:tr>
        <w:trPr>
          <w:trHeight w:val="166"/>
        </w:trPr>
        <w:tc>
          <w:tcPr>
            <w:tcW w:w="5180" w:type="dxa"/>
            <w:vAlign w:val="bottom"/>
          </w:tcPr>
          <w:p>
            <w:pPr>
              <w:spacing w:after="0"/>
              <w:rPr>
                <w:sz w:val="14"/>
                <w:szCs w:val="14"/>
                <w:color w:val="auto"/>
              </w:rPr>
            </w:pPr>
          </w:p>
        </w:tc>
        <w:tc>
          <w:tcPr>
            <w:tcW w:w="15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202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180" w:type="dxa"/>
            <w:vAlign w:val="bottom"/>
          </w:tcPr>
          <w:p>
            <w:pPr>
              <w:spacing w:after="0"/>
              <w:rPr>
                <w:sz w:val="20"/>
                <w:szCs w:val="20"/>
                <w:color w:val="auto"/>
              </w:rPr>
            </w:pPr>
            <w:r>
              <w:rPr>
                <w:rFonts w:ascii="Courier New" w:cs="Courier New" w:eastAsia="Courier New" w:hAnsi="Courier New"/>
                <w:sz w:val="14"/>
                <w:szCs w:val="14"/>
                <w:color w:val="auto"/>
              </w:rPr>
              <w:t>Professional................................................</w:t>
            </w:r>
          </w:p>
        </w:tc>
        <w:tc>
          <w:tcPr>
            <w:tcW w:w="2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70"/>
              </w:rPr>
              <w:t>$</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235,301</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222,569</w:t>
            </w:r>
          </w:p>
        </w:tc>
        <w:tc>
          <w:tcPr>
            <w:tcW w:w="1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12,732</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5.7%</w:t>
            </w: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Residential.................................................</w:t>
            </w:r>
          </w:p>
        </w:tc>
        <w:tc>
          <w:tcPr>
            <w:tcW w:w="260" w:type="dxa"/>
            <w:vAlign w:val="bottom"/>
          </w:tcPr>
          <w:p>
            <w:pPr>
              <w:spacing w:after="0"/>
              <w:rPr>
                <w:sz w:val="14"/>
                <w:szCs w:val="14"/>
                <w:color w:val="auto"/>
              </w:rPr>
            </w:pP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119,907</w:t>
            </w:r>
          </w:p>
        </w:tc>
        <w:tc>
          <w:tcPr>
            <w:tcW w:w="480" w:type="dxa"/>
            <w:vAlign w:val="bottom"/>
          </w:tcPr>
          <w:p>
            <w:pPr>
              <w:spacing w:after="0"/>
              <w:rPr>
                <w:sz w:val="14"/>
                <w:szCs w:val="14"/>
                <w:color w:val="auto"/>
              </w:rPr>
            </w:pPr>
          </w:p>
        </w:tc>
        <w:tc>
          <w:tcPr>
            <w:tcW w:w="15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85,460</w:t>
            </w:r>
          </w:p>
        </w:tc>
        <w:tc>
          <w:tcPr>
            <w:tcW w:w="180" w:type="dxa"/>
            <w:vAlign w:val="bottom"/>
          </w:tcPr>
          <w:p>
            <w:pPr>
              <w:spacing w:after="0"/>
              <w:rPr>
                <w:sz w:val="14"/>
                <w:szCs w:val="14"/>
                <w:color w:val="auto"/>
              </w:rPr>
            </w:pP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34,447</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40.3</w:t>
            </w: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Distribution................................................</w:t>
            </w:r>
          </w:p>
        </w:tc>
        <w:tc>
          <w:tcPr>
            <w:tcW w:w="260" w:type="dxa"/>
            <w:vAlign w:val="bottom"/>
          </w:tcPr>
          <w:p>
            <w:pPr>
              <w:spacing w:after="0"/>
              <w:rPr>
                <w:sz w:val="14"/>
                <w:szCs w:val="14"/>
                <w:color w:val="auto"/>
              </w:rPr>
            </w:pP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50,452</w:t>
            </w:r>
          </w:p>
        </w:tc>
        <w:tc>
          <w:tcPr>
            <w:tcW w:w="480" w:type="dxa"/>
            <w:vAlign w:val="bottom"/>
          </w:tcPr>
          <w:p>
            <w:pPr>
              <w:spacing w:after="0"/>
              <w:rPr>
                <w:sz w:val="14"/>
                <w:szCs w:val="14"/>
                <w:color w:val="auto"/>
              </w:rPr>
            </w:pPr>
          </w:p>
        </w:tc>
        <w:tc>
          <w:tcPr>
            <w:tcW w:w="15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43,575</w:t>
            </w:r>
          </w:p>
        </w:tc>
        <w:tc>
          <w:tcPr>
            <w:tcW w:w="180" w:type="dxa"/>
            <w:vAlign w:val="bottom"/>
          </w:tcPr>
          <w:p>
            <w:pPr>
              <w:spacing w:after="0"/>
              <w:rPr>
                <w:sz w:val="14"/>
                <w:szCs w:val="14"/>
                <w:color w:val="auto"/>
              </w:rPr>
            </w:pP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6,877</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15.8</w:t>
            </w: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260" w:type="dxa"/>
            <w:vAlign w:val="bottom"/>
          </w:tcPr>
          <w:p>
            <w:pPr>
              <w:spacing w:after="0"/>
              <w:rPr>
                <w:sz w:val="14"/>
                <w:szCs w:val="14"/>
                <w:color w:val="auto"/>
              </w:rPr>
            </w:pP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(30,028)</w:t>
            </w:r>
          </w:p>
        </w:tc>
        <w:tc>
          <w:tcPr>
            <w:tcW w:w="480" w:type="dxa"/>
            <w:vAlign w:val="bottom"/>
          </w:tcPr>
          <w:p>
            <w:pPr>
              <w:spacing w:after="0"/>
              <w:rPr>
                <w:sz w:val="14"/>
                <w:szCs w:val="14"/>
                <w:color w:val="auto"/>
              </w:rPr>
            </w:pPr>
          </w:p>
        </w:tc>
        <w:tc>
          <w:tcPr>
            <w:tcW w:w="154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(21,860)</w:t>
            </w:r>
          </w:p>
        </w:tc>
        <w:tc>
          <w:tcPr>
            <w:tcW w:w="180" w:type="dxa"/>
            <w:vAlign w:val="bottom"/>
          </w:tcPr>
          <w:p>
            <w:pPr>
              <w:spacing w:after="0"/>
              <w:rPr>
                <w:sz w:val="14"/>
                <w:szCs w:val="14"/>
                <w:color w:val="auto"/>
              </w:rPr>
            </w:pP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(8,168)</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(37.4)</w:t>
            </w:r>
          </w:p>
        </w:tc>
      </w:tr>
      <w:tr>
        <w:trPr>
          <w:trHeight w:val="166"/>
        </w:trPr>
        <w:tc>
          <w:tcPr>
            <w:tcW w:w="5180" w:type="dxa"/>
            <w:vAlign w:val="bottom"/>
          </w:tcPr>
          <w:p>
            <w:pPr>
              <w:spacing w:after="0"/>
              <w:rPr>
                <w:sz w:val="14"/>
                <w:szCs w:val="14"/>
                <w:color w:val="auto"/>
              </w:rPr>
            </w:pPr>
          </w:p>
        </w:tc>
        <w:tc>
          <w:tcPr>
            <w:tcW w:w="15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202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spacing w:after="0"/>
              <w:rPr>
                <w:sz w:val="14"/>
                <w:szCs w:val="14"/>
                <w:color w:val="auto"/>
              </w:rPr>
            </w:pPr>
          </w:p>
        </w:tc>
      </w:tr>
      <w:tr>
        <w:trPr>
          <w:trHeight w:val="166"/>
        </w:trPr>
        <w:tc>
          <w:tcPr>
            <w:tcW w:w="5180" w:type="dxa"/>
            <w:vAlign w:val="bottom"/>
          </w:tcPr>
          <w:p>
            <w:pPr>
              <w:ind w:left="360"/>
              <w:spacing w:after="0"/>
              <w:rPr>
                <w:sz w:val="20"/>
                <w:szCs w:val="20"/>
                <w:color w:val="auto"/>
              </w:rPr>
            </w:pPr>
            <w:r>
              <w:rPr>
                <w:rFonts w:ascii="Courier New" w:cs="Courier New" w:eastAsia="Courier New" w:hAnsi="Courier New"/>
                <w:sz w:val="14"/>
                <w:szCs w:val="14"/>
                <w:color w:val="auto"/>
              </w:rPr>
              <w:t>Total *.................................................</w:t>
            </w:r>
          </w:p>
        </w:tc>
        <w:tc>
          <w:tcPr>
            <w:tcW w:w="2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70"/>
              </w:rPr>
              <w:t>$</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375,632</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329,744</w:t>
            </w:r>
          </w:p>
        </w:tc>
        <w:tc>
          <w:tcPr>
            <w:tcW w:w="1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45,888</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13.9%</w:t>
            </w:r>
          </w:p>
        </w:tc>
      </w:tr>
      <w:tr>
        <w:trPr>
          <w:trHeight w:val="166"/>
        </w:trPr>
        <w:tc>
          <w:tcPr>
            <w:tcW w:w="5180" w:type="dxa"/>
            <w:vAlign w:val="bottom"/>
          </w:tcPr>
          <w:p>
            <w:pPr>
              <w:spacing w:after="0"/>
              <w:rPr>
                <w:sz w:val="14"/>
                <w:szCs w:val="14"/>
                <w:color w:val="auto"/>
              </w:rPr>
            </w:pPr>
          </w:p>
        </w:tc>
        <w:tc>
          <w:tcPr>
            <w:tcW w:w="15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202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spacing w:after="0"/>
              <w:rPr>
                <w:sz w:val="14"/>
                <w:szCs w:val="14"/>
                <w:color w:val="auto"/>
              </w:rPr>
            </w:pPr>
          </w:p>
        </w:tc>
      </w:tr>
      <w:tr>
        <w:trPr>
          <w:trHeight w:val="331"/>
        </w:trPr>
        <w:tc>
          <w:tcPr>
            <w:tcW w:w="5180" w:type="dxa"/>
            <w:vAlign w:val="bottom"/>
          </w:tcPr>
          <w:p>
            <w:pPr>
              <w:spacing w:after="0"/>
              <w:rPr>
                <w:sz w:val="20"/>
                <w:szCs w:val="20"/>
                <w:color w:val="auto"/>
              </w:rPr>
            </w:pPr>
            <w:r>
              <w:rPr>
                <w:rFonts w:ascii="Courier New" w:cs="Courier New" w:eastAsia="Courier New" w:hAnsi="Courier New"/>
                <w:sz w:val="14"/>
                <w:szCs w:val="14"/>
                <w:color w:val="auto"/>
              </w:rPr>
              <w:t>* Includes international net sales of:......................</w:t>
            </w:r>
          </w:p>
        </w:tc>
        <w:tc>
          <w:tcPr>
            <w:tcW w:w="2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70"/>
              </w:rPr>
              <w:t>$</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60,024</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52,786</w:t>
            </w:r>
          </w:p>
        </w:tc>
        <w:tc>
          <w:tcPr>
            <w:tcW w:w="1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7,238</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13.7%</w:t>
            </w:r>
          </w:p>
        </w:tc>
      </w:tr>
      <w:tr>
        <w:trPr>
          <w:trHeight w:val="166"/>
        </w:trPr>
        <w:tc>
          <w:tcPr>
            <w:tcW w:w="5180" w:type="dxa"/>
            <w:vAlign w:val="bottom"/>
          </w:tcPr>
          <w:p>
            <w:pPr>
              <w:spacing w:after="0"/>
              <w:rPr>
                <w:sz w:val="14"/>
                <w:szCs w:val="14"/>
                <w:color w:val="auto"/>
              </w:rPr>
            </w:pPr>
          </w:p>
        </w:tc>
        <w:tc>
          <w:tcPr>
            <w:tcW w:w="15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202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spacing w:after="0"/>
              <w:rPr>
                <w:sz w:val="14"/>
                <w:szCs w:val="14"/>
                <w:color w:val="auto"/>
              </w:rPr>
            </w:pPr>
          </w:p>
        </w:tc>
      </w:tr>
      <w:tr>
        <w:trPr>
          <w:trHeight w:val="1159"/>
        </w:trPr>
        <w:tc>
          <w:tcPr>
            <w:tcW w:w="5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40" w:type="dxa"/>
            <w:vAlign w:val="bottom"/>
          </w:tcPr>
          <w:p>
            <w:pPr>
              <w:ind w:left="80"/>
              <w:spacing w:after="0"/>
              <w:rPr>
                <w:sz w:val="20"/>
                <w:szCs w:val="20"/>
                <w:color w:val="auto"/>
              </w:rPr>
            </w:pPr>
            <w:r>
              <w:rPr>
                <w:rFonts w:ascii="Courier New" w:cs="Courier New" w:eastAsia="Courier New" w:hAnsi="Courier New"/>
                <w:sz w:val="14"/>
                <w:szCs w:val="14"/>
                <w:color w:val="auto"/>
              </w:rPr>
              <w:t>Nine Months Ended</w:t>
            </w: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6"/>
        </w:trPr>
        <w:tc>
          <w:tcPr>
            <w:tcW w:w="5180" w:type="dxa"/>
            <w:vAlign w:val="bottom"/>
          </w:tcPr>
          <w:p>
            <w:pPr>
              <w:spacing w:after="0"/>
              <w:rPr>
                <w:sz w:val="14"/>
                <w:szCs w:val="14"/>
                <w:color w:val="auto"/>
              </w:rPr>
            </w:pPr>
          </w:p>
        </w:tc>
        <w:tc>
          <w:tcPr>
            <w:tcW w:w="612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(Dollars in thousands)</w:t>
            </w:r>
          </w:p>
        </w:tc>
        <w:tc>
          <w:tcPr>
            <w:tcW w:w="260" w:type="dxa"/>
            <w:vAlign w:val="bottom"/>
          </w:tcPr>
          <w:p>
            <w:pPr>
              <w:spacing w:after="0"/>
              <w:rPr>
                <w:sz w:val="14"/>
                <w:szCs w:val="14"/>
                <w:color w:val="auto"/>
              </w:rPr>
            </w:pPr>
          </w:p>
        </w:tc>
        <w:tc>
          <w:tcPr>
            <w:tcW w:w="12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August 2,</w:t>
            </w:r>
          </w:p>
        </w:tc>
        <w:tc>
          <w:tcPr>
            <w:tcW w:w="480" w:type="dxa"/>
            <w:vAlign w:val="bottom"/>
          </w:tcPr>
          <w:p>
            <w:pPr>
              <w:spacing w:after="0"/>
              <w:rPr>
                <w:sz w:val="14"/>
                <w:szCs w:val="14"/>
                <w:color w:val="auto"/>
              </w:rPr>
            </w:pPr>
          </w:p>
        </w:tc>
        <w:tc>
          <w:tcPr>
            <w:tcW w:w="1540" w:type="dxa"/>
            <w:vAlign w:val="bottom"/>
          </w:tcPr>
          <w:p>
            <w:pPr>
              <w:ind w:left="80"/>
              <w:spacing w:after="0"/>
              <w:rPr>
                <w:sz w:val="20"/>
                <w:szCs w:val="20"/>
                <w:color w:val="auto"/>
              </w:rPr>
            </w:pPr>
            <w:r>
              <w:rPr>
                <w:rFonts w:ascii="Courier New" w:cs="Courier New" w:eastAsia="Courier New" w:hAnsi="Courier New"/>
                <w:sz w:val="14"/>
                <w:szCs w:val="14"/>
                <w:color w:val="auto"/>
              </w:rPr>
              <w:t>August 3,</w:t>
            </w: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5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2002</w:t>
            </w:r>
          </w:p>
        </w:tc>
        <w:tc>
          <w:tcPr>
            <w:tcW w:w="480" w:type="dxa"/>
            <w:vAlign w:val="bottom"/>
          </w:tcPr>
          <w:p>
            <w:pPr>
              <w:spacing w:after="0"/>
              <w:rPr>
                <w:sz w:val="14"/>
                <w:szCs w:val="14"/>
                <w:color w:val="auto"/>
              </w:rPr>
            </w:pPr>
          </w:p>
        </w:tc>
        <w:tc>
          <w:tcPr>
            <w:tcW w:w="154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2001</w:t>
            </w:r>
          </w:p>
        </w:tc>
        <w:tc>
          <w:tcPr>
            <w:tcW w:w="180" w:type="dxa"/>
            <w:vAlign w:val="bottom"/>
          </w:tcPr>
          <w:p>
            <w:pPr>
              <w:spacing w:after="0"/>
              <w:rPr>
                <w:sz w:val="14"/>
                <w:szCs w:val="14"/>
                <w:color w:val="auto"/>
              </w:rPr>
            </w:pPr>
          </w:p>
        </w:tc>
        <w:tc>
          <w:tcPr>
            <w:tcW w:w="1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 Change</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 Change</w:t>
            </w:r>
          </w:p>
        </w:tc>
      </w:tr>
      <w:tr>
        <w:trPr>
          <w:trHeight w:val="166"/>
        </w:trPr>
        <w:tc>
          <w:tcPr>
            <w:tcW w:w="5180" w:type="dxa"/>
            <w:vAlign w:val="bottom"/>
          </w:tcPr>
          <w:p>
            <w:pPr>
              <w:spacing w:after="0"/>
              <w:rPr>
                <w:sz w:val="14"/>
                <w:szCs w:val="14"/>
                <w:color w:val="auto"/>
              </w:rPr>
            </w:pPr>
          </w:p>
        </w:tc>
        <w:tc>
          <w:tcPr>
            <w:tcW w:w="15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202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180" w:type="dxa"/>
            <w:vAlign w:val="bottom"/>
          </w:tcPr>
          <w:p>
            <w:pPr>
              <w:spacing w:after="0"/>
              <w:rPr>
                <w:sz w:val="20"/>
                <w:szCs w:val="20"/>
                <w:color w:val="auto"/>
              </w:rPr>
            </w:pPr>
            <w:r>
              <w:rPr>
                <w:rFonts w:ascii="Courier New" w:cs="Courier New" w:eastAsia="Courier New" w:hAnsi="Courier New"/>
                <w:sz w:val="14"/>
                <w:szCs w:val="14"/>
                <w:color w:val="auto"/>
              </w:rPr>
              <w:t>Professional................................................</w:t>
            </w:r>
          </w:p>
        </w:tc>
        <w:tc>
          <w:tcPr>
            <w:tcW w:w="2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70"/>
              </w:rPr>
              <w:t>$</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701,267</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700,954</w:t>
            </w:r>
          </w:p>
        </w:tc>
        <w:tc>
          <w:tcPr>
            <w:tcW w:w="1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313</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0.0%</w:t>
            </w: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Residential.................................................</w:t>
            </w:r>
          </w:p>
        </w:tc>
        <w:tc>
          <w:tcPr>
            <w:tcW w:w="260" w:type="dxa"/>
            <w:vAlign w:val="bottom"/>
          </w:tcPr>
          <w:p>
            <w:pPr>
              <w:spacing w:after="0"/>
              <w:rPr>
                <w:sz w:val="14"/>
                <w:szCs w:val="14"/>
                <w:color w:val="auto"/>
              </w:rPr>
            </w:pP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381,858</w:t>
            </w:r>
          </w:p>
        </w:tc>
        <w:tc>
          <w:tcPr>
            <w:tcW w:w="480" w:type="dxa"/>
            <w:vAlign w:val="bottom"/>
          </w:tcPr>
          <w:p>
            <w:pPr>
              <w:spacing w:after="0"/>
              <w:rPr>
                <w:sz w:val="14"/>
                <w:szCs w:val="14"/>
                <w:color w:val="auto"/>
              </w:rPr>
            </w:pPr>
          </w:p>
        </w:tc>
        <w:tc>
          <w:tcPr>
            <w:tcW w:w="15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330,338</w:t>
            </w:r>
          </w:p>
        </w:tc>
        <w:tc>
          <w:tcPr>
            <w:tcW w:w="180" w:type="dxa"/>
            <w:vAlign w:val="bottom"/>
          </w:tcPr>
          <w:p>
            <w:pPr>
              <w:spacing w:after="0"/>
              <w:rPr>
                <w:sz w:val="14"/>
                <w:szCs w:val="14"/>
                <w:color w:val="auto"/>
              </w:rPr>
            </w:pP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51,520</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15.6</w:t>
            </w: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Distribution................................................</w:t>
            </w:r>
          </w:p>
        </w:tc>
        <w:tc>
          <w:tcPr>
            <w:tcW w:w="260" w:type="dxa"/>
            <w:vAlign w:val="bottom"/>
          </w:tcPr>
          <w:p>
            <w:pPr>
              <w:spacing w:after="0"/>
              <w:rPr>
                <w:sz w:val="14"/>
                <w:szCs w:val="14"/>
                <w:color w:val="auto"/>
              </w:rPr>
            </w:pP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118,825</w:t>
            </w:r>
          </w:p>
        </w:tc>
        <w:tc>
          <w:tcPr>
            <w:tcW w:w="480" w:type="dxa"/>
            <w:vAlign w:val="bottom"/>
          </w:tcPr>
          <w:p>
            <w:pPr>
              <w:spacing w:after="0"/>
              <w:rPr>
                <w:sz w:val="14"/>
                <w:szCs w:val="14"/>
                <w:color w:val="auto"/>
              </w:rPr>
            </w:pPr>
          </w:p>
        </w:tc>
        <w:tc>
          <w:tcPr>
            <w:tcW w:w="15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104,088</w:t>
            </w:r>
          </w:p>
        </w:tc>
        <w:tc>
          <w:tcPr>
            <w:tcW w:w="180" w:type="dxa"/>
            <w:vAlign w:val="bottom"/>
          </w:tcPr>
          <w:p>
            <w:pPr>
              <w:spacing w:after="0"/>
              <w:rPr>
                <w:sz w:val="14"/>
                <w:szCs w:val="14"/>
                <w:color w:val="auto"/>
              </w:rPr>
            </w:pP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14,737</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14.2</w:t>
            </w: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260" w:type="dxa"/>
            <w:vAlign w:val="bottom"/>
          </w:tcPr>
          <w:p>
            <w:pPr>
              <w:spacing w:after="0"/>
              <w:rPr>
                <w:sz w:val="14"/>
                <w:szCs w:val="14"/>
                <w:color w:val="auto"/>
              </w:rPr>
            </w:pP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(78,089)</w:t>
            </w:r>
          </w:p>
        </w:tc>
        <w:tc>
          <w:tcPr>
            <w:tcW w:w="480" w:type="dxa"/>
            <w:vAlign w:val="bottom"/>
          </w:tcPr>
          <w:p>
            <w:pPr>
              <w:spacing w:after="0"/>
              <w:rPr>
                <w:sz w:val="14"/>
                <w:szCs w:val="14"/>
                <w:color w:val="auto"/>
              </w:rPr>
            </w:pPr>
          </w:p>
        </w:tc>
        <w:tc>
          <w:tcPr>
            <w:tcW w:w="154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(65,673)</w:t>
            </w:r>
          </w:p>
        </w:tc>
        <w:tc>
          <w:tcPr>
            <w:tcW w:w="180" w:type="dxa"/>
            <w:vAlign w:val="bottom"/>
          </w:tcPr>
          <w:p>
            <w:pPr>
              <w:spacing w:after="0"/>
              <w:rPr>
                <w:sz w:val="14"/>
                <w:szCs w:val="14"/>
                <w:color w:val="auto"/>
              </w:rPr>
            </w:pP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(12,416)</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(18.9)</w:t>
            </w:r>
          </w:p>
        </w:tc>
      </w:tr>
      <w:tr>
        <w:trPr>
          <w:trHeight w:val="166"/>
        </w:trPr>
        <w:tc>
          <w:tcPr>
            <w:tcW w:w="5180" w:type="dxa"/>
            <w:vAlign w:val="bottom"/>
          </w:tcPr>
          <w:p>
            <w:pPr>
              <w:spacing w:after="0"/>
              <w:rPr>
                <w:sz w:val="14"/>
                <w:szCs w:val="14"/>
                <w:color w:val="auto"/>
              </w:rPr>
            </w:pPr>
          </w:p>
        </w:tc>
        <w:tc>
          <w:tcPr>
            <w:tcW w:w="15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202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spacing w:after="0"/>
              <w:rPr>
                <w:sz w:val="14"/>
                <w:szCs w:val="14"/>
                <w:color w:val="auto"/>
              </w:rPr>
            </w:pPr>
          </w:p>
        </w:tc>
      </w:tr>
      <w:tr>
        <w:trPr>
          <w:trHeight w:val="166"/>
        </w:trPr>
        <w:tc>
          <w:tcPr>
            <w:tcW w:w="5180" w:type="dxa"/>
            <w:vAlign w:val="bottom"/>
          </w:tcPr>
          <w:p>
            <w:pPr>
              <w:ind w:left="360"/>
              <w:spacing w:after="0"/>
              <w:rPr>
                <w:sz w:val="20"/>
                <w:szCs w:val="20"/>
                <w:color w:val="auto"/>
              </w:rPr>
            </w:pPr>
            <w:r>
              <w:rPr>
                <w:rFonts w:ascii="Courier New" w:cs="Courier New" w:eastAsia="Courier New" w:hAnsi="Courier New"/>
                <w:sz w:val="14"/>
                <w:szCs w:val="14"/>
                <w:color w:val="auto"/>
              </w:rPr>
              <w:t>Total *.................................................</w:t>
            </w:r>
          </w:p>
        </w:tc>
        <w:tc>
          <w:tcPr>
            <w:tcW w:w="2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70"/>
              </w:rPr>
              <w:t>$</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1,123,861</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1,069,707</w:t>
            </w:r>
          </w:p>
        </w:tc>
        <w:tc>
          <w:tcPr>
            <w:tcW w:w="1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54,154</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5.1%</w:t>
            </w:r>
          </w:p>
        </w:tc>
      </w:tr>
      <w:tr>
        <w:trPr>
          <w:trHeight w:val="166"/>
        </w:trPr>
        <w:tc>
          <w:tcPr>
            <w:tcW w:w="5180" w:type="dxa"/>
            <w:vAlign w:val="bottom"/>
          </w:tcPr>
          <w:p>
            <w:pPr>
              <w:spacing w:after="0"/>
              <w:rPr>
                <w:sz w:val="14"/>
                <w:szCs w:val="14"/>
                <w:color w:val="auto"/>
              </w:rPr>
            </w:pPr>
          </w:p>
        </w:tc>
        <w:tc>
          <w:tcPr>
            <w:tcW w:w="15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202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spacing w:after="0"/>
              <w:rPr>
                <w:sz w:val="14"/>
                <w:szCs w:val="14"/>
                <w:color w:val="auto"/>
              </w:rPr>
            </w:pPr>
          </w:p>
        </w:tc>
      </w:tr>
      <w:tr>
        <w:trPr>
          <w:trHeight w:val="331"/>
        </w:trPr>
        <w:tc>
          <w:tcPr>
            <w:tcW w:w="5180" w:type="dxa"/>
            <w:vAlign w:val="bottom"/>
          </w:tcPr>
          <w:p>
            <w:pPr>
              <w:spacing w:after="0"/>
              <w:rPr>
                <w:sz w:val="20"/>
                <w:szCs w:val="20"/>
                <w:color w:val="auto"/>
              </w:rPr>
            </w:pPr>
            <w:r>
              <w:rPr>
                <w:rFonts w:ascii="Courier New" w:cs="Courier New" w:eastAsia="Courier New" w:hAnsi="Courier New"/>
                <w:sz w:val="14"/>
                <w:szCs w:val="14"/>
                <w:color w:val="auto"/>
              </w:rPr>
              <w:t>* Includes international net sales of:......................</w:t>
            </w:r>
          </w:p>
        </w:tc>
        <w:tc>
          <w:tcPr>
            <w:tcW w:w="2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70"/>
              </w:rPr>
              <w:t>$</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209,398</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205,170</w:t>
            </w:r>
          </w:p>
        </w:tc>
        <w:tc>
          <w:tcPr>
            <w:tcW w:w="1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4,228</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2.1%</w:t>
            </w:r>
          </w:p>
        </w:tc>
      </w:tr>
      <w:tr>
        <w:trPr>
          <w:trHeight w:val="166"/>
        </w:trPr>
        <w:tc>
          <w:tcPr>
            <w:tcW w:w="5180" w:type="dxa"/>
            <w:vAlign w:val="bottom"/>
          </w:tcPr>
          <w:p>
            <w:pPr>
              <w:spacing w:after="0"/>
              <w:rPr>
                <w:sz w:val="14"/>
                <w:szCs w:val="14"/>
                <w:color w:val="auto"/>
              </w:rPr>
            </w:pPr>
          </w:p>
        </w:tc>
        <w:tc>
          <w:tcPr>
            <w:tcW w:w="15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202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spacing w:after="0"/>
              <w:rPr>
                <w:sz w:val="14"/>
                <w:szCs w:val="14"/>
                <w:color w:val="auto"/>
              </w:rPr>
            </w:pPr>
          </w:p>
        </w:tc>
      </w:tr>
      <w:tr>
        <w:trPr>
          <w:trHeight w:val="828"/>
        </w:trPr>
        <w:tc>
          <w:tcPr>
            <w:tcW w:w="5180" w:type="dxa"/>
            <w:vAlign w:val="bottom"/>
          </w:tcPr>
          <w:p>
            <w:pPr>
              <w:ind w:left="3360"/>
              <w:spacing w:after="0"/>
              <w:rPr>
                <w:sz w:val="20"/>
                <w:szCs w:val="20"/>
                <w:color w:val="auto"/>
              </w:rPr>
            </w:pPr>
            <w:r>
              <w:rPr>
                <w:rFonts w:ascii="Courier New" w:cs="Courier New" w:eastAsia="Courier New" w:hAnsi="Courier New"/>
                <w:sz w:val="14"/>
                <w:szCs w:val="14"/>
                <w:color w:val="auto"/>
              </w:rPr>
              <w:t>14</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300"/>
          </w:cols>
          <w:pgMar w:left="220" w:top="947" w:right="379"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4"/>
          <w:szCs w:val="14"/>
          <w:color w:val="auto"/>
        </w:rPr>
        <w:t>Third quarter net earnings for fiscal 2002 were $21.9 million compared to $19.2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million in the third quarter of fiscal 2001, which did not include goodwill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amortization. This 14.3 percent increase was due primarily to higher sales;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lower selling, general, and administrative costs as a percentage of net sales;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a decline in interest expense. The increase was somewhat offset by lower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gross margins and other income, net. Year-to-date net earnings in fiscal 2002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were $30.3 million. Results for the first nine months included the following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three one-time items: a cumulative effect of change in accounting principle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$24.6 million for the goodwill write-off related to the adoption of SFAS No.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142; restructuring and other expense of $10.0 million; and a tax refund of $1.8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million. Adjusted to exclude these items, diluted net earnings per share for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first nine months of fiscal 2002 were $4.62. In the comparable fiscal 2001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period, results included $.7 million of restructuring and other income and $6.5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million of goodwill amortization, net of tax. Adjusted to exclude these items,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diluted net earnings per share for the first nine months of fiscal 2001 were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$4.15. The adjusted diluted net earnings per share increase of 11.3 percent was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mainly due to higher sales volumes, lower interest costs, and slightly more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favorable gross margins.</w:t>
      </w:r>
    </w:p>
    <w:p>
      <w:pPr>
        <w:spacing w:after="0" w:line="173" w:lineRule="exact"/>
        <w:rPr>
          <w:sz w:val="20"/>
          <w:szCs w:val="20"/>
          <w:color w:val="auto"/>
        </w:rPr>
      </w:pPr>
    </w:p>
    <w:p>
      <w:pPr>
        <w:ind w:right="4560"/>
        <w:spacing w:after="0" w:line="255" w:lineRule="auto"/>
        <w:rPr>
          <w:sz w:val="20"/>
          <w:szCs w:val="20"/>
          <w:color w:val="auto"/>
        </w:rPr>
      </w:pPr>
      <w:r>
        <w:rPr>
          <w:rFonts w:ascii="Courier New" w:cs="Courier New" w:eastAsia="Courier New" w:hAnsi="Courier New"/>
          <w:sz w:val="14"/>
          <w:szCs w:val="14"/>
          <w:color w:val="auto"/>
        </w:rPr>
        <w:t>The following table summarizes the one-time changes in net earnings and diluted earnings per share data, net of tax effect:</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320" w:type="dxa"/>
            <w:vAlign w:val="bottom"/>
            <w:gridSpan w:val="2"/>
          </w:tcPr>
          <w:p>
            <w:pPr>
              <w:jc w:val="right"/>
              <w:ind w:right="948"/>
              <w:spacing w:after="0"/>
              <w:rPr>
                <w:sz w:val="20"/>
                <w:szCs w:val="20"/>
                <w:color w:val="auto"/>
              </w:rPr>
            </w:pPr>
            <w:r>
              <w:rPr>
                <w:rFonts w:ascii="Courier New" w:cs="Courier New" w:eastAsia="Courier New" w:hAnsi="Courier New"/>
                <w:sz w:val="14"/>
                <w:szCs w:val="14"/>
                <w:color w:val="auto"/>
              </w:rPr>
              <w:t>Three Months Ended</w:t>
            </w:r>
          </w:p>
        </w:tc>
        <w:tc>
          <w:tcPr>
            <w:tcW w:w="1300" w:type="dxa"/>
            <w:vAlign w:val="bottom"/>
          </w:tcPr>
          <w:p>
            <w:pPr>
              <w:spacing w:after="0"/>
              <w:rPr>
                <w:sz w:val="14"/>
                <w:szCs w:val="14"/>
                <w:color w:val="auto"/>
              </w:rPr>
            </w:pPr>
          </w:p>
        </w:tc>
      </w:tr>
      <w:tr>
        <w:trPr>
          <w:trHeight w:val="166"/>
        </w:trPr>
        <w:tc>
          <w:tcPr>
            <w:tcW w:w="5340" w:type="dxa"/>
            <w:vAlign w:val="bottom"/>
          </w:tcPr>
          <w:p>
            <w:pPr>
              <w:spacing w:after="0"/>
              <w:rPr>
                <w:sz w:val="14"/>
                <w:szCs w:val="14"/>
                <w:color w:val="auto"/>
              </w:rPr>
            </w:pPr>
          </w:p>
        </w:tc>
        <w:tc>
          <w:tcPr>
            <w:tcW w:w="604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20" w:type="dxa"/>
            <w:vAlign w:val="bottom"/>
            <w:gridSpan w:val="2"/>
          </w:tcPr>
          <w:p>
            <w:pPr>
              <w:jc w:val="right"/>
              <w:ind w:right="1008"/>
              <w:spacing w:after="0"/>
              <w:rPr>
                <w:sz w:val="20"/>
                <w:szCs w:val="20"/>
                <w:color w:val="auto"/>
              </w:rPr>
            </w:pPr>
            <w:r>
              <w:rPr>
                <w:rFonts w:ascii="Courier New" w:cs="Courier New" w:eastAsia="Courier New" w:hAnsi="Courier New"/>
                <w:sz w:val="14"/>
                <w:szCs w:val="14"/>
                <w:color w:val="auto"/>
              </w:rPr>
              <w:t>August 2, 2002</w:t>
            </w:r>
          </w:p>
        </w:tc>
        <w:tc>
          <w:tcPr>
            <w:tcW w:w="3060" w:type="dxa"/>
            <w:vAlign w:val="bottom"/>
            <w:gridSpan w:val="2"/>
          </w:tcPr>
          <w:p>
            <w:pPr>
              <w:jc w:val="right"/>
              <w:ind w:right="868"/>
              <w:spacing w:after="0"/>
              <w:rPr>
                <w:sz w:val="20"/>
                <w:szCs w:val="20"/>
                <w:color w:val="auto"/>
              </w:rPr>
            </w:pPr>
            <w:r>
              <w:rPr>
                <w:rFonts w:ascii="Courier New" w:cs="Courier New" w:eastAsia="Courier New" w:hAnsi="Courier New"/>
                <w:sz w:val="14"/>
                <w:szCs w:val="14"/>
                <w:color w:val="auto"/>
              </w:rPr>
              <w:t>August 3, 2001</w:t>
            </w:r>
          </w:p>
        </w:tc>
      </w:tr>
      <w:tr>
        <w:trPr>
          <w:trHeight w:val="166"/>
        </w:trPr>
        <w:tc>
          <w:tcPr>
            <w:tcW w:w="5340" w:type="dxa"/>
            <w:vAlign w:val="bottom"/>
          </w:tcPr>
          <w:p>
            <w:pPr>
              <w:spacing w:after="0"/>
              <w:rPr>
                <w:sz w:val="14"/>
                <w:szCs w:val="14"/>
                <w:color w:val="auto"/>
              </w:rPr>
            </w:pPr>
          </w:p>
        </w:tc>
        <w:tc>
          <w:tcPr>
            <w:tcW w:w="1420" w:type="dxa"/>
            <w:vAlign w:val="bottom"/>
            <w:gridSpan w:val="2"/>
          </w:tcPr>
          <w:p>
            <w:pPr>
              <w:spacing w:after="0"/>
              <w:rPr>
                <w:sz w:val="20"/>
                <w:szCs w:val="20"/>
                <w:color w:val="auto"/>
              </w:rPr>
            </w:pPr>
            <w:r>
              <w:rPr>
                <w:rFonts w:ascii="Courier New" w:cs="Courier New" w:eastAsia="Courier New" w:hAnsi="Courier New"/>
                <w:sz w:val="10"/>
                <w:szCs w:val="10"/>
                <w:color w:val="auto"/>
                <w:w w:val="75"/>
              </w:rPr>
              <w:t>-------------------------------</w:t>
            </w:r>
          </w:p>
        </w:tc>
        <w:tc>
          <w:tcPr>
            <w:tcW w:w="1560" w:type="dxa"/>
            <w:vAlign w:val="bottom"/>
          </w:tcPr>
          <w:p>
            <w:pPr>
              <w:spacing w:after="0"/>
              <w:rPr>
                <w:sz w:val="14"/>
                <w:szCs w:val="14"/>
                <w:color w:val="auto"/>
              </w:rPr>
            </w:pPr>
          </w:p>
        </w:tc>
        <w:tc>
          <w:tcPr>
            <w:tcW w:w="3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Diluted</w:t>
            </w:r>
          </w:p>
        </w:tc>
        <w:tc>
          <w:tcPr>
            <w:tcW w:w="176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Diluted</w:t>
            </w:r>
          </w:p>
        </w:tc>
      </w:tr>
      <w:tr>
        <w:trPr>
          <w:trHeight w:val="166"/>
        </w:trPr>
        <w:tc>
          <w:tcPr>
            <w:tcW w:w="5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Dollars</w:t>
            </w:r>
          </w:p>
        </w:tc>
        <w:tc>
          <w:tcPr>
            <w:tcW w:w="15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per</w:t>
            </w:r>
          </w:p>
        </w:tc>
        <w:tc>
          <w:tcPr>
            <w:tcW w:w="17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Dollars</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per</w:t>
            </w:r>
          </w:p>
        </w:tc>
      </w:tr>
      <w:tr>
        <w:trPr>
          <w:trHeight w:val="166"/>
        </w:trPr>
        <w:tc>
          <w:tcPr>
            <w:tcW w:w="5340" w:type="dxa"/>
            <w:vAlign w:val="bottom"/>
          </w:tcPr>
          <w:p>
            <w:pPr>
              <w:spacing w:after="0"/>
              <w:rPr>
                <w:sz w:val="14"/>
                <w:szCs w:val="14"/>
                <w:color w:val="auto"/>
              </w:rPr>
            </w:pPr>
          </w:p>
        </w:tc>
        <w:tc>
          <w:tcPr>
            <w:tcW w:w="14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(in thousands)</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Common Share</w:t>
            </w:r>
          </w:p>
        </w:tc>
        <w:tc>
          <w:tcPr>
            <w:tcW w:w="1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(in thousands)</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Common Share</w:t>
            </w:r>
          </w:p>
        </w:tc>
      </w:tr>
      <w:tr>
        <w:trPr>
          <w:trHeight w:val="166"/>
        </w:trPr>
        <w:tc>
          <w:tcPr>
            <w:tcW w:w="5340" w:type="dxa"/>
            <w:vAlign w:val="bottom"/>
          </w:tcPr>
          <w:p>
            <w:pPr>
              <w:spacing w:after="0"/>
              <w:rPr>
                <w:sz w:val="14"/>
                <w:szCs w:val="14"/>
                <w:color w:val="auto"/>
              </w:rPr>
            </w:pPr>
          </w:p>
        </w:tc>
        <w:tc>
          <w:tcPr>
            <w:tcW w:w="142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340" w:type="dxa"/>
            <w:vAlign w:val="bottom"/>
          </w:tcPr>
          <w:p>
            <w:pPr>
              <w:spacing w:after="0"/>
              <w:rPr>
                <w:sz w:val="20"/>
                <w:szCs w:val="20"/>
                <w:color w:val="auto"/>
              </w:rPr>
            </w:pPr>
            <w:r>
              <w:rPr>
                <w:rFonts w:ascii="Courier New" w:cs="Courier New" w:eastAsia="Courier New" w:hAnsi="Courier New"/>
                <w:sz w:val="14"/>
                <w:szCs w:val="14"/>
                <w:color w:val="auto"/>
              </w:rPr>
              <w:t>Net earnings..................................................</w:t>
            </w:r>
          </w:p>
        </w:tc>
        <w:tc>
          <w:tcPr>
            <w:tcW w:w="2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21,922</w:t>
            </w:r>
          </w:p>
        </w:tc>
        <w:tc>
          <w:tcPr>
            <w:tcW w:w="15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$ 1.68</w:t>
            </w:r>
          </w:p>
        </w:tc>
        <w:tc>
          <w:tcPr>
            <w:tcW w:w="17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$ 16,932</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$ 1.30</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Add:</w:t>
            </w: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5340" w:type="dxa"/>
            <w:vAlign w:val="bottom"/>
          </w:tcPr>
          <w:p>
            <w:pPr>
              <w:ind w:left="180"/>
              <w:spacing w:after="0"/>
              <w:rPr>
                <w:sz w:val="20"/>
                <w:szCs w:val="20"/>
                <w:color w:val="auto"/>
              </w:rPr>
            </w:pPr>
            <w:r>
              <w:rPr>
                <w:rFonts w:ascii="Courier New" w:cs="Courier New" w:eastAsia="Courier New" w:hAnsi="Courier New"/>
                <w:sz w:val="14"/>
                <w:szCs w:val="14"/>
                <w:color w:val="auto"/>
              </w:rPr>
              <w:t>Goodwill amortization expense...............................</w:t>
            </w:r>
          </w:p>
        </w:tc>
        <w:tc>
          <w:tcPr>
            <w:tcW w:w="260" w:type="dxa"/>
            <w:vAlign w:val="bottom"/>
          </w:tcPr>
          <w:p>
            <w:pPr>
              <w:spacing w:after="0"/>
              <w:rPr>
                <w:sz w:val="14"/>
                <w:szCs w:val="14"/>
                <w:color w:val="auto"/>
              </w:rPr>
            </w:pPr>
          </w:p>
        </w:tc>
        <w:tc>
          <w:tcPr>
            <w:tcW w:w="11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2,248</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0.17</w:t>
            </w:r>
          </w:p>
        </w:tc>
      </w:tr>
      <w:tr>
        <w:trPr>
          <w:trHeight w:val="166"/>
        </w:trPr>
        <w:tc>
          <w:tcPr>
            <w:tcW w:w="5340" w:type="dxa"/>
            <w:vAlign w:val="bottom"/>
          </w:tcPr>
          <w:p>
            <w:pPr>
              <w:spacing w:after="0"/>
              <w:rPr>
                <w:sz w:val="14"/>
                <w:szCs w:val="14"/>
                <w:color w:val="auto"/>
              </w:rPr>
            </w:pPr>
          </w:p>
        </w:tc>
        <w:tc>
          <w:tcPr>
            <w:tcW w:w="142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Adjusted earnings before goodwill amortization expense........</w:t>
            </w:r>
          </w:p>
        </w:tc>
        <w:tc>
          <w:tcPr>
            <w:tcW w:w="2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21,922</w:t>
            </w:r>
          </w:p>
        </w:tc>
        <w:tc>
          <w:tcPr>
            <w:tcW w:w="15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$ 1.68</w:t>
            </w:r>
          </w:p>
        </w:tc>
        <w:tc>
          <w:tcPr>
            <w:tcW w:w="17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$ 19,180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$ 1.47</w:t>
            </w:r>
          </w:p>
        </w:tc>
      </w:tr>
      <w:tr>
        <w:trPr>
          <w:trHeight w:val="166"/>
        </w:trPr>
        <w:tc>
          <w:tcPr>
            <w:tcW w:w="5340" w:type="dxa"/>
            <w:vAlign w:val="bottom"/>
          </w:tcPr>
          <w:p>
            <w:pPr>
              <w:spacing w:after="0"/>
              <w:rPr>
                <w:sz w:val="14"/>
                <w:szCs w:val="14"/>
                <w:color w:val="auto"/>
              </w:rPr>
            </w:pPr>
          </w:p>
        </w:tc>
        <w:tc>
          <w:tcPr>
            <w:tcW w:w="142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7580"/>
        <w:spacing w:after="0"/>
        <w:rPr>
          <w:sz w:val="20"/>
          <w:szCs w:val="20"/>
          <w:color w:val="auto"/>
        </w:rPr>
      </w:pPr>
      <w:r>
        <w:rPr>
          <w:rFonts w:ascii="Courier New" w:cs="Courier New" w:eastAsia="Courier New" w:hAnsi="Courier New"/>
          <w:sz w:val="14"/>
          <w:szCs w:val="14"/>
          <w:color w:val="auto"/>
        </w:rPr>
        <w:t>Nine Months Ended</w:t>
      </w:r>
    </w:p>
    <w:p>
      <w:pPr>
        <w:spacing w:after="0" w:line="7"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040"/>
        <w:spacing w:after="0"/>
        <w:tabs>
          <w:tab w:leader="none" w:pos="9380" w:val="left"/>
        </w:tabs>
        <w:rPr>
          <w:sz w:val="20"/>
          <w:szCs w:val="20"/>
          <w:color w:val="auto"/>
        </w:rPr>
      </w:pPr>
      <w:r>
        <w:rPr>
          <w:rFonts w:ascii="Courier New" w:cs="Courier New" w:eastAsia="Courier New" w:hAnsi="Courier New"/>
          <w:sz w:val="14"/>
          <w:szCs w:val="14"/>
          <w:color w:val="auto"/>
        </w:rPr>
        <w:t>August 2, 2002</w:t>
      </w:r>
      <w:r>
        <w:rPr>
          <w:sz w:val="20"/>
          <w:szCs w:val="20"/>
          <w:color w:val="auto"/>
        </w:rPr>
        <w:tab/>
      </w:r>
      <w:r>
        <w:rPr>
          <w:rFonts w:ascii="Courier New" w:cs="Courier New" w:eastAsia="Courier New" w:hAnsi="Courier New"/>
          <w:sz w:val="14"/>
          <w:szCs w:val="14"/>
          <w:color w:val="auto"/>
        </w:rPr>
        <w:t>August 3, 2001</w:t>
      </w:r>
    </w:p>
    <w:p>
      <w:pPr>
        <w:spacing w:after="0" w:line="7" w:lineRule="exact"/>
        <w:rPr>
          <w:sz w:val="20"/>
          <w:szCs w:val="20"/>
          <w:color w:val="auto"/>
        </w:rPr>
      </w:pPr>
    </w:p>
    <w:p>
      <w:pPr>
        <w:ind w:left="5340"/>
        <w:spacing w:after="0"/>
        <w:tabs>
          <w:tab w:leader="none" w:pos="86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7160"/>
        <w:spacing w:after="0"/>
        <w:tabs>
          <w:tab w:leader="none" w:pos="10500" w:val="left"/>
        </w:tabs>
        <w:rPr>
          <w:sz w:val="20"/>
          <w:szCs w:val="20"/>
          <w:color w:val="auto"/>
        </w:rPr>
      </w:pPr>
      <w:r>
        <w:rPr>
          <w:rFonts w:ascii="Courier New" w:cs="Courier New" w:eastAsia="Courier New" w:hAnsi="Courier New"/>
          <w:sz w:val="14"/>
          <w:szCs w:val="14"/>
          <w:color w:val="auto"/>
        </w:rPr>
        <w:t>Diluted</w:t>
      </w:r>
      <w:r>
        <w:rPr>
          <w:sz w:val="20"/>
          <w:szCs w:val="20"/>
          <w:color w:val="auto"/>
        </w:rPr>
        <w:tab/>
      </w:r>
      <w:r>
        <w:rPr>
          <w:rFonts w:ascii="Courier New" w:cs="Courier New" w:eastAsia="Courier New" w:hAnsi="Courier New"/>
          <w:sz w:val="14"/>
          <w:szCs w:val="14"/>
          <w:color w:val="auto"/>
        </w:rPr>
        <w:t>Diluted</w:t>
      </w:r>
    </w:p>
    <w:p>
      <w:pPr>
        <w:spacing w:after="0" w:line="7" w:lineRule="exact"/>
        <w:rPr>
          <w:sz w:val="20"/>
          <w:szCs w:val="20"/>
          <w:color w:val="auto"/>
        </w:rPr>
      </w:pPr>
    </w:p>
    <w:p>
      <w:pPr>
        <w:ind w:left="5600"/>
        <w:spacing w:after="0"/>
        <w:tabs>
          <w:tab w:leader="none" w:pos="7300" w:val="left"/>
          <w:tab w:leader="none" w:pos="8860" w:val="left"/>
          <w:tab w:leader="none" w:pos="10660" w:val="left"/>
        </w:tabs>
        <w:rPr>
          <w:sz w:val="20"/>
          <w:szCs w:val="20"/>
          <w:color w:val="auto"/>
        </w:rPr>
      </w:pPr>
      <w:r>
        <w:rPr>
          <w:rFonts w:ascii="Courier New" w:cs="Courier New" w:eastAsia="Courier New" w:hAnsi="Courier New"/>
          <w:sz w:val="14"/>
          <w:szCs w:val="14"/>
          <w:color w:val="auto"/>
        </w:rPr>
        <w:t>Dollars</w:t>
      </w:r>
      <w:r>
        <w:rPr>
          <w:sz w:val="20"/>
          <w:szCs w:val="20"/>
          <w:color w:val="auto"/>
        </w:rPr>
        <w:tab/>
      </w:r>
      <w:r>
        <w:rPr>
          <w:rFonts w:ascii="Courier New" w:cs="Courier New" w:eastAsia="Courier New" w:hAnsi="Courier New"/>
          <w:sz w:val="14"/>
          <w:szCs w:val="14"/>
          <w:color w:val="auto"/>
        </w:rPr>
        <w:t>per</w:t>
      </w:r>
      <w:r>
        <w:rPr>
          <w:sz w:val="20"/>
          <w:szCs w:val="20"/>
          <w:color w:val="auto"/>
        </w:rPr>
        <w:tab/>
      </w:r>
      <w:r>
        <w:rPr>
          <w:rFonts w:ascii="Courier New" w:cs="Courier New" w:eastAsia="Courier New" w:hAnsi="Courier New"/>
          <w:sz w:val="14"/>
          <w:szCs w:val="14"/>
          <w:color w:val="auto"/>
        </w:rPr>
        <w:t>Dollars</w:t>
      </w:r>
      <w:r>
        <w:rPr>
          <w:sz w:val="20"/>
          <w:szCs w:val="20"/>
          <w:color w:val="auto"/>
        </w:rPr>
        <w:tab/>
      </w:r>
      <w:r>
        <w:rPr>
          <w:rFonts w:ascii="Courier New" w:cs="Courier New" w:eastAsia="Courier New" w:hAnsi="Courier New"/>
          <w:sz w:val="14"/>
          <w:szCs w:val="14"/>
          <w:color w:val="auto"/>
        </w:rPr>
        <w:t>per</w:t>
      </w:r>
    </w:p>
    <w:p>
      <w:pPr>
        <w:spacing w:after="0" w:line="7" w:lineRule="exact"/>
        <w:rPr>
          <w:sz w:val="20"/>
          <w:szCs w:val="20"/>
          <w:color w:val="auto"/>
        </w:rPr>
      </w:pPr>
    </w:p>
    <w:p>
      <w:pPr>
        <w:ind w:left="5340"/>
        <w:spacing w:after="0"/>
        <w:tabs>
          <w:tab w:leader="none" w:pos="6960" w:val="left"/>
          <w:tab w:leader="none" w:pos="8600" w:val="left"/>
          <w:tab w:leader="none" w:pos="10320" w:val="left"/>
        </w:tabs>
        <w:rPr>
          <w:sz w:val="20"/>
          <w:szCs w:val="20"/>
          <w:color w:val="auto"/>
        </w:rPr>
      </w:pPr>
      <w:r>
        <w:rPr>
          <w:rFonts w:ascii="Courier New" w:cs="Courier New" w:eastAsia="Courier New" w:hAnsi="Courier New"/>
          <w:sz w:val="14"/>
          <w:szCs w:val="14"/>
          <w:color w:val="auto"/>
        </w:rPr>
        <w:t>(in thousands)</w:t>
      </w:r>
      <w:r>
        <w:rPr>
          <w:sz w:val="20"/>
          <w:szCs w:val="20"/>
          <w:color w:val="auto"/>
        </w:rPr>
        <w:tab/>
      </w:r>
      <w:r>
        <w:rPr>
          <w:rFonts w:ascii="Courier New" w:cs="Courier New" w:eastAsia="Courier New" w:hAnsi="Courier New"/>
          <w:sz w:val="14"/>
          <w:szCs w:val="14"/>
          <w:color w:val="auto"/>
        </w:rPr>
        <w:t>Common Share</w:t>
      </w:r>
      <w:r>
        <w:rPr>
          <w:sz w:val="20"/>
          <w:szCs w:val="20"/>
          <w:color w:val="auto"/>
        </w:rPr>
        <w:tab/>
      </w:r>
      <w:r>
        <w:rPr>
          <w:rFonts w:ascii="Courier New" w:cs="Courier New" w:eastAsia="Courier New" w:hAnsi="Courier New"/>
          <w:sz w:val="14"/>
          <w:szCs w:val="14"/>
          <w:color w:val="auto"/>
        </w:rPr>
        <w:t>(in thousands)</w:t>
      </w:r>
      <w:r>
        <w:rPr>
          <w:sz w:val="20"/>
          <w:szCs w:val="20"/>
          <w:color w:val="auto"/>
        </w:rPr>
        <w:tab/>
      </w:r>
      <w:r>
        <w:rPr>
          <w:rFonts w:ascii="Courier New" w:cs="Courier New" w:eastAsia="Courier New" w:hAnsi="Courier New"/>
          <w:sz w:val="14"/>
          <w:szCs w:val="14"/>
          <w:color w:val="auto"/>
        </w:rPr>
        <w:t>Common Share</w:t>
      </w:r>
    </w:p>
    <w:p>
      <w:pPr>
        <w:spacing w:after="0" w:line="7" w:lineRule="exact"/>
        <w:rPr>
          <w:sz w:val="20"/>
          <w:szCs w:val="20"/>
          <w:color w:val="auto"/>
        </w:rPr>
      </w:pPr>
    </w:p>
    <w:p>
      <w:pPr>
        <w:ind w:left="5340"/>
        <w:spacing w:after="0"/>
        <w:tabs>
          <w:tab w:leader="none" w:pos="6960" w:val="left"/>
          <w:tab w:leader="none" w:pos="8600" w:val="left"/>
          <w:tab w:leader="none" w:pos="103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ectPr>
          <w:pgSz w:w="11900" w:h="16838" w:orient="portrait"/>
          <w:cols w:equalWidth="0" w:num="1">
            <w:col w:w="11380"/>
          </w:cols>
          <w:pgMar w:left="220" w:top="782" w:right="299" w:bottom="1088" w:gutter="0" w:footer="0" w:header="0"/>
        </w:sectPr>
      </w:pPr>
    </w:p>
    <w:p>
      <w:pPr>
        <w:spacing w:after="0" w:line="173" w:lineRule="exact"/>
        <w:rPr>
          <w:sz w:val="20"/>
          <w:szCs w:val="20"/>
          <w:color w:val="auto"/>
        </w:rPr>
      </w:pPr>
    </w:p>
    <w:p>
      <w:pPr>
        <w:spacing w:after="0"/>
        <w:tabs>
          <w:tab w:leader="none" w:pos="5760" w:val="left"/>
        </w:tabs>
        <w:rPr>
          <w:sz w:val="20"/>
          <w:szCs w:val="20"/>
          <w:color w:val="auto"/>
        </w:rPr>
      </w:pPr>
      <w:r>
        <w:rPr>
          <w:rFonts w:ascii="Courier New" w:cs="Courier New" w:eastAsia="Courier New" w:hAnsi="Courier New"/>
          <w:sz w:val="14"/>
          <w:szCs w:val="14"/>
          <w:color w:val="auto"/>
        </w:rPr>
        <w:t>Net earnings................................................. .$</w:t>
      </w:r>
      <w:r>
        <w:rPr>
          <w:sz w:val="20"/>
          <w:szCs w:val="20"/>
          <w:color w:val="auto"/>
        </w:rPr>
        <w:tab/>
      </w:r>
      <w:r>
        <w:rPr>
          <w:rFonts w:ascii="Courier New" w:cs="Courier New" w:eastAsia="Courier New" w:hAnsi="Courier New"/>
          <w:sz w:val="14"/>
          <w:szCs w:val="14"/>
          <w:color w:val="auto"/>
        </w:rPr>
        <w:t>30,325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 (subtract):</w:t>
      </w:r>
    </w:p>
    <w:p>
      <w:pPr>
        <w:spacing w:after="0" w:line="7" w:lineRule="exact"/>
        <w:rPr>
          <w:sz w:val="20"/>
          <w:szCs w:val="20"/>
          <w:color w:val="auto"/>
        </w:rPr>
      </w:pPr>
    </w:p>
    <w:p>
      <w:pPr>
        <w:ind w:left="180"/>
        <w:spacing w:after="0"/>
        <w:tabs>
          <w:tab w:leader="none" w:pos="5760" w:val="left"/>
        </w:tabs>
        <w:rPr>
          <w:sz w:val="20"/>
          <w:szCs w:val="20"/>
          <w:color w:val="auto"/>
        </w:rPr>
      </w:pPr>
      <w:r>
        <w:rPr>
          <w:rFonts w:ascii="Courier New" w:cs="Courier New" w:eastAsia="Courier New" w:hAnsi="Courier New"/>
          <w:sz w:val="14"/>
          <w:szCs w:val="14"/>
          <w:color w:val="auto"/>
        </w:rPr>
        <w:t>Cumulative effect of change in accounting principle.........</w:t>
      </w:r>
      <w:r>
        <w:rPr>
          <w:sz w:val="20"/>
          <w:szCs w:val="20"/>
          <w:color w:val="auto"/>
        </w:rPr>
        <w:tab/>
      </w:r>
      <w:r>
        <w:rPr>
          <w:rFonts w:ascii="Courier New" w:cs="Courier New" w:eastAsia="Courier New" w:hAnsi="Courier New"/>
          <w:sz w:val="14"/>
          <w:szCs w:val="14"/>
          <w:color w:val="auto"/>
        </w:rPr>
        <w:t>24,614</w:t>
      </w:r>
    </w:p>
    <w:p>
      <w:pPr>
        <w:spacing w:after="0" w:line="7" w:lineRule="exact"/>
        <w:rPr>
          <w:sz w:val="20"/>
          <w:szCs w:val="20"/>
          <w:color w:val="auto"/>
        </w:rPr>
      </w:pPr>
    </w:p>
    <w:p>
      <w:pPr>
        <w:ind w:left="180"/>
        <w:spacing w:after="0"/>
        <w:tabs>
          <w:tab w:leader="none" w:pos="5840" w:val="left"/>
        </w:tabs>
        <w:rPr>
          <w:sz w:val="20"/>
          <w:szCs w:val="20"/>
          <w:color w:val="auto"/>
        </w:rPr>
      </w:pPr>
      <w:r>
        <w:rPr>
          <w:rFonts w:ascii="Courier New" w:cs="Courier New" w:eastAsia="Courier New" w:hAnsi="Courier New"/>
          <w:sz w:val="14"/>
          <w:szCs w:val="14"/>
          <w:color w:val="auto"/>
        </w:rPr>
        <w:t>Restructuring and other expense (income)....................</w:t>
      </w:r>
      <w:r>
        <w:rPr>
          <w:sz w:val="20"/>
          <w:szCs w:val="20"/>
          <w:color w:val="auto"/>
        </w:rPr>
        <w:tab/>
      </w:r>
      <w:r>
        <w:rPr>
          <w:rFonts w:ascii="Courier New" w:cs="Courier New" w:eastAsia="Courier New" w:hAnsi="Courier New"/>
          <w:sz w:val="14"/>
          <w:szCs w:val="14"/>
          <w:color w:val="auto"/>
        </w:rPr>
        <w:t>6,668</w:t>
      </w:r>
    </w:p>
    <w:p>
      <w:pPr>
        <w:spacing w:after="0" w:line="7" w:lineRule="exact"/>
        <w:rPr>
          <w:sz w:val="20"/>
          <w:szCs w:val="20"/>
          <w:color w:val="auto"/>
        </w:rPr>
      </w:pPr>
    </w:p>
    <w:p>
      <w:pPr>
        <w:ind w:left="180"/>
        <w:spacing w:after="0"/>
        <w:tabs>
          <w:tab w:leader="none" w:pos="6200" w:val="left"/>
        </w:tabs>
        <w:rPr>
          <w:sz w:val="20"/>
          <w:szCs w:val="20"/>
          <w:color w:val="auto"/>
        </w:rPr>
      </w:pPr>
      <w:r>
        <w:rPr>
          <w:rFonts w:ascii="Courier New" w:cs="Courier New" w:eastAsia="Courier New" w:hAnsi="Courier New"/>
          <w:sz w:val="14"/>
          <w:szCs w:val="14"/>
          <w:color w:val="auto"/>
        </w:rPr>
        <w:t>Goodwill amortization expense...............................</w:t>
      </w:r>
      <w:r>
        <w:rPr>
          <w:sz w:val="20"/>
          <w:szCs w:val="20"/>
          <w:color w:val="auto"/>
        </w:rPr>
        <w:tab/>
      </w:r>
      <w:r>
        <w:rPr>
          <w:rFonts w:ascii="Courier New" w:cs="Courier New" w:eastAsia="Courier New" w:hAnsi="Courier New"/>
          <w:sz w:val="13"/>
          <w:szCs w:val="13"/>
          <w:color w:val="auto"/>
        </w:rPr>
        <w:t>-</w:t>
      </w:r>
    </w:p>
    <w:p>
      <w:pPr>
        <w:spacing w:after="0" w:line="7" w:lineRule="exact"/>
        <w:rPr>
          <w:sz w:val="20"/>
          <w:szCs w:val="20"/>
          <w:color w:val="auto"/>
        </w:rPr>
      </w:pPr>
    </w:p>
    <w:p>
      <w:pPr>
        <w:ind w:left="180"/>
        <w:spacing w:after="0"/>
        <w:tabs>
          <w:tab w:leader="none" w:pos="5760" w:val="left"/>
        </w:tabs>
        <w:rPr>
          <w:sz w:val="20"/>
          <w:szCs w:val="20"/>
          <w:color w:val="auto"/>
        </w:rPr>
      </w:pPr>
      <w:r>
        <w:rPr>
          <w:rFonts w:ascii="Courier New" w:cs="Courier New" w:eastAsia="Courier New" w:hAnsi="Courier New"/>
          <w:sz w:val="14"/>
          <w:szCs w:val="14"/>
          <w:color w:val="auto"/>
        </w:rPr>
        <w:t>One-time tax refund.........................................</w:t>
      </w:r>
      <w:r>
        <w:rPr>
          <w:sz w:val="20"/>
          <w:szCs w:val="20"/>
          <w:color w:val="auto"/>
        </w:rPr>
        <w:tab/>
      </w:r>
      <w:r>
        <w:rPr>
          <w:rFonts w:ascii="Courier New" w:cs="Courier New" w:eastAsia="Courier New" w:hAnsi="Courier New"/>
          <w:sz w:val="14"/>
          <w:szCs w:val="14"/>
          <w:color w:val="auto"/>
        </w:rPr>
        <w:t>(1,775)</w:t>
      </w:r>
    </w:p>
    <w:p>
      <w:pPr>
        <w:spacing w:after="0" w:line="7"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$ 2.34</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1.90</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0.52</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(0.14)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$ 48,292</w:t>
      </w:r>
    </w:p>
    <w:p>
      <w:pPr>
        <w:spacing w:after="0" w:line="173"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(447)</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6,504</w:t>
      </w:r>
    </w:p>
    <w:p>
      <w:pPr>
        <w:spacing w:after="0" w:line="7"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$ 3.68</w:t>
      </w:r>
    </w:p>
    <w:p>
      <w:pPr>
        <w:spacing w:after="0" w:line="173"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(0.03)</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0.50</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ectPr>
          <w:pgSz w:w="11900" w:h="16838" w:orient="portrait"/>
          <w:cols w:equalWidth="0" w:num="4">
            <w:col w:w="6600" w:space="720"/>
            <w:col w:w="840" w:space="720"/>
            <w:col w:w="1180" w:space="720"/>
            <w:col w:w="600"/>
          </w:cols>
          <w:pgMar w:left="220" w:top="782" w:right="299" w:bottom="1088" w:gutter="0" w:footer="0" w:header="0"/>
          <w:type w:val="continuous"/>
        </w:sectPr>
      </w:pPr>
    </w:p>
    <w:p>
      <w:pPr>
        <w:jc w:val="right"/>
        <w:ind w:right="6640"/>
        <w:spacing w:after="0"/>
        <w:rPr>
          <w:sz w:val="20"/>
          <w:szCs w:val="20"/>
          <w:color w:val="auto"/>
        </w:rPr>
      </w:pPr>
      <w:r>
        <w:rPr>
          <w:rFonts w:ascii="Courier New" w:cs="Courier New" w:eastAsia="Courier New" w:hAnsi="Courier New"/>
          <w:sz w:val="14"/>
          <w:szCs w:val="14"/>
          <w:color w:val="auto"/>
        </w:rPr>
        <w:t>Adjusted earnings before cumulative effect of change in</w:t>
      </w:r>
    </w:p>
    <w:p>
      <w:pPr>
        <w:spacing w:after="0" w:line="7" w:lineRule="exact"/>
        <w:rPr>
          <w:sz w:val="20"/>
          <w:szCs w:val="20"/>
          <w:color w:val="auto"/>
        </w:rPr>
      </w:pPr>
    </w:p>
    <w:p>
      <w:pPr>
        <w:jc w:val="right"/>
        <w:ind w:right="6640"/>
        <w:spacing w:after="0"/>
        <w:rPr>
          <w:sz w:val="20"/>
          <w:szCs w:val="20"/>
          <w:color w:val="auto"/>
        </w:rPr>
      </w:pPr>
      <w:r>
        <w:rPr>
          <w:rFonts w:ascii="Courier New" w:cs="Courier New" w:eastAsia="Courier New" w:hAnsi="Courier New"/>
          <w:sz w:val="14"/>
          <w:szCs w:val="14"/>
          <w:color w:val="auto"/>
        </w:rPr>
        <w:t>accounting principle, restructuring and other expense</w:t>
      </w:r>
    </w:p>
    <w:p>
      <w:pPr>
        <w:spacing w:after="0" w:line="7" w:lineRule="exact"/>
        <w:rPr>
          <w:sz w:val="20"/>
          <w:szCs w:val="20"/>
          <w:color w:val="auto"/>
        </w:rPr>
      </w:pPr>
    </w:p>
    <w:p>
      <w:pPr>
        <w:jc w:val="right"/>
        <w:ind w:right="6640"/>
        <w:spacing w:after="0"/>
        <w:rPr>
          <w:sz w:val="20"/>
          <w:szCs w:val="20"/>
          <w:color w:val="auto"/>
        </w:rPr>
      </w:pPr>
      <w:r>
        <w:rPr>
          <w:rFonts w:ascii="Courier New" w:cs="Courier New" w:eastAsia="Courier New" w:hAnsi="Courier New"/>
          <w:sz w:val="14"/>
          <w:szCs w:val="14"/>
          <w:color w:val="auto"/>
        </w:rPr>
        <w:t>(income), goodwill amortization expense, and one-time</w:t>
      </w:r>
    </w:p>
    <w:p>
      <w:pPr>
        <w:sectPr>
          <w:pgSz w:w="11900" w:h="16838" w:orient="portrait"/>
          <w:cols w:equalWidth="0" w:num="1">
            <w:col w:w="11380"/>
          </w:cols>
          <w:pgMar w:left="220" w:top="782" w:right="299" w:bottom="1088" w:gutter="0" w:footer="0" w:header="0"/>
          <w:type w:val="continuous"/>
        </w:sectPr>
      </w:pPr>
    </w:p>
    <w:p>
      <w:pPr>
        <w:spacing w:after="0" w:line="7" w:lineRule="exact"/>
        <w:rPr>
          <w:sz w:val="20"/>
          <w:szCs w:val="20"/>
          <w:color w:val="auto"/>
        </w:rPr>
      </w:pPr>
    </w:p>
    <w:p>
      <w:pPr>
        <w:jc w:val="right"/>
        <w:ind w:left="180" w:right="300"/>
        <w:spacing w:after="0" w:line="255" w:lineRule="auto"/>
        <w:rPr>
          <w:sz w:val="20"/>
          <w:szCs w:val="20"/>
          <w:color w:val="auto"/>
        </w:rPr>
      </w:pPr>
      <w:r>
        <w:rPr>
          <w:rFonts w:ascii="Courier New" w:cs="Courier New" w:eastAsia="Courier New" w:hAnsi="Courier New"/>
          <w:sz w:val="14"/>
          <w:szCs w:val="14"/>
          <w:color w:val="auto"/>
        </w:rPr>
        <w:t>tax refund.................................................. $   59,832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$ 4.62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$ 54,349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$ 4.15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12" w:lineRule="exact"/>
        <w:rPr>
          <w:sz w:val="20"/>
          <w:szCs w:val="20"/>
          <w:color w:val="auto"/>
        </w:rPr>
      </w:pPr>
    </w:p>
    <w:p>
      <w:pPr>
        <w:sectPr>
          <w:pgSz w:w="11900" w:h="16838" w:orient="portrait"/>
          <w:cols w:equalWidth="0" w:num="4">
            <w:col w:w="6600" w:space="720"/>
            <w:col w:w="840" w:space="720"/>
            <w:col w:w="1180" w:space="720"/>
            <w:col w:w="600"/>
          </w:cols>
          <w:pgMar w:left="220" w:top="782" w:right="299" w:bottom="1088" w:gutter="0" w:footer="0" w:header="0"/>
          <w:type w:val="continuous"/>
        </w:sectPr>
      </w:pPr>
    </w:p>
    <w:p>
      <w:pPr>
        <w:spacing w:after="0" w:line="1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Professional Segment Net Sales</w:t>
      </w:r>
    </w:p>
    <w:p>
      <w:pPr>
        <w:spacing w:after="0" w:line="173" w:lineRule="exact"/>
        <w:rPr>
          <w:sz w:val="20"/>
          <w:szCs w:val="20"/>
          <w:color w:val="auto"/>
        </w:rPr>
      </w:pPr>
    </w:p>
    <w:p>
      <w:pPr>
        <w:ind w:right="4480"/>
        <w:spacing w:after="0" w:line="251" w:lineRule="auto"/>
        <w:rPr>
          <w:sz w:val="20"/>
          <w:szCs w:val="20"/>
          <w:color w:val="auto"/>
        </w:rPr>
      </w:pPr>
      <w:r>
        <w:rPr>
          <w:rFonts w:ascii="Courier New" w:cs="Courier New" w:eastAsia="Courier New" w:hAnsi="Courier New"/>
          <w:sz w:val="14"/>
          <w:szCs w:val="14"/>
          <w:color w:val="auto"/>
        </w:rPr>
        <w:t>Net sales for the worldwide professional segment in the third quarter of fiscal 2002 were up 5.7 percent compared to the third quarter of fiscal 2001. An increase in shipments of Toro brand landscape contractor mowing equipment contributed to this improvement because customers ordered product closer to retail demand, which shifted Toro sales from the first six months of fiscal 2002 to the third quarter. Sitework Systems shipments were also up compared to the third quarter of last year due to the addition of sales to new dealers. Irrigation product sales were also higher, mainly for golf irrigation products, due to favorable weather conditions and because last year's third quarter sales were abnormally low. International sales were up significantly for the quarter due to the successful introduction of new products, stronger than expected demand in the Asian golf market, and distribution customers' ordering closer to retail demand, which shifted Toro sales from the first six months of fiscal 2002 to the third quarter.</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1380"/>
          </w:cols>
          <w:pgMar w:left="220" w:top="782" w:right="299" w:bottom="1088" w:gutter="0" w:footer="0" w:header="0"/>
          <w:type w:val="continuous"/>
        </w:sectPr>
      </w:pPr>
    </w:p>
    <w:bookmarkStart w:id="15" w:name="page16"/>
    <w:bookmarkEnd w:id="15"/>
    <w:p>
      <w:pPr>
        <w:spacing w:after="0"/>
        <w:rPr>
          <w:sz w:val="20"/>
          <w:szCs w:val="20"/>
          <w:color w:val="auto"/>
        </w:rPr>
      </w:pPr>
      <w:r>
        <w:rPr>
          <w:rFonts w:ascii="Courier New" w:cs="Courier New" w:eastAsia="Courier New" w:hAnsi="Courier New"/>
          <w:sz w:val="14"/>
          <w:szCs w:val="14"/>
          <w:color w:val="auto"/>
        </w:rPr>
        <w:t>Professional Segment Net Sales (continued)</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Net sales for the worldwide professional segment in the first nine months of fiscal 2002 were up slightly compared to the first nine months of fiscal 2001. Commercial equipment sales were up slightly for the year, and irrigation product sales also increased compared to last year mainly due to lower field inventory levels entering fiscal 2002 and favorable weather conditions. Sitework Systems shipments and international sales were also up for the year due to the same reasons mentioned in the quarter comparison. Worldwide agricultural irrigation product sales were also up slightly year-to-date compared to last year. Somewhat offsetting those increases was a decline in shipments of landscape contractor mowing equipment year-to-date compared to last year, as Toro and its customers attempted to reduce field inventory levels and as a result of the late spring weather. In the fourth quarter of fiscal 2001, retail demand for landscape contractor equipment unexpectedly declined as a result of the September 11 events, dry weather conditions, and the economic recession. Toro, however, did not reduce shipments of landscape contractor equipment before the end of fiscal 2001 due to the unexpected decline in retail demand. This resulted in higher than planned field inventory levels entering fiscal 2002. The company took steps in the first six months of fiscal 2002 to lower field inventory levels by reducing shipments to customers and cutting manufacturing production. On a positive note, retail demand has increased for the first nine months of fiscal 2002 compared to the first nine months of fiscal 2001 for landscape contractor equipment.</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Residential Segment Net Sales</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Net sales for the worldwide residential segment in the third quarter of fiscal 2002 increased 40.3 percent compared to the third quarter of fiscal 2001. Walk power mower shipments led this increase due to positive reaction to the new moderate-priced line of Toro walk power mowers sold at The Home Depot and through the Toro dealer network. Sales of retail irrigation products were also higher compared to the third quarter of fiscal 2001 due to additional regional shelf space with a key customer and new product introductions. Electric trimmer sales also increased compared to the third quarter of fiscal 2001 due to timing of shipments closer to retail demand. Offsetting those increases to some degree were lower worldwide shipments of riding products due to continued weak economic conditions that has resulted in lower sales of higher-priced products as well as consumer preference for lower-priced units. Shipments of snowthrower products were down significantly compared to the third quarter of last year because abnormally strong demand in the third quarter of fiscal 2001 resulted in low field inventory levels entering the 2001-2002 winter season. However, a milder 2001-2002 snow season resulted in higher field inventory levels entering the</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2002-2003 winter season, thus reducing shipments for the third quarter of fiscal 2002 compared to the third quarter of fiscal 2001. As a result of higher snowthrower field inventory levels, Toro expects lower sales of snowthrower products in the fourth quarter of fiscal 2002 compared to the fourth quarter of fiscal 2001.</w:t>
      </w:r>
    </w:p>
    <w:p>
      <w:pPr>
        <w:spacing w:after="0" w:line="165"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Net sales for the worldwide residential segment in the first nine months of fiscal 2002 increased 15.6 percent compared to the same period in fiscal 2001. The increase was due to the same contributing factors mentioned in the above quarter comparison, and to higher walk power mower shipments up year-to-date, due to initial stocking orders for the new moderate-priced line of Toro walk power mowers in the first half of fiscal 2002. Sales of electric blowers were also up for the year-to-date comparison due to warm fall weather that extended the selling season into the first quarter of fiscal 2002. The percentage increase was diminished somewhat because sales in fiscal 2001 were unusually high because of initial stocking shipments for new riding products, such as the Toro Timecutter(TM) Z mower and the Toro Twister(TM) utility vehicle. Lawn-Boy walk power mower shipments declined for the year-to-date comparison as result of lost shelf space at a home center customer for the 4 cycle engine models. Shipments of snowthrower products were also down for the same reasons mentioned in the above quarter comparison. International sales were down compared to last year because high levels of field inventory for walk power mowers and riding products reduced Toro shipments in fiscal 2002, somewhat offset by increased sales of retail irrigation products in Australia due to favorable weather conditions.</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Distribution Segment Net Sales</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Net sales for the distribution segment in the third quarter of fiscal 2002 increased 15.8 percent compared to the third quarter of fiscal 2001. Increased demand for landscape contractor equipment, commercial golf and grounds equipment, irrigation systems, and residential segment products contributed to the sales improvement.</w:t>
      </w:r>
    </w:p>
    <w:p>
      <w:pPr>
        <w:spacing w:after="0" w:line="165"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Net sales for the distribution segment in the first nine months of fiscal 2002 increased 14.2 percent compared to the first nine months of fiscal 2001. The change was mainly due to the addition of sales from a distribution company acquired in the third quarter of fiscal 2001.</w:t>
      </w:r>
    </w:p>
    <w:p>
      <w:pPr>
        <w:spacing w:after="0" w:line="200" w:lineRule="exact"/>
        <w:rPr>
          <w:sz w:val="20"/>
          <w:szCs w:val="20"/>
          <w:color w:val="auto"/>
        </w:rPr>
      </w:pPr>
    </w:p>
    <w:p>
      <w:pPr>
        <w:spacing w:after="0" w:line="29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782"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4"/>
          <w:szCs w:val="14"/>
          <w:color w:val="auto"/>
        </w:rPr>
        <w:t>Other Segment Net Sales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Net sales for the other segment includes the elimination of sales from the professional and residential segments to the distribution segment. Shipments from the professional and residential segments to the Toro-owned distribution companies are eliminated because consolidated results reflect those sales after products are sold by those company-owned distributorships. In addition, elimination of the professional and residential segments' floor plan interest costs from the Toro Credit Company is also included in this segment. The other segment net sales elimination in the third quarter of fiscal 2002 increased 37.4 percent compared to the third quarter of fiscal 2001. This increase was due to increased shipments from the professional and residential segments to the Toro-owned distribution companies.</w:t>
      </w:r>
    </w:p>
    <w:p>
      <w:pPr>
        <w:spacing w:after="0" w:line="163"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Year-to-date net sales elimination for the other segment in fiscal 2002 increased 18.9 percent compared to last year. This increase was mainly due to the additional sales elimination for a distribution company acquired in the third quarter of fiscal 2001.</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Gross Profit</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Third quarter gross profit in fiscal 2002 was up 9.2 percent compared to the third quarter of fiscal 2001, but as a percentage of net sales declined to 34.3 percent compared to 35.8 percent in the third quarter of fiscal 2001. This decline in gross margin was due to a higher proportion of sales of lower margin products, mainly the new moderate-priced Toro walk power mowers. In addition, gross margins were lower due to higher manufacturing costs from lower plant utilization as a result of management's efforts to reduce Toro's and customers inventory levels, mainly for the professional segment. Floor plan expenses were also higher due to accruing costs at the time of sale. Somewhat offsetting those negative factors were lower material costs resulting from the company's "5 by Five" program initiatives.</w:t>
      </w:r>
    </w:p>
    <w:p>
      <w:pPr>
        <w:spacing w:after="0" w:line="16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Year-to-date gross profit was up 5.4 percent compared to last year, but as a percentage of net sales, year-to-date gross profit in fiscal 2002 increased to 34.4 percent compared to 34.3 percent last year. This slight gross margin improvement was due to cost reduction efforts and lower material costs, but was somewhat offset by higher manufacturing costs and increased shipments of lower margin products.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Selling, General, and Administrative Expense</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Third quarter selling, general, and administrative expense (SG&amp;A) increased 4.9 percent compared to the third quarter of fiscal 2001. SG&amp;A for the third quarter of fiscal 2001 included goodwill amortization expense of $2.2 million, which is not reflected in SG&amp;A costs in fiscal 2002 due to the adoption of SFAS No. 142 described previously. Excluding goodwill amortization expense for the third quarter of fiscal 2001, SG&amp;A as a percentage of net sales was 24.6 percent in the third quarter of fiscal 2002 compared to 26.1 percent in the third quarter of fiscal 2001. SG&amp;A costs as a percentage of net sales were down mainly because fixed expenses were spread over higher sales volumes, but the decline was offset somewhat by higher warranty expense, from special reserves for known product issues, as well as higher incentive compensation costs.</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Year-to-date SG&amp;A expense increased 3.1 percent compared to last year. SG&amp;A for fiscal 2001 included goodwill amortization expense of $6.4 million, which is not reflected in SG&amp;A costs in fiscal 2002 due to the adoption of SFAS No. 142 described previously. Excluding goodwill amortization expense for fiscal 2001, SG&amp;A as a percentage of net sales was 25.4 percent in the first nine months of fiscal 2002 compared to 25.3 percent in the first nine months of fiscal 2001. The acquisition of a distribution company in the third quarter of fiscal 2001 added approximately $3.1 million of incremental SG&amp;A expense in the first nine months of fiscal 2002. This increase was also due to higher bad debt, warranty, and incentive compensation expense, offset by lower marketing costs.</w:t>
      </w:r>
    </w:p>
    <w:p>
      <w:pPr>
        <w:spacing w:after="0" w:line="200" w:lineRule="exact"/>
        <w:rPr>
          <w:sz w:val="20"/>
          <w:szCs w:val="20"/>
          <w:color w:val="auto"/>
        </w:rPr>
      </w:pPr>
    </w:p>
    <w:p>
      <w:pPr>
        <w:spacing w:after="0" w:line="29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782"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4"/>
          <w:szCs w:val="14"/>
          <w:color w:val="auto"/>
        </w:rPr>
        <w:t>Restructuring and Other Expense (Income)</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Year-to-date restructuring and other expense for fiscal 2002 was $10.0 million. In the first quarter of fiscal 2002, the company announced plans to close its Evansville, Indiana and Riverside, California manufacturing facilities during fiscal 2002. These actions are part of Toro's overall long-term strategy to reduce production costs and improve long-term competitiveness. Closing these facilities resulted in a pre-tax restructuring and other expense charge of $8.0 million. In the first quarter of fiscal 2002, the company also incurred a $2.0 million charge for asset impairment related to the write-off of patents and non-compete agreements in the agricultural irrigation business. Toro also evaluated the recoverability of some acquired intangible assets and determined the acquired patents and non-compete agreements in the agricultural irrigation business had no future value due to changes in this business. During the first quarter of fiscal 2001, the company had restructuring and other unusual income of $0.7 million from the reversal of an accrual remaining for closing of the Sardis, Mississippi facility, which was sold during the first quarter of fiscal 2001.</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Expense</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Third quarter interest expense in fiscal 2002 declined 24.6 percent compared to the third quarter of fiscal 2001. This decrease was primarily due to lower levels of short-term debt as a result of using prior periods' earnings to pay down debt, improved asset management in the third quarter of fiscal 2002, and lower interest rates.</w:t>
      </w:r>
    </w:p>
    <w:p>
      <w:pPr>
        <w:spacing w:after="0" w:line="165"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Year-to-date interest expense in fiscal 2002 declined 14.9 percent compared to last year due to the same contributing factors as in the quarter comparison.</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Income, Net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Third quarter other income, net, in fiscal 2002 was $0.8 million compared to</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$3.1 million in the third quarter of fiscal 2001, an unfavorable change of $2.3 million. This unfavorable variance was due to higher currency exchange rate losses, higher litigation expense, lower finance charge revenue, and lower levels of insurance recoveries. Somewhat offsetting those declines in other income, net was a recovery of notes receivable previously written off and increased gains on the disposal of property, plant, and equipment, mainly for a gain on the sale of one of the owned facilities located in Riverside, California.</w:t>
      </w:r>
    </w:p>
    <w:p>
      <w:pPr>
        <w:spacing w:after="0" w:line="330"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Year-to-date other income, net, was $3.9 million compared to $4.5 million last year, a decline of 13.5 percent. This decrease was due to the same contributing factors mentioned in the quarter comparison. Somewhat offsetting those declines in other income, net was a recovery of notes receivable previously written off, increased gains on the disposal of property, plant, and equipment, mainly for a gain on the sale of one of the owned facilities located in Riverside, California, lower levels of valuation charges for investments, and higher royalty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947"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4"/>
          <w:szCs w:val="14"/>
          <w:color w:val="auto"/>
        </w:rPr>
        <w:t>Operating Earnings (Loss) by Segment</w:t>
      </w:r>
    </w:p>
    <w:p>
      <w:pPr>
        <w:spacing w:after="0" w:line="173"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Operating earnings (loss) by segment is defined as earnings (loss) from operations plus other income, net for the professional, residential, and distribution segments. The other segment operating loss consists of corporate activities, including corporate financing activities, other income, net, and interest expense.</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Professional Segment Operating Earnings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Operating earnings for the worldwide professional segment in the third quarter of fiscal 2002 were $34.8 million compared to $37.7 million last year, a decrease of 7.6 percent. As a percentage of net sales, third quarter fiscal 2002 operating earnings were 14.8 percent compared to 16.9 percent in last year's comparable quarter. Gross margin as a percentage of net sales fell 2.3 percent, mainly from higher manufacturing costs and higher floor plan expenses, somewhat offset by positive results from lower material costs. SG&amp;A costs as a percentage of professional segment net sales were slightly higher by 0.2 percent due to increased warranty expense, partially offset by lower costs related to the exclusion of goodwill amortization expense in the third quarter of fiscal 2002. Somewhat offsetting the operating profit decline was a favorable change of other income, net related from a gain on the sale of one of the owned facilities located in Riverside, California.</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Year-to-date operating earnings before restructuring and other expense for the worldwide professional segment in fiscal 2002 were $107.1 million compared to $105.3 million last year, an increase of 1.7 percent. As a percentage of net sales, professional segment operating margins increased to 15.3 percent from 15.0 percent last year. Gross margin as a percentage of net sales rose 0.4 percent, mainly from cost reduction efforts and lower material costs, somewhat offset by higher manufacturing costs. SG&amp;A costs as a percentage of professional segment net sales were higher by 0.3 percent due to increased warranty expense, partially offset by lower costs related to the exclusion of goodwill amortization expense in fiscal 2002.</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Residential Segment Operating Earnings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Operating earnings for the worldwide residential segment in the third quarter of fiscal 2002 were $12.2 million compared to $5.1 million in the third quarter of fiscal 2001, a significant increase of 138.5 percent. As a percentage of net sales, third quarter fiscal 2002 operating earnings were 10.1 percent compared to 6.0 percent in last year's comparable quarter. Gross margin fell 1.3 percent as a percentage of net sales due to lower margins for the new moderate-priced walk power mowers, higher manufacturing costs and increased floor plan expense, partially offset by lower costs for currency support in fiscal 2002 compared to fiscal 2001. SG&amp;A costs were lower by 5.5 percent as a percentage of residential segment net sales mainly due to leveraging fixed SG&amp;A costs over higher sales volumes.</w:t>
      </w:r>
    </w:p>
    <w:p>
      <w:pPr>
        <w:spacing w:after="0" w:line="16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Year-to-date operating earnings before restructuring and other income for the worldwide residential segment in fiscal 2002 were $39.9 million compared to $29.3 million last year, an increase of 36.3 percent. As a percentage of net sales, residential segment operating margins increased to 10.5 percent from 8.9 percent last year. The reasons for the increase are the same as in the quarter comparison.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Distribution Segment Operating Earnings (Loss)</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Operating earnings for the distribution segment in the third quarter of fiscal 2002 were $2.3 million compared to $.2 million for the third quarter of fiscal 2001. This substantial improvement was mainly due to higher sales volumes and cost reductions at some of the company-owned distributorships.</w:t>
      </w:r>
    </w:p>
    <w:p>
      <w:pPr>
        <w:spacing w:after="0" w:line="162"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Year-to-date operating results for the distribution segment in fiscal 2002 were $2.0 million earnings compared to a $1.1 million loss last year. The $3.1 million improvement was mainly due to operating improvements at the company-owned distributorships.</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948"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4"/>
          <w:szCs w:val="14"/>
          <w:color w:val="auto"/>
        </w:rPr>
        <w:t>Operating Earnings (Loss) by Segment (continued)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Segment Operating Losses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Operating losses for the other segment in the third quarter of fiscal 2002 were $16.6 million compared to losses of $16.1 million in the third quarter of fiscal 2001, an unfavorable change of 2.8 percent. This loss increase was due to higher incentive compensation, lower other income, net, somewhat offset by a decline in interest expense and lower elimination of gross profit. The third quarter of fiscal 2001 reflected the elimination of gross profit previously recorded with respect to Toro sales to a distribution company acquired in the third quarter of fiscal 2001.</w:t>
      </w:r>
    </w:p>
    <w:p>
      <w:pPr>
        <w:spacing w:after="0" w:line="164"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Year-to-date operating losses for the other segment in fiscal 2002 were $59.7 million compared to losses of $57.5 million in fiscal 2001, an unfavorable change of 3.8 percent. This loss increase was due to the same factors mentioned in the quarter comparison. In addition, bad debt expense was higher for the first nine months of fiscal 2002 compared to the first nine months of fiscal 2001.</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Provision for Income Taxes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effective tax rate in the third quarter and the first nine months of fiscal 2002 was 33.0 percent compared to 37.0 percent in the third quarter and first nine months of fiscal 2001, before a one-time federal tax refund of $1.8 million in fiscal 2002. The decrease was mainly due to the adoption of SFAS No. 142 that eliminated goodwill amortization expense beginning in the first quarter of fiscal 2002. Most of the goodwill amortization was not deductible for tax purposes. The tax rate also decreased due to increased benefits from foreign tax strategies related to Toro's foreign sales corporation. In the second quarter of fiscal 2002, Toro received a one-time federal tax refund of $1.8 million related to the company's foreign sales corporation for prior fiscal years.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Cumulative Effect of Change in Accounting Principle</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 connection with the adoption of SFAS No. 142, the company performed an evaluation of goodwill as of November 1, 2001. The results of the evaluation indicated that goodwill related to the agricultural irrigation reporting unit was impaired. The performance of this reporting unit had not met management's original expectations, mainly due to lower than anticipated growth rates in the drip line market. This resulted in lower industry-wide pricing and margins on product sales. The company measured the amount of impairment based on a comparison of the fair value to its carrying value. Accordingly, the company recognized a $24.6 million non-cash charge, net of income tax benefit of $0.5 million, as a cumulative effect of change in accounting principle for the write-off of goodwill for the agricultural irrigation reporting unit. The results of this unit are reflected in professional segment results.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Position as of August 2, 2002</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August 2, 2002 compared to August 3, 2001</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Total assets on August 2, 2002 were $856.7 million compared to $908.7 million on August 3, 2001, a decrease of 5.7 percent. Net accounts receivable increased by $6.2 million or 1.8 percent, due to the increase in sales. Inventory decreased $36.2 million or 14.8 percent mainly due to the increase in sales, improved asset management, and reduced production of some professional segment products. Net property, plant, and equipment increased $16.4 million due to higher amounts of capital additions in comparison to depreciation expense, mainly for plant expansion in Mexico and at the Beatrice, Nebraska facility. Goodwill and other intangible assets decreased $30.1 million mainly due to the goodwill and other intangible asset write-offs in the agricultural irrigation business as part of the adoption of SFAS No. 142. In addition, amortization expense of goodwill and other intangible assets in fiscal 2001 also contributed to the decrease in goodwill and other intangible assets.</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Total current liabilities on August 2, 2002 were $307.5 million compared to $356.4 million at August 3, 2001, a decrease of 13.7 percent. Short-term debt decreased by $86.4 million mainly due to using earnings to pay down short-term debt as well as higher levels of accounts payable and lower levels of inventory. Accounts payable increased by $11.0 million due to the company's efforts to extend its payment terms. Accrued liabilities also increased by $11.0 million mainly due to higher accruals for restructuring and warranty reserves.</w:t>
      </w:r>
    </w:p>
    <w:p>
      <w:pPr>
        <w:spacing w:after="0" w:line="200" w:lineRule="exact"/>
        <w:rPr>
          <w:sz w:val="20"/>
          <w:szCs w:val="20"/>
          <w:color w:val="auto"/>
        </w:rPr>
      </w:pPr>
    </w:p>
    <w:p>
      <w:pPr>
        <w:spacing w:after="0" w:line="29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782"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4"/>
          <w:szCs w:val="14"/>
          <w:color w:val="auto"/>
        </w:rPr>
        <w:t>Financial Position as of August 2, 2002 (continued)</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August 2, 2002 compared to October 31, 2001</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Total assets on August 2, 2002 were $856.7 million compared to $835.7 million at October 31, 2001, an increase of 2.5 percent. Net accounts receivable increased $70.2 million from October 31, 2001 due to the seasonal increase in accounts receivable. Inventory declined by $25.3 million due to the increase in sales, improved asset management, and reduced production of some professional segment products. Net property, plant, and equipment increased $12.3 million due to higher amounts of capital additions in comparison to depreciation expense mainly for plant expansion in Mexico and at the Beatrice, Nebraska facility. Goodwill and other intangible assets decreased $27.6 million mainly due to the goodwill and other intangible asset write-offs in the agricultural irrigation business as previously discussed.</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Total current liabilities on August 2, 2002 were $307.5 million compared to $292.6 million at October 31, 2001, an increase of 5.1 percent. This increase was due to higher accrued liabilities, mainly for warranty reserves; restructuring reserves; and higher accruals for various seasonal sales and marketing programs. Somewhat offsetting the increase was lower short-term debt due to using earnings to pay down short-term debt as well as lower levels of inventory. Accounts payable also decreased by $10.5 million mainly due to timing of payments as well as lower inventory levels.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Critical Accounting Estimates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Securities and Exchange Commission (SEC) recently issued proposed guidance for disclosure of critical accounting policies. The SEC defines "critical accounting policies" as those that require application of management's most difficult, subjective or complex judgments, often as a result of the need to make estimates about the effect of matters that are inherently uncertain and may change in subsequent periods. The company plans to adopt the disclosure requirements regarding critical accounting policies when the SEC issues its final rules.</w:t>
      </w:r>
    </w:p>
    <w:p>
      <w:pPr>
        <w:spacing w:after="0" w:line="330"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Toro's significant accounting policies are described in Note 1 to the consolidated financial statements in the company's Fiscal 2001 Annual Report on Form 10-K. Not all of these significant accounting policies require management to make difficult subjective or complex judgments or estimates. However, management believes the following accounting policies, which require more significant judgments and estimates used in the preparation of our consolidated financial statements, could be deemed to be critical within the proposed definition.</w:t>
      </w:r>
    </w:p>
    <w:p>
      <w:pPr>
        <w:spacing w:after="0" w:line="330"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Accounts and Notes Receivable Valuation</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 establishes a reserve for specific accounts and notes receivables that are believed to be uncollectable as well as an estimate of uncollectable receivables. Each quarter, the company evaluates past collection history, current financial conditions of key customers, and economic conditions when establishing an allowance for doubtful accounts. Portions of the accounts receivable are supported by a security interest in product held by customers, which minimizes Toro's collection exposure. A deterioration in the financial condition of any key customer or a significant continued slow down in the economy could have a material negative impact on the company's ability to collect a portion of the accounts and notes receivable. Management believes it has adequately reserved for potential uncollectable receivables as of August 2, 2002.</w:t>
      </w:r>
    </w:p>
    <w:p>
      <w:pPr>
        <w:spacing w:after="0" w:line="329"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Inventory Valuation</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 establishes a reserve for excess and obsolete inventory. Each quarter, the reserve is based on a review of the expected selling price of inventory. Toro's inventory is not exposed to rapid technological changes. However, valuation of inventory can be affected by significant redesign of existing products. The company typically utilizes marketing programs that it believes can facilitate sales of products that will be significantly redesigned for the next model year.</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manufactures products in advance of the selling season. As a result, Toro could have higher than planned inventory levels if demand declines significantly from anticipated levels. The majority of the company's products do not change from year to year, so that excess inventory from one year is usually sold for at least cost in the next fiscal year. Management believes it has established an adequate reserve for excess and obsolete inventory as of August 2, 2002.</w:t>
      </w:r>
    </w:p>
    <w:p>
      <w:pPr>
        <w:spacing w:after="0" w:line="200" w:lineRule="exact"/>
        <w:rPr>
          <w:sz w:val="20"/>
          <w:szCs w:val="20"/>
          <w:color w:val="auto"/>
        </w:rPr>
      </w:pPr>
    </w:p>
    <w:p>
      <w:pPr>
        <w:spacing w:after="0" w:line="29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782"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4"/>
          <w:szCs w:val="14"/>
          <w:color w:val="auto"/>
        </w:rPr>
        <w:t>Critical Accounting Estimates (continued)</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Warranty Reserves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establishes a reserve for future warranty claims at the time of sale based on historical claims experience by product line. The company also establishes reserves for special rework campaigns for known major product issues. In general, warranties tend to be for six months to seven years, and cover all parts and labor for non-maintenance repairs and wear items, provided operator abuse, improper use, or negligence did not necessitate the repair. Actual claims could be materially higher than the reserve accrued at the time of sale due both to the long warranty period offered by the company and to the possibility that actual claims could be higher than the reserve if a significant manufacturing or design defect is not discovered until after the product is delivered to customers.</w:t>
      </w:r>
    </w:p>
    <w:p>
      <w:pPr>
        <w:spacing w:after="0" w:line="329"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Management believes that its analysis of historical trends and knowledge of potential manufacturing or design problems provide sufficient information to establish an estimate for warranty claims at the time of sale. Management believes it has adequately reserved for future warranty claims as of August 2, 2002.</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Liquidity and Capital Resources</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Cash provided by operating activities for the first nine months of fiscal 2002 was $61.7 million and compared favorably to $25.3 million of cash used in operating activities for the first nine months in fiscal 2001. This improvement of $86.9 million was due to higher earnings before non-cash expenses and a lower rate of increase in working capital, mainly for inventory, as compared to the prior year's comparable period. Cash used in investing activities was higher by $1.0 million, or 3.2 percent, when compared with the first nine months of fiscal 2001, during which the company paid $8.5 million, net of cash acquired for Goossen Industries, Inc. and Electronic Industrial Controls, Inc. Higher levels of property, plant, and equipment purchases and other assets in the first nine months of fiscal 2002 compared to the same time period in fiscal 2001 contributed to the increase. Cash used in financing activities for the first nine months of fiscal 2002 was $41.9 million compared to $57.0 million of cash provided by financing activities for the first nine months of fiscal 2001. This favorable change of $98.8 million was because the company borrowed less short-term debt during the first nine months of fiscal 2002 compared to the first nine months of fiscal 2001. In addition, Toro was able to use cash on hand at October 31, 2001, which was higher compared to cash on hand at October 31, 2000, for operating and investing activities in the first quarter of fiscal 2002.</w:t>
      </w:r>
    </w:p>
    <w:p>
      <w:pPr>
        <w:spacing w:after="0" w:line="340"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The company entered into new agreements (Working Capital Agreements) with its banks during February 2002 to fund its seasonal working capital requirements. The Working Capital Agreements provide $250.0 million of committed unsecured bank credit lines. Under these Working Capital Agreements, the company can also borrow in currencies other than U.S. dollars. Interest expense on these credit lines is based on LIBOR plus a basis point spread defined in the Working Capital Agreements, which increased in the new agreements. However, the company anticipates lower interest expense in fiscal 2002 compared to fiscal 2001 due to lower average LIBOR rates and lower average borrowing levels. The company's non-U.S. operations and a domestic subsidiary also maintain unsecured short-term lines of credit of approximately $10 million. These facilities bear interest at various rates depending on the rates in their respective countries of operation. The company also has a letter of credit subfacility as part of the above Working Capital Agreements. The company's business is seasonal, with peak borrowing under the agreements described above generally occurring between February and May each year. Significant financial covenants in the Working Capital Agreements relate to interest coverage and debt to total capitalization ratios. The company was in compliance with all covenants related to the Working Capital Agreements at August 2, 2002. If the company was out of compliance with any debt covenant required by the Working Capital Agreements, the banks could terminate their commitments unless Toro could negotiate a covenant waiver from the banks. In addition, the company's long-term public notes and debentures could become due and payable if the company was unable to obtain a covenant waiver or refinance its short-term debt under its Working Capital Agreements. If the company's credit rating falls below investment grade, the interest rate it currently pays on outstanding debt on the Working Capital Agreements would rise, but the credit commitments could not be cancelled by the banks based only on a ratings downgrade.</w:t>
      </w:r>
    </w:p>
    <w:p>
      <w:pPr>
        <w:spacing w:after="0" w:line="34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Management believes that the combination of funds available through its existing Working Capital Agreements, coupled with forecasted cash flows, will provide the necessary capital resources for the company's anticipated working capital, capital additions, long-term debt repayments, and stock repurchases during the next twelve months.</w:t>
      </w:r>
    </w:p>
    <w:p>
      <w:pPr>
        <w:spacing w:after="0" w:line="200" w:lineRule="exact"/>
        <w:rPr>
          <w:sz w:val="20"/>
          <w:szCs w:val="20"/>
          <w:color w:val="auto"/>
        </w:rPr>
      </w:pPr>
    </w:p>
    <w:p>
      <w:pPr>
        <w:spacing w:after="0" w:line="29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782"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4"/>
          <w:szCs w:val="14"/>
          <w:color w:val="auto"/>
        </w:rPr>
        <w:t>Contractual Obligations and Commercial Commitments</w:t>
      </w:r>
    </w:p>
    <w:p>
      <w:pPr>
        <w:spacing w:after="0" w:line="173" w:lineRule="exact"/>
        <w:rPr>
          <w:sz w:val="20"/>
          <w:szCs w:val="20"/>
          <w:color w:val="auto"/>
        </w:rPr>
      </w:pPr>
    </w:p>
    <w:p>
      <w:pPr>
        <w:ind w:right="4980"/>
        <w:spacing w:after="0" w:line="255" w:lineRule="auto"/>
        <w:rPr>
          <w:sz w:val="20"/>
          <w:szCs w:val="20"/>
          <w:color w:val="auto"/>
        </w:rPr>
      </w:pPr>
      <w:r>
        <w:rPr>
          <w:rFonts w:ascii="Courier New" w:cs="Courier New" w:eastAsia="Courier New" w:hAnsi="Courier New"/>
          <w:sz w:val="14"/>
          <w:szCs w:val="14"/>
          <w:color w:val="auto"/>
        </w:rPr>
        <w:t>The following information is presented as of October 31, 2001, and there has been no material change in this information.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80" w:type="dxa"/>
            <w:vAlign w:val="bottom"/>
          </w:tcPr>
          <w:p>
            <w:pPr>
              <w:spacing w:after="0"/>
              <w:rPr>
                <w:sz w:val="20"/>
                <w:szCs w:val="20"/>
                <w:color w:val="auto"/>
              </w:rPr>
            </w:pPr>
            <w:r>
              <w:rPr>
                <w:rFonts w:ascii="Courier New" w:cs="Courier New" w:eastAsia="Courier New" w:hAnsi="Courier New"/>
                <w:sz w:val="14"/>
                <w:szCs w:val="14"/>
                <w:color w:val="auto"/>
              </w:rPr>
              <w:t>(Dollars in thousands)</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60" w:type="dxa"/>
            <w:vAlign w:val="bottom"/>
            <w:gridSpan w:val="3"/>
          </w:tcPr>
          <w:p>
            <w:pPr>
              <w:jc w:val="right"/>
              <w:ind w:right="148"/>
              <w:spacing w:after="0"/>
              <w:rPr>
                <w:sz w:val="20"/>
                <w:szCs w:val="20"/>
                <w:color w:val="auto"/>
              </w:rPr>
            </w:pPr>
            <w:r>
              <w:rPr>
                <w:rFonts w:ascii="Courier New" w:cs="Courier New" w:eastAsia="Courier New" w:hAnsi="Courier New"/>
                <w:sz w:val="14"/>
                <w:szCs w:val="14"/>
                <w:color w:val="auto"/>
              </w:rPr>
              <w:t>Due in Fiscal</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3280" w:type="dxa"/>
            <w:vAlign w:val="bottom"/>
          </w:tcPr>
          <w:p>
            <w:pPr>
              <w:spacing w:after="0"/>
              <w:rPr>
                <w:sz w:val="14"/>
                <w:szCs w:val="14"/>
                <w:color w:val="auto"/>
              </w:rPr>
            </w:pPr>
          </w:p>
        </w:tc>
        <w:tc>
          <w:tcPr>
            <w:tcW w:w="8260" w:type="dxa"/>
            <w:vAlign w:val="bottom"/>
            <w:gridSpan w:val="14"/>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Obligation</w:t>
            </w:r>
          </w:p>
        </w:tc>
        <w:tc>
          <w:tcPr>
            <w:tcW w:w="180" w:type="dxa"/>
            <w:vAlign w:val="bottom"/>
          </w:tcPr>
          <w:p>
            <w:pPr>
              <w:spacing w:after="0"/>
              <w:rPr>
                <w:sz w:val="14"/>
                <w:szCs w:val="14"/>
                <w:color w:val="auto"/>
              </w:rPr>
            </w:pPr>
          </w:p>
        </w:tc>
        <w:tc>
          <w:tcPr>
            <w:tcW w:w="9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2002</w:t>
            </w:r>
          </w:p>
        </w:tc>
        <w:tc>
          <w:tcPr>
            <w:tcW w:w="220" w:type="dxa"/>
            <w:vAlign w:val="bottom"/>
          </w:tcPr>
          <w:p>
            <w:pPr>
              <w:spacing w:after="0"/>
              <w:rPr>
                <w:sz w:val="14"/>
                <w:szCs w:val="14"/>
                <w:color w:val="auto"/>
              </w:rPr>
            </w:pPr>
          </w:p>
        </w:tc>
        <w:tc>
          <w:tcPr>
            <w:tcW w:w="9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2003</w:t>
            </w:r>
          </w:p>
        </w:tc>
        <w:tc>
          <w:tcPr>
            <w:tcW w:w="220" w:type="dxa"/>
            <w:vAlign w:val="bottom"/>
          </w:tcPr>
          <w:p>
            <w:pPr>
              <w:spacing w:after="0"/>
              <w:rPr>
                <w:sz w:val="14"/>
                <w:szCs w:val="14"/>
                <w:color w:val="auto"/>
              </w:rPr>
            </w:pPr>
          </w:p>
        </w:tc>
        <w:tc>
          <w:tcPr>
            <w:tcW w:w="10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2004</w:t>
            </w:r>
          </w:p>
        </w:tc>
        <w:tc>
          <w:tcPr>
            <w:tcW w:w="260" w:type="dxa"/>
            <w:vAlign w:val="bottom"/>
          </w:tcPr>
          <w:p>
            <w:pPr>
              <w:spacing w:after="0"/>
              <w:rPr>
                <w:sz w:val="14"/>
                <w:szCs w:val="14"/>
                <w:color w:val="auto"/>
              </w:rPr>
            </w:pPr>
          </w:p>
        </w:tc>
        <w:tc>
          <w:tcPr>
            <w:tcW w:w="8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2005</w:t>
            </w:r>
          </w:p>
        </w:tc>
        <w:tc>
          <w:tcPr>
            <w:tcW w:w="160" w:type="dxa"/>
            <w:vAlign w:val="bottom"/>
          </w:tcPr>
          <w:p>
            <w:pPr>
              <w:spacing w:after="0"/>
              <w:rPr>
                <w:sz w:val="14"/>
                <w:szCs w:val="14"/>
                <w:color w:val="auto"/>
              </w:rPr>
            </w:pPr>
          </w:p>
        </w:tc>
        <w:tc>
          <w:tcPr>
            <w:tcW w:w="1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2006</w:t>
            </w:r>
          </w:p>
        </w:tc>
        <w:tc>
          <w:tcPr>
            <w:tcW w:w="12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After 2006</w:t>
            </w:r>
          </w:p>
        </w:tc>
        <w:tc>
          <w:tcPr>
            <w:tcW w:w="220" w:type="dxa"/>
            <w:vAlign w:val="bottom"/>
          </w:tcPr>
          <w:p>
            <w:pPr>
              <w:spacing w:after="0"/>
              <w:rPr>
                <w:sz w:val="14"/>
                <w:szCs w:val="14"/>
                <w:color w:val="auto"/>
              </w:rPr>
            </w:pPr>
          </w:p>
        </w:tc>
        <w:tc>
          <w:tcPr>
            <w:tcW w:w="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w:t>
            </w:r>
          </w:p>
        </w:tc>
        <w:tc>
          <w:tcPr>
            <w:tcW w:w="22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28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1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513</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15,830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44</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45</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46</w:t>
            </w:r>
          </w:p>
        </w:tc>
        <w:tc>
          <w:tcPr>
            <w:tcW w:w="2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178,600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195,078</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Capital lease obligation..............</w:t>
            </w:r>
          </w:p>
        </w:tc>
        <w:tc>
          <w:tcPr>
            <w:tcW w:w="1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92</w:t>
            </w:r>
          </w:p>
        </w:tc>
        <w:tc>
          <w:tcPr>
            <w:tcW w:w="220" w:type="dxa"/>
            <w:vAlign w:val="bottom"/>
          </w:tcPr>
          <w:p>
            <w:pPr>
              <w:spacing w:after="0"/>
              <w:rPr>
                <w:sz w:val="14"/>
                <w:szCs w:val="14"/>
                <w:color w:val="auto"/>
              </w:rPr>
            </w:pP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92</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Operating leases......................</w:t>
            </w:r>
          </w:p>
        </w:tc>
        <w:tc>
          <w:tcPr>
            <w:tcW w:w="1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9,523</w:t>
            </w:r>
          </w:p>
        </w:tc>
        <w:tc>
          <w:tcPr>
            <w:tcW w:w="220" w:type="dxa"/>
            <w:vAlign w:val="bottom"/>
          </w:tcPr>
          <w:p>
            <w:pPr>
              <w:spacing w:after="0"/>
              <w:rPr>
                <w:sz w:val="14"/>
                <w:szCs w:val="14"/>
                <w:color w:val="auto"/>
              </w:rPr>
            </w:pP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7,220</w:t>
            </w:r>
          </w:p>
        </w:tc>
        <w:tc>
          <w:tcPr>
            <w:tcW w:w="22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5,075</w:t>
            </w:r>
          </w:p>
        </w:tc>
        <w:tc>
          <w:tcPr>
            <w:tcW w:w="26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3,676</w:t>
            </w:r>
          </w:p>
        </w:tc>
        <w:tc>
          <w:tcPr>
            <w:tcW w:w="16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2,527</w:t>
            </w:r>
          </w:p>
        </w:tc>
        <w:tc>
          <w:tcPr>
            <w:tcW w:w="220" w:type="dxa"/>
            <w:vAlign w:val="bottom"/>
          </w:tcPr>
          <w:p>
            <w:pPr>
              <w:spacing w:after="0"/>
              <w:rPr>
                <w:sz w:val="14"/>
                <w:szCs w:val="14"/>
                <w:color w:val="auto"/>
              </w:rPr>
            </w:pP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5,761</w:t>
            </w:r>
          </w:p>
        </w:tc>
        <w:tc>
          <w:tcPr>
            <w:tcW w:w="2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33,782</w:t>
            </w:r>
          </w:p>
        </w:tc>
      </w:tr>
      <w:tr>
        <w:trPr>
          <w:trHeight w:val="166"/>
        </w:trPr>
        <w:tc>
          <w:tcPr>
            <w:tcW w:w="3280" w:type="dxa"/>
            <w:vAlign w:val="bottom"/>
          </w:tcPr>
          <w:p>
            <w:pPr>
              <w:spacing w:after="0"/>
              <w:rPr>
                <w:sz w:val="14"/>
                <w:szCs w:val="14"/>
                <w:color w:val="auto"/>
              </w:rPr>
            </w:pPr>
          </w:p>
        </w:tc>
        <w:tc>
          <w:tcPr>
            <w:tcW w:w="11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w w:val="99"/>
              </w:rPr>
              <w:t>----------</w:t>
            </w:r>
          </w:p>
        </w:tc>
        <w:tc>
          <w:tcPr>
            <w:tcW w:w="12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Total cash obligations................</w:t>
            </w:r>
          </w:p>
        </w:tc>
        <w:tc>
          <w:tcPr>
            <w:tcW w:w="1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10,128</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23,050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5,119</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3,721</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2,573</w:t>
            </w:r>
          </w:p>
        </w:tc>
        <w:tc>
          <w:tcPr>
            <w:tcW w:w="2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184,361</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228,952</w:t>
            </w:r>
          </w:p>
        </w:tc>
      </w:tr>
      <w:tr>
        <w:trPr>
          <w:trHeight w:val="166"/>
        </w:trPr>
        <w:tc>
          <w:tcPr>
            <w:tcW w:w="3280" w:type="dxa"/>
            <w:vAlign w:val="bottom"/>
          </w:tcPr>
          <w:p>
            <w:pPr>
              <w:spacing w:after="0"/>
              <w:rPr>
                <w:sz w:val="14"/>
                <w:szCs w:val="14"/>
                <w:color w:val="auto"/>
              </w:rPr>
            </w:pPr>
          </w:p>
        </w:tc>
        <w:tc>
          <w:tcPr>
            <w:tcW w:w="11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w w:val="99"/>
              </w:rPr>
              <w:t>==========</w:t>
            </w:r>
          </w:p>
        </w:tc>
        <w:tc>
          <w:tcPr>
            <w:tcW w:w="12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jc w:val="both"/>
        <w:ind w:right="4720"/>
        <w:spacing w:after="0" w:line="252" w:lineRule="auto"/>
        <w:rPr>
          <w:sz w:val="20"/>
          <w:szCs w:val="20"/>
          <w:color w:val="auto"/>
        </w:rPr>
      </w:pPr>
      <w:r>
        <w:rPr>
          <w:rFonts w:ascii="Courier New" w:cs="Courier New" w:eastAsia="Courier New" w:hAnsi="Courier New"/>
          <w:sz w:val="14"/>
          <w:szCs w:val="14"/>
          <w:color w:val="auto"/>
        </w:rPr>
        <w:t>The company also has approximately $20 million in outstanding letters of credit at any given time as required by certain vendor contracts. The company also has guaranteed debts incurred by business partners, aggregating $1.3 million as of August 2, 2002.</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Customer Financing</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Wholesale Financing</w:t>
      </w:r>
    </w:p>
    <w:p>
      <w:pPr>
        <w:spacing w:after="0" w:line="173" w:lineRule="exact"/>
        <w:rPr>
          <w:sz w:val="20"/>
          <w:szCs w:val="20"/>
          <w:color w:val="auto"/>
        </w:rPr>
      </w:pPr>
    </w:p>
    <w:p>
      <w:pPr>
        <w:ind w:right="4820"/>
        <w:spacing w:after="0" w:line="251" w:lineRule="auto"/>
        <w:rPr>
          <w:sz w:val="20"/>
          <w:szCs w:val="20"/>
          <w:color w:val="auto"/>
        </w:rPr>
      </w:pPr>
      <w:r>
        <w:rPr>
          <w:rFonts w:ascii="Courier New" w:cs="Courier New" w:eastAsia="Courier New" w:hAnsi="Courier New"/>
          <w:sz w:val="14"/>
          <w:szCs w:val="14"/>
          <w:color w:val="auto"/>
        </w:rPr>
        <w:t>Toro Credit Company (TCC), a wholly owned finance subsidiary of the company, provides financing for selected products manufactured by Toro to Toro's North American distributors and approximately 250 domestic dealers. Independent Toro and Exmark distributors and dealers that do not finance through TCC generally finance their inventories with third party financing companies.</w:t>
      </w:r>
    </w:p>
    <w:p>
      <w:pPr>
        <w:spacing w:after="0" w:line="165" w:lineRule="exact"/>
        <w:rPr>
          <w:sz w:val="20"/>
          <w:szCs w:val="20"/>
          <w:color w:val="auto"/>
        </w:rPr>
      </w:pPr>
    </w:p>
    <w:p>
      <w:pPr>
        <w:ind w:right="4640"/>
        <w:spacing w:after="0" w:line="250" w:lineRule="auto"/>
        <w:rPr>
          <w:sz w:val="20"/>
          <w:szCs w:val="20"/>
          <w:color w:val="auto"/>
        </w:rPr>
      </w:pPr>
      <w:r>
        <w:rPr>
          <w:rFonts w:ascii="Courier New" w:cs="Courier New" w:eastAsia="Courier New" w:hAnsi="Courier New"/>
          <w:sz w:val="14"/>
          <w:szCs w:val="14"/>
          <w:color w:val="auto"/>
        </w:rPr>
        <w:t>TCC and other third party finance companies purchase selected receivables from Toro and its distributors and dealers for extended periods, which enables those customers to carry representative inventories of equipment. Downpayments are not required and, depending on the finance program for each product line, finance charges are either incurred by Toro, shared between Toro and the distributor or dealer, or paid by the distributor or dealer. A security interest is retained in the distributors' and dealers' inventories, and periodic physical checks are made of those inventories. Under the terms of the sales to distributors and dealers, finance charges are charged to distributors and dealers on outstanding balances, from the earlier of the date when product is sold to a customer, or the expiration of company-supported finance terms granted at the time of sale to the distributor or dealer, until payment is received by the third party finance company. Rates are generally fixed or based on prime rate plus a fixed percentage depending on whether the financing is for a distributor or dealer. Rates may also vary based on the product that is financed. Distributors and dealers cannot cancel purchases after goods are shipped and are responsible for payment even if the equipment is not sold to retail customers.</w:t>
      </w:r>
    </w:p>
    <w:p>
      <w:pPr>
        <w:spacing w:after="0" w:line="173" w:lineRule="exact"/>
        <w:rPr>
          <w:sz w:val="20"/>
          <w:szCs w:val="20"/>
          <w:color w:val="auto"/>
        </w:rPr>
      </w:pPr>
    </w:p>
    <w:p>
      <w:pPr>
        <w:ind w:right="4640"/>
        <w:spacing w:after="0" w:line="251" w:lineRule="auto"/>
        <w:rPr>
          <w:sz w:val="20"/>
          <w:szCs w:val="20"/>
          <w:color w:val="auto"/>
        </w:rPr>
      </w:pPr>
      <w:r>
        <w:rPr>
          <w:rFonts w:ascii="Courier New" w:cs="Courier New" w:eastAsia="Courier New" w:hAnsi="Courier New"/>
          <w:sz w:val="14"/>
          <w:szCs w:val="14"/>
          <w:color w:val="auto"/>
        </w:rPr>
        <w:t>Third party financing companies purchased $373 million of receivables of Toro financed products during the last twelve months. The outstanding receivable balance owed from the company's distributors and dealers to third party financing companies was $124.6 million on August 2, 2002. The company also enters into limited inventory repurchase agreements with third party financing companies. As of August 2, 2002, the company was contingently liable to repurchase up to $3.7 million of inventory related to receivables under these financing arrangements. The company has repurchased only immaterial amounts of inventory from third party financing companies over the past few years. However, an adverse change in retail sales could cause this situation to change and thereby require Toro to repurchase financed product.</w:t>
      </w:r>
    </w:p>
    <w:p>
      <w:pPr>
        <w:spacing w:after="0" w:line="200" w:lineRule="exact"/>
        <w:rPr>
          <w:sz w:val="20"/>
          <w:szCs w:val="20"/>
          <w:color w:val="auto"/>
        </w:rPr>
      </w:pPr>
    </w:p>
    <w:p>
      <w:pPr>
        <w:spacing w:after="0" w:line="29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1540"/>
          </w:cols>
          <w:pgMar w:left="220" w:top="947" w:right="139" w:bottom="1440" w:gutter="0" w:footer="0" w:header="0"/>
        </w:sectPr>
      </w:pPr>
    </w:p>
    <w:bookmarkStart w:id="23" w:name="page24"/>
    <w:bookmarkEnd w:id="23"/>
    <w:p>
      <w:pPr>
        <w:ind w:left="520"/>
        <w:spacing w:after="0"/>
        <w:rPr>
          <w:sz w:val="20"/>
          <w:szCs w:val="20"/>
          <w:color w:val="auto"/>
        </w:rPr>
      </w:pPr>
      <w:r>
        <w:rPr>
          <w:rFonts w:ascii="Courier New" w:cs="Courier New" w:eastAsia="Courier New" w:hAnsi="Courier New"/>
          <w:sz w:val="14"/>
          <w:szCs w:val="14"/>
          <w:color w:val="auto"/>
        </w:rPr>
        <w:t>End-User Financing</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During February 2002, the company entered into an agreement with a third party financing company to provide lease-financing options to domestic golf course and some grounds equipment customers. The purpose of the agreement is a sales and marketing tool to give end-user buyers of the company's products alternative financing options when purchasing Toro product. Under the terms of this agreement, the company could be contingently liable for a portion of the credit collection and residual realization risk on the underlying equipment for leasing transactions financed under this program. Under a provision of this agreement, if Toro maintains an investment grade credit rating, the company is not required to provide any collateral. If the company's credit rating falls below investment grade, Toro would be required to provide collateral in the form of a letter of credit, up to $5.0 million.</w:t>
      </w:r>
    </w:p>
    <w:p>
      <w:pPr>
        <w:spacing w:after="0" w:line="16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In the normal course of business, Toro has arrangements with other financial institutions to provide various forms of financing options to end customers. None of these other arrangements requires any material financial involvement by the company.</w:t>
      </w:r>
    </w:p>
    <w:p>
      <w:pPr>
        <w:spacing w:after="0" w:line="162"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Distributor Financing</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enters into long-term loan and equity investment agreements with some distribution partners. These transactions are used for expansion of the distribution partners' businesses, acquisitions, refinancing working capital agreements, or ownership changes. As of August 2, 2002, Toro has loaned and/or invested $7.5 million in some distribution companies. This amount is included in other long-term assets on the consolidated balance sheet.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Inflation</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is subject to the effects of inflation and changing prices. In management's opinion, changes in net sales and net earnings that have resulted from inflation and changing prices have not been material during the periods presented. However, there is no assurance that inflation will not materially affect the company in the future. The company attempts to deal with inflationary pressures by actively pursuing internal cost reduction efforts and introducing modest price increases.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Outlook</w:t>
      </w:r>
    </w:p>
    <w:p>
      <w:pPr>
        <w:spacing w:after="0" w:line="173"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The company anticipates sales in the fourth quarter fiscal 2002 to be even with or slightly down from the fourth quarter of fiscal 2001. Sales for the professional segment are expected to be even in the fourth quarter of fiscal</w:t>
      </w:r>
    </w:p>
    <w:p>
      <w:pPr>
        <w:spacing w:after="0" w:line="1"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2002 compared to the fourth quarter of fiscal 2001 due to continued inventory management efforts. Sales in the residential segment are expected to be down for snowthrower products in the fourth quarter compared to the fourth quarter of fiscal 2001 due to high field inventory levels entering the 2002-2003 winter season. This anticipated decrease may be offset by higher sales for the new line of Toro walk power mowers. In addition, continued benefits from "5 by Five" programs are expected to continue to improve fiscal 2002 earnings compared to fiscal 2001. Management expects sales growth in the low single digits in fiscal 2002 over fiscal 2001, and diluted earnings per share to reach $4.85 to $4.90 in fiscal 2002, before cumulative effect of accounting change, restructuring and other expense, and a one-time tax refund.</w:t>
      </w:r>
    </w:p>
    <w:p>
      <w:pPr>
        <w:spacing w:after="0" w:line="200" w:lineRule="exact"/>
        <w:rPr>
          <w:sz w:val="20"/>
          <w:szCs w:val="20"/>
          <w:color w:val="auto"/>
        </w:rPr>
      </w:pPr>
    </w:p>
    <w:p>
      <w:pPr>
        <w:spacing w:after="0" w:line="29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947" w:right="1440" w:bottom="1440" w:gutter="0" w:footer="0" w:header="0"/>
        </w:sectPr>
      </w:pPr>
    </w:p>
    <w:bookmarkStart w:id="24" w:name="page25"/>
    <w:bookmarkEnd w:id="24"/>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Quantitative and Qualitative Disclosures about Market Risk</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Toro is exposed to market risk stemming from changes in foreign currency exchange rates, interest rates, and commodity prices. Changes in these factors could cause fluctuations in the company's net earnings and cash flows. In the normal course of business, Toro actively manages its exposure to some market risks by entering into various hedging transactions, authorized under company policies that place controls on these activities. The company's hedging transactions involve the use of a variety of derivative instruments. Toro uses derivatives only to attempt to limit underlying exposure to currency fluctuations, and not for trading purposes.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Foreign Currency Exchange Rate Risk</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The company is exposed to foreign currency exchange rate risk arising from transactions in the normal course of business. Toro is subject to risk from sales and loans to wholly owned subsidiaries as well as sales to third party customers, purchases from suppliers, and bank lines of credit with creditors denominated in foreign currencies. The company manages foreign currency exchange rate exposure from anticipated sales, accounts receivable, intercompany loans, anticipated purchases, and credit obligations through the use of naturally occurring offsetting positions (borrowing in local currency) and foreign currency exchange contracts. Foreign currency exchange contracts to hedge forecasted transactions are designated as cash flow hedges with the fair value recorded in accumulated comprehensive income (loss) and as a hedge asset or liability as applicable. Once the forecasted transaction has been recognized as a sale or purchase and a related asset or liability recorded on the balance sheet, the related fair value of the derivative hedge contract is reclassified from accumulated comprehensive income (loss) into earnings. The related amounts payable to, or receivable from, the contract counter parties are included in accrued liabilities or prepaid expenses and other current assets.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following foreign currency exchange contracts held by the company have maturity dates in fiscal 2002 and 2003. All items are non-trading and stated in U.S. dollars. Certain derivative instruments the company enters into do not meet the hedging criteria of SFAS No. 133. Therefore, the fair value impact is recorded in other income, net. The average contracted rate, notional amount, value of derivative instrument in accumulated comprehensive income (loss), and fair value of derivative instrument in other income, net at August 2, 2002 were as follows:</w:t>
      </w:r>
    </w:p>
    <w:p>
      <w:pPr>
        <w:spacing w:after="0" w:line="330" w:lineRule="exact"/>
        <w:rPr>
          <w:sz w:val="20"/>
          <w:szCs w:val="20"/>
          <w:color w:val="auto"/>
        </w:rPr>
      </w:pPr>
    </w:p>
    <w:p>
      <w:pPr>
        <w:ind w:left="220" w:hanging="169"/>
        <w:spacing w:after="0"/>
        <w:tabs>
          <w:tab w:leader="none" w:pos="2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VALUE IN AVERAGE ACCUMULATED OTHER</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FAIR VALUE CONTRACTED NOTIONAL COMPREHENSIVE IMPACT DOLLARS IN THOUSANDS RATE</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AMOUNT INCOME (LOSS) GAIN (LOSS)</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 =================== ================= Buy US dollar/Sell</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Australian dollar .5424 22,856.6 259.5 (205.7) - ------------------------------</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 ---------------- ----------------- ------------------- ------</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 Buy US dollar/Sell Canadian dollar 1.5619 7,634.8 156.7 5.5 - -----</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 ---------------- ----------------- -</w:t>
      </w:r>
    </w:p>
    <w:p>
      <w:pPr>
        <w:spacing w:after="0" w:line="7" w:lineRule="exact"/>
        <w:rPr>
          <w:sz w:val="20"/>
          <w:szCs w:val="20"/>
          <w:color w:val="auto"/>
        </w:rPr>
      </w:pPr>
    </w:p>
    <w:p>
      <w:pPr>
        <w:ind w:left="220"/>
        <w:spacing w:after="0"/>
        <w:rPr>
          <w:sz w:val="20"/>
          <w:szCs w:val="20"/>
          <w:color w:val="auto"/>
        </w:rPr>
      </w:pPr>
      <w:r>
        <w:rPr>
          <w:rFonts w:ascii="Courier New" w:cs="Courier New" w:eastAsia="Courier New" w:hAnsi="Courier New"/>
          <w:sz w:val="14"/>
          <w:szCs w:val="14"/>
          <w:color w:val="auto"/>
        </w:rPr>
        <w:t>------------------ ----------------- Buy US dollar/Sell Euro .9870 33,310.0</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(181.0) 518.9 - ----------------------------------------------- ---------------</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 ----------------- ------------------- ----------------- Buy Australian</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dollar/Sell US dollar .5413 297.7 - 1.7 - -------------------------------------</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 ---------------- ----------------- ------------------- -------------</w:t>
      </w:r>
    </w:p>
    <w:p>
      <w:pPr>
        <w:spacing w:after="0" w:line="7" w:lineRule="exact"/>
        <w:rPr>
          <w:sz w:val="20"/>
          <w:szCs w:val="20"/>
          <w:color w:val="auto"/>
        </w:rPr>
      </w:pPr>
    </w:p>
    <w:p>
      <w:pPr>
        <w:ind w:left="480" w:hanging="429"/>
        <w:spacing w:after="0"/>
        <w:tabs>
          <w:tab w:leader="none" w:pos="4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Buy British pound/Sell US dollar 1.4572 400.7 21.0 -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 ----------------- Buy Euro/Sell US dollar .9396 2,442.8 (0.9) 175.7 - ----</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 ---------------- -----------------</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 ----------------- Buy Japanese yen/Sell US dollar 121.8021</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7,348.0 225.5 (17.4) - ----------------------------------------------- --------</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 ----------------- ------------------- ----------------- Buy Mexican</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peso/Sell US dollar 10.1260 6,517.7 (55.6) - - --------------------------------</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 ---------------- ----------------- ------------------- --------</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 Buy Swiss franc/Sell US dollar 1.7035 797.2 122.3 - - ---------------</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 ---------------- ----------------- -----------</w:t>
      </w:r>
    </w:p>
    <w:p>
      <w:pPr>
        <w:spacing w:after="0" w:line="7" w:lineRule="exact"/>
        <w:rPr>
          <w:sz w:val="20"/>
          <w:szCs w:val="20"/>
          <w:color w:val="auto"/>
        </w:rPr>
      </w:pPr>
    </w:p>
    <w:p>
      <w:pPr>
        <w:ind w:left="400"/>
        <w:spacing w:after="0"/>
        <w:rPr>
          <w:sz w:val="20"/>
          <w:szCs w:val="20"/>
          <w:color w:val="auto"/>
        </w:rPr>
      </w:pPr>
      <w:r>
        <w:rPr>
          <w:rFonts w:ascii="Courier New" w:cs="Courier New" w:eastAsia="Courier New" w:hAnsi="Courier New"/>
          <w:sz w:val="14"/>
          <w:szCs w:val="14"/>
          <w:color w:val="auto"/>
        </w:rPr>
        <w:t>-------- ----------------- Interest Rate Risk The company is exposed to</w:t>
      </w:r>
    </w:p>
    <w:p>
      <w:pPr>
        <w:spacing w:after="0" w:line="7" w:lineRule="exact"/>
        <w:rPr>
          <w:sz w:val="20"/>
          <w:szCs w:val="20"/>
          <w:color w:val="auto"/>
        </w:rPr>
      </w:pPr>
    </w:p>
    <w:p>
      <w:pPr>
        <w:jc w:val="center"/>
        <w:ind w:right="3339"/>
        <w:spacing w:after="0" w:line="251" w:lineRule="auto"/>
        <w:rPr>
          <w:sz w:val="20"/>
          <w:szCs w:val="20"/>
          <w:color w:val="auto"/>
        </w:rPr>
      </w:pPr>
      <w:r>
        <w:rPr>
          <w:rFonts w:ascii="Courier New" w:cs="Courier New" w:eastAsia="Courier New" w:hAnsi="Courier New"/>
          <w:sz w:val="14"/>
          <w:szCs w:val="14"/>
          <w:color w:val="auto"/>
        </w:rPr>
        <w:t>interest rate risk arising from transactions that are entered into during the normal course of business. The company's short-term debt rates are dependent upon the LIBOR rate plus an additional percentage based on the company's current borrowing level. See the company's Fiscal 2001 Annual Report on Form 10-K (Item 7A). There has been no material change in this information. Commodities Some raw materials used in the company's products are exposed to commodity price changes. Toro manages some of this risk by using long-term agreements with some vendors. The primary commodity price exposures are with aluminum, steel, and plastic resin. 25</w:t>
      </w:r>
    </w:p>
    <w:p>
      <w:pPr>
        <w:spacing w:after="0" w:line="142"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Related Party Transactions The company has entered into related party</w:t>
      </w:r>
    </w:p>
    <w:p>
      <w:pPr>
        <w:spacing w:after="0" w:line="7" w:lineRule="exact"/>
        <w:rPr>
          <w:sz w:val="20"/>
          <w:szCs w:val="20"/>
          <w:color w:val="auto"/>
        </w:rPr>
      </w:pPr>
    </w:p>
    <w:p>
      <w:pPr>
        <w:jc w:val="center"/>
        <w:ind w:left="240" w:right="80"/>
        <w:spacing w:after="0" w:line="250" w:lineRule="auto"/>
        <w:rPr>
          <w:sz w:val="20"/>
          <w:szCs w:val="20"/>
          <w:color w:val="auto"/>
        </w:rPr>
      </w:pPr>
      <w:r>
        <w:rPr>
          <w:rFonts w:ascii="Courier New" w:cs="Courier New" w:eastAsia="Courier New" w:hAnsi="Courier New"/>
          <w:sz w:val="14"/>
          <w:szCs w:val="14"/>
          <w:color w:val="auto"/>
        </w:rPr>
        <w:t>transactions. Toro sells product to a distribution company that is owned in part by an executive officer of Toro. This executive officer is currently on temporary assignment at Toro and will return to the distributorship upon completion of his assignment. In addition, Toro also sells products to companies whose executive officers are members of Toro's Board of Directors. The company believes the transactions described above between Toro and related parties are at arms-length and not material to the consolidated financial results of the company. ITEM 4. CONTROLS AND PROCEDURES Changes in Internal Controls Toro has had accounting procedures and related systems of internal control in place for many years. They are intended to provide reasonable assurance that assets are safeguarded, transactions are appropriately authorized and included in the financial records in all material aspects, and that policies and procedures are implemented and performed by qualified personnel. The company's internal audit department periodically conducts reviews of financial internal controls and reports the results to management and the audit committee. Based on these reviews, the company takes corrective action that may be necessary with regard to deficiencies and weaknesses in</w:t>
      </w:r>
    </w:p>
    <w:p>
      <w:pPr>
        <w:sectPr>
          <w:pgSz w:w="11900" w:h="16854" w:orient="portrait"/>
          <w:cols w:equalWidth="0" w:num="1">
            <w:col w:w="10239"/>
          </w:cols>
          <w:pgMar w:left="220" w:top="947" w:right="1440" w:bottom="0" w:gutter="0" w:footer="0" w:header="0"/>
        </w:sectPr>
      </w:pPr>
    </w:p>
    <w:bookmarkStart w:id="25" w:name="page26"/>
    <w:bookmarkEnd w:id="25"/>
    <w:p>
      <w:pPr>
        <w:jc w:val="center"/>
        <w:ind w:right="3559"/>
        <w:spacing w:after="0" w:line="252" w:lineRule="auto"/>
        <w:rPr>
          <w:sz w:val="20"/>
          <w:szCs w:val="20"/>
          <w:color w:val="auto"/>
        </w:rPr>
      </w:pPr>
      <w:r>
        <w:rPr>
          <w:rFonts w:ascii="Courier New" w:cs="Courier New" w:eastAsia="Courier New" w:hAnsi="Courier New"/>
          <w:sz w:val="14"/>
          <w:szCs w:val="14"/>
          <w:color w:val="auto"/>
        </w:rPr>
        <w:t>internal controls. For the quarter ended August 2, 2002, there have been no significant changes in internal controls or other factors that could significantly affect these controls, and the company has not identified any significant weaknesses in internal controls. 26</w:t>
      </w:r>
    </w:p>
    <w:p>
      <w:pPr>
        <w:sectPr>
          <w:pgSz w:w="11900" w:h="16838" w:orient="portrait"/>
          <w:cols w:equalWidth="0" w:num="1">
            <w:col w:w="10019"/>
          </w:cols>
          <w:pgMar w:left="440" w:top="141" w:right="1440" w:bottom="1440" w:gutter="0" w:footer="0" w:header="0"/>
        </w:sectPr>
      </w:pPr>
    </w:p>
    <w:bookmarkStart w:id="26" w:name="page27"/>
    <w:bookmarkEnd w:id="26"/>
    <w:p>
      <w:pPr>
        <w:jc w:val="center"/>
        <w:ind w:right="3379"/>
        <w:spacing w:after="0" w:line="250" w:lineRule="auto"/>
        <w:rPr>
          <w:sz w:val="20"/>
          <w:szCs w:val="20"/>
          <w:color w:val="auto"/>
        </w:rPr>
      </w:pPr>
      <w:r>
        <w:rPr>
          <w:rFonts w:ascii="Courier New" w:cs="Courier New" w:eastAsia="Courier New" w:hAnsi="Courier New"/>
          <w:sz w:val="14"/>
          <w:szCs w:val="14"/>
          <w:color w:val="auto"/>
        </w:rPr>
        <w:t>PART II. OTHER INFORMATION Item 6. Exhibits and Reports on Form 8-K (a) Exhibits. 3(i) and 4(a) Restated Certificate of Incorporation of Registrant (incorporated by reference to Exhibit 3(i) and 4(a) to Registrant's Annual Report on Form 10-K for the fiscal year ended October 31, 2001). 3(ii) and 4(b) Bylaws of Registrant (incorporated by reference to Exhibit 3(ii) and 4(d) to Registrant's Quarterly Report on Form 10-Q for the quarter ended August 3, 2001). 4(c) Specimen form of Common Stock certificate (incorporated by reference to Exhibit 4(c) to Registrant's Registration Statement on Form S-8, Registration No. 2-94417). 4(d) Rights Agreement dated as of May 20, 1998, between Registrant and Wells Fargo Bank Minnesota, National Association relating to rights to purchase Series B Junior Participating Voting Preferred Stock, as amended (incorporated by reference to Registrant's Current Report on Form 8-K dated May 27, 1998, Commission File No. 1-8649). 4(e) Indenture dated as of January 31, 1997, between Registrant and First National Trust Association, as Trustee, relating to the Registrant's 7.125% Notes due June 15, 2007 and its 7.80% Debentures due June 15, 2027 (incorporated by reference to Exhibit 4(a) to Registrant's Current Report on Form 8-K for June 24, 1997, Commission File No. 1-8649). 10(a) Form of Employment Agreement in effect for executive officers of Registrant (incorporated by reference to Exhibit 10(a) to Registrant's Quarterly Report on Form 10-Q for the quarter ended July 30, 1999).* 10(b) The Toro Company Directors Stock Plan (incorporated by reference to Exhibit 10(b) to Registrant's Quarterly Report on Form 10-Q for the quarter ended April 28, 2000).* 10(c) The Toro Company Annual Management Incentive Plan</w:t>
      </w:r>
    </w:p>
    <w:p>
      <w:pPr>
        <w:spacing w:after="0" w:line="10" w:lineRule="exact"/>
        <w:rPr>
          <w:sz w:val="20"/>
          <w:szCs w:val="20"/>
          <w:color w:val="auto"/>
        </w:rPr>
      </w:pPr>
    </w:p>
    <w:p>
      <w:pPr>
        <w:ind w:left="40" w:right="3419" w:firstLine="123"/>
        <w:spacing w:after="0" w:line="250" w:lineRule="auto"/>
        <w:tabs>
          <w:tab w:leader="none" w:pos="428"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officers of Registrant (incorporated by reference to the appendix to Registrant's Proxy Statement on Form DEF 14A for the fiscal year ended October</w:t>
      </w:r>
    </w:p>
    <w:p>
      <w:pPr>
        <w:jc w:val="center"/>
        <w:ind w:left="40" w:right="3419" w:firstLine="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31, 2001).* 10(d) The Toro Company 1989 Stock Option Plan (incorporated by reference to Exhibit 10(e) to Registrant's Quarterly Report on Form 10-Q for the quarter ended July 30, 1999).* 10(e) The Toro Company 1993 Stock Option Plan (incorporated by reference to Exhibit 10(f) to Registrant's Quarterly Report on Form 10-Q for the quarter ended July 30, 1999).* 10(f) The Toro Company Performance Share Plan (incorporated by reference to the appendix to Registrant's Proxy Statement on Form DEF 14A for the fiscal year ended October 31, 2001).* 10(g) The Toro Company 2000 Stock Option Plan (incorporated by reference to the appendix to Registrant's Proxy Statement on Form DEF 14A for the fiscal year ended October 31, 2001).* 10(h) The Toro Company Supplemental Management Retirement Plan (incorporated by reference to Exhibit 10(h) to Registrant's Quarterly Report on Form 10-Q for the quarter ended April 28, 2000).* 10(i) The Toro Company Supplemental Retirement Plan (incorporated by reference to Exhibit 10(i) to Registrant's Quarterly Report on Form 10-Q for</w:t>
      </w:r>
    </w:p>
    <w:p>
      <w:pPr>
        <w:spacing w:after="0" w:line="6"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the quarter ended July 30, 1999).* 27</w:t>
      </w:r>
    </w:p>
    <w:p>
      <w:pPr>
        <w:sectPr>
          <w:pgSz w:w="11900" w:h="16838" w:orient="portrait"/>
          <w:cols w:equalWidth="0" w:num="1">
            <w:col w:w="10179"/>
          </w:cols>
          <w:pgMar w:left="280" w:top="285" w:right="1440" w:bottom="1440" w:gutter="0" w:footer="0" w:header="0"/>
        </w:sectPr>
      </w:pPr>
    </w:p>
    <w:bookmarkStart w:id="27" w:name="page28"/>
    <w:bookmarkEnd w:id="27"/>
    <w:p>
      <w:pPr>
        <w:jc w:val="center"/>
        <w:ind w:right="3379"/>
        <w:spacing w:after="0" w:line="250" w:lineRule="auto"/>
        <w:rPr>
          <w:sz w:val="20"/>
          <w:szCs w:val="20"/>
          <w:color w:val="auto"/>
        </w:rPr>
      </w:pPr>
      <w:r>
        <w:rPr>
          <w:rFonts w:ascii="Courier New" w:cs="Courier New" w:eastAsia="Courier New" w:hAnsi="Courier New"/>
          <w:sz w:val="14"/>
          <w:szCs w:val="14"/>
          <w:color w:val="auto"/>
        </w:rPr>
        <w:t>10(j) The Toro Company Chief Executive Officer Succession Incentive Award Agreement. 10(k) The Toro Company Deferred Compensation Plan for Officers (incorporated by reference to Exhibit 10(k) to Registrant's Quarterly Report on Form 10-Q for the quarter ended July 28, 2000).* 10(l) The Toro Company Deferred Compensation Plan for Non-Employee Directors (incorporated by reference to Exhibit 10(l) to Registrant's Quarterly Report on Form 10-Q for the quarter ended July 28, 2000).* 10(m) The Toro Company 2000 Directors Stock Plan (incorporated by reference to Exhibit 10(m) to Registrant's Quarterly Report on Form 10-Q for the quarter ended July 28, 2000).* 99.1 SEC Order Certification of Chief Executive Officer. 99.2 SEC Order Certification of Chief Financial Officer. 99.3 Section 906 Certification of Chief Executive Officer. 99.4 Section 906 Certification of Chief Financial Officer. *Management contract or compensatory plan or arrangement required to be filed as an exhibit to this Quarterly Report on Form 10-Q pursuant to Item 14(c). (b) Reports on Form 8-K None. 28</w:t>
      </w:r>
    </w:p>
    <w:p>
      <w:pPr>
        <w:sectPr>
          <w:pgSz w:w="11900" w:h="16838" w:orient="portrait"/>
          <w:cols w:equalWidth="0" w:num="1">
            <w:col w:w="10179"/>
          </w:cols>
          <w:pgMar w:left="280" w:top="285" w:right="1440" w:bottom="1440" w:gutter="0" w:footer="0" w:header="0"/>
        </w:sectPr>
      </w:pPr>
    </w:p>
    <w:bookmarkStart w:id="28" w:name="page29"/>
    <w:bookmarkEnd w:id="28"/>
    <w:p>
      <w:pPr>
        <w:jc w:val="center"/>
        <w:ind w:right="3379"/>
        <w:spacing w:after="0" w:line="250" w:lineRule="auto"/>
        <w:rPr>
          <w:sz w:val="20"/>
          <w:szCs w:val="20"/>
          <w:color w:val="auto"/>
        </w:rPr>
      </w:pPr>
      <w:r>
        <w:rPr>
          <w:rFonts w:ascii="Courier New" w:cs="Courier New" w:eastAsia="Courier New" w:hAnsi="Courier New"/>
          <w:sz w:val="14"/>
          <w:szCs w:val="14"/>
          <w:color w:val="auto"/>
        </w:rPr>
        <w:t>SIGNATURES Pursuant to the requirements of the Securities Exchange Act of 1934, the registrant has duly caused this report to be signed on its behalf by the undersigned thereunto duly authorized. THE TORO COMPANY (Registrant) Date: September 13, 2002 By /s/ Stephen P. Wolfe ---------------------------------</w:t>
      </w:r>
    </w:p>
    <w:p>
      <w:pPr>
        <w:spacing w:after="0" w:line="2" w:lineRule="exact"/>
        <w:rPr>
          <w:sz w:val="20"/>
          <w:szCs w:val="20"/>
          <w:color w:val="auto"/>
        </w:rPr>
      </w:pPr>
    </w:p>
    <w:p>
      <w:pPr>
        <w:jc w:val="center"/>
        <w:ind w:right="3379"/>
        <w:spacing w:after="0" w:line="250" w:lineRule="auto"/>
        <w:rPr>
          <w:sz w:val="20"/>
          <w:szCs w:val="20"/>
          <w:color w:val="auto"/>
        </w:rPr>
      </w:pPr>
      <w:r>
        <w:rPr>
          <w:rFonts w:ascii="Courier New" w:cs="Courier New" w:eastAsia="Courier New" w:hAnsi="Courier New"/>
          <w:sz w:val="14"/>
          <w:szCs w:val="14"/>
          <w:color w:val="auto"/>
        </w:rPr>
        <w:t>Stephen P. Wolfe Vice President, Finance Treasurer and Chief Financial Officer (Principal Financial Officer) CERTIFICATIONS I, Kendrick B. Melrose, certify that: 1. I have reviewed this quarterly report on Form 10-Q of The Toro Company; 2. 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 3. 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 /s/ Kendrick B. Melrose ------------------------------------- Kendrick</w:t>
      </w:r>
    </w:p>
    <w:p>
      <w:pPr>
        <w:spacing w:after="0" w:line="5" w:lineRule="exact"/>
        <w:rPr>
          <w:sz w:val="20"/>
          <w:szCs w:val="20"/>
          <w:color w:val="auto"/>
        </w:rPr>
      </w:pPr>
    </w:p>
    <w:p>
      <w:pPr>
        <w:jc w:val="center"/>
        <w:ind w:right="3379"/>
        <w:spacing w:after="0" w:line="250" w:lineRule="auto"/>
        <w:rPr>
          <w:sz w:val="20"/>
          <w:szCs w:val="20"/>
          <w:color w:val="auto"/>
        </w:rPr>
      </w:pPr>
      <w:r>
        <w:rPr>
          <w:rFonts w:ascii="Courier New" w:cs="Courier New" w:eastAsia="Courier New" w:hAnsi="Courier New"/>
          <w:sz w:val="14"/>
          <w:szCs w:val="14"/>
          <w:color w:val="auto"/>
        </w:rPr>
        <w:t>B. Melrose Chairman and Chief Executive Officer (Principal Executive Officer) September 13, 2002 I, Stephen P. Wolfe, certify that: 1. I have reviewed this quarterly report on Form 10-Q of The Toro Company; 2. 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 3. 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 /s/ Stephen P. Wolfe ------------------------------------- Stephen P. Wolfe Vice President, Finance Treasurer and Chief Financial Officer (Principal Financial</w:t>
      </w:r>
    </w:p>
    <w:p>
      <w:pPr>
        <w:spacing w:after="0" w:line="6"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Officer) September 13, 2002 29</w:t>
      </w:r>
    </w:p>
    <w:p>
      <w:pPr>
        <w:sectPr>
          <w:pgSz w:w="11900" w:h="16838" w:orient="portrait"/>
          <w:cols w:equalWidth="0" w:num="1">
            <w:col w:w="10179"/>
          </w:cols>
          <w:pgMar w:left="280" w:top="285" w:right="1440" w:bottom="1440" w:gutter="0" w:footer="0" w:header="0"/>
        </w:sectPr>
      </w:pPr>
    </w:p>
    <w:bookmarkStart w:id="29" w:name="page30"/>
    <w:bookmarkEnd w:id="29"/>
    <w:p>
      <w:pPr>
        <w:jc w:val="right"/>
        <w:ind w:right="3339"/>
        <w:spacing w:after="0"/>
        <w:rPr>
          <w:sz w:val="20"/>
          <w:szCs w:val="20"/>
          <w:color w:val="auto"/>
        </w:rPr>
      </w:pPr>
      <w:r>
        <w:rPr>
          <w:rFonts w:ascii="Courier New" w:cs="Courier New" w:eastAsia="Courier New" w:hAnsi="Courier New"/>
          <w:sz w:val="14"/>
          <w:szCs w:val="14"/>
          <w:color w:val="auto"/>
        </w:rPr>
        <w:t>Exhibit 10(j)</w:t>
      </w:r>
    </w:p>
    <w:p>
      <w:pPr>
        <w:spacing w:after="0" w:line="338"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CHIEF EXECUTIVE OFFICER SUCCESSION INCENTIVE AWARD AGREEMENT</w:t>
      </w:r>
    </w:p>
    <w:p>
      <w:pPr>
        <w:spacing w:after="0" w:line="338" w:lineRule="exact"/>
        <w:rPr>
          <w:sz w:val="20"/>
          <w:szCs w:val="20"/>
          <w:color w:val="auto"/>
        </w:rPr>
      </w:pPr>
    </w:p>
    <w:p>
      <w:pPr>
        <w:ind w:left="360" w:right="3379" w:firstLine="474"/>
        <w:spacing w:after="0" w:line="250" w:lineRule="auto"/>
        <w:rPr>
          <w:sz w:val="20"/>
          <w:szCs w:val="20"/>
          <w:color w:val="auto"/>
        </w:rPr>
      </w:pPr>
      <w:r>
        <w:rPr>
          <w:rFonts w:ascii="Courier New" w:cs="Courier New" w:eastAsia="Courier New" w:hAnsi="Courier New"/>
          <w:sz w:val="14"/>
          <w:szCs w:val="14"/>
          <w:color w:val="auto"/>
        </w:rPr>
        <w:t>AGREEMENT ("Agreement") dated as of July 31, 1995, as amended July 31, 1997, July 31,1998 and July 18, 2002, by and between The Toro Company, a Delaware corporation (the "Company"), and Kendrick B. Melrose, its Chief</w:t>
      </w:r>
    </w:p>
    <w:p>
      <w:pPr>
        <w:spacing w:after="0" w:line="1"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Executive Officer ("Mr. Melrose"), pursuant to which The Toro Company Chief</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Executive Officer Succession Plan (the "Plan") is implemented.</w:t>
      </w:r>
    </w:p>
    <w:p>
      <w:pPr>
        <w:spacing w:after="0" w:line="173" w:lineRule="exact"/>
        <w:rPr>
          <w:sz w:val="20"/>
          <w:szCs w:val="20"/>
          <w:color w:val="auto"/>
        </w:rPr>
      </w:pPr>
    </w:p>
    <w:p>
      <w:pPr>
        <w:ind w:left="3200" w:hanging="780"/>
        <w:spacing w:after="0"/>
        <w:tabs>
          <w:tab w:leader="none" w:pos="3200" w:val="left"/>
        </w:tabs>
        <w:numPr>
          <w:ilvl w:val="2"/>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GRANT OF AWARD.</w:t>
      </w:r>
    </w:p>
    <w:p>
      <w:pPr>
        <w:spacing w:after="0" w:line="172" w:lineRule="exact"/>
        <w:rPr>
          <w:rFonts w:ascii="Courier New" w:cs="Courier New" w:eastAsia="Courier New" w:hAnsi="Courier New"/>
          <w:sz w:val="14"/>
          <w:szCs w:val="14"/>
          <w:color w:val="auto"/>
        </w:rPr>
      </w:pPr>
    </w:p>
    <w:p>
      <w:pPr>
        <w:jc w:val="both"/>
        <w:ind w:right="3339" w:firstLine="818"/>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 GRANT OF RESTRICTED STOCK. The Company hereby grants to Mr. Melrose the number of whole shares of Common Stock having an aggregate fair market value of $500,000 on July 31, 1995 (the "Restricted Stock"), subject to forfeiture or</w:t>
      </w:r>
    </w:p>
    <w:p>
      <w:pPr>
        <w:spacing w:after="0" w:line="1" w:lineRule="exact"/>
        <w:rPr>
          <w:rFonts w:ascii="Courier New" w:cs="Courier New" w:eastAsia="Courier New" w:hAnsi="Courier New"/>
          <w:sz w:val="14"/>
          <w:szCs w:val="14"/>
          <w:color w:val="auto"/>
        </w:rPr>
      </w:pPr>
    </w:p>
    <w:p>
      <w:pPr>
        <w:jc w:val="center"/>
        <w:ind w:right="3339" w:firstLine="12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reduction of the number of shares in the event performance goals set forth in Subsection 2.a.i(A) (the "Performance Goals") are not achieved and to the other terms and conditions of the Plan; provided however that in the event the fair market value of the Common Stock on the date of vesting of the Restricted Stock is less than the fair market value on July 31, 1995, the Company shall make an aggregate payment to Mr. Melrose of the difference between the fair market value on the date of vesting of the Restricted Stock and the fair market value on July 31, 1995. Fair market value shall mean the closing price of the Common Stock on the New York Stock Exchange as reported in The Wall Street Journal.</w:t>
      </w:r>
    </w:p>
    <w:p>
      <w:pPr>
        <w:spacing w:after="0" w:line="163" w:lineRule="exact"/>
        <w:rPr>
          <w:rFonts w:ascii="Courier New" w:cs="Courier New" w:eastAsia="Courier New" w:hAnsi="Courier New"/>
          <w:sz w:val="14"/>
          <w:szCs w:val="14"/>
          <w:color w:val="auto"/>
        </w:rPr>
      </w:pPr>
    </w:p>
    <w:p>
      <w:pPr>
        <w:ind w:left="100" w:right="3419" w:firstLine="904"/>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b. GRANT OF PERFORMANCE UNITS AND ANNUITY PURCHASE. Subject to the terms and conditions of the Plan and this Agreement, the Company hereby grants to Mr. Melrose performance units equal to the number of whole shares of Common Stock having an aggregate fair market value of $500,000 on July 31, 1995 (the</w:t>
      </w:r>
    </w:p>
    <w:p>
      <w:pPr>
        <w:spacing w:after="0" w:line="2"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"Performance Units"), which Performance Units shall be subject to forfeiture or</w:t>
      </w:r>
    </w:p>
    <w:p>
      <w:pPr>
        <w:spacing w:after="0" w:line="7" w:lineRule="exact"/>
        <w:rPr>
          <w:sz w:val="20"/>
          <w:szCs w:val="20"/>
          <w:color w:val="auto"/>
        </w:rPr>
      </w:pPr>
    </w:p>
    <w:p>
      <w:pPr>
        <w:jc w:val="center"/>
        <w:ind w:left="240" w:right="40"/>
        <w:spacing w:after="0" w:line="251" w:lineRule="auto"/>
        <w:rPr>
          <w:sz w:val="20"/>
          <w:szCs w:val="20"/>
          <w:color w:val="auto"/>
        </w:rPr>
      </w:pPr>
      <w:r>
        <w:rPr>
          <w:rFonts w:ascii="Courier New" w:cs="Courier New" w:eastAsia="Courier New" w:hAnsi="Courier New"/>
          <w:sz w:val="14"/>
          <w:szCs w:val="14"/>
          <w:color w:val="auto"/>
        </w:rPr>
        <w:t>reduction in the event the Performance Goals set forth in the Plan and in Subsection 2.a.i(A) hereof are not achieved and to the other terms and conditions of the Plan and this Agreement. Each Performance Unit shall have a value equal to the fair market value of one share of Common Stock, from time to time, provided however that the value shall not be less than the fair market value of one share of Common Stock on July 31, 1995. Performance Units shall be evidenced by this Agreement. An amount equal to the aggregate value of the Performance Units remaining at the date of Mr. Melrose's retirement, after forfeiture, if any, shall be utilized by the Company to purchase a retirement annuity payable to Mr. Melrose until his 75th birthday, or to his estate or beneficiaries, and for no other purpose, subject to the condition that Mr. Melrose enter into and comply with the terms and conditions of a noncompetition agreement, in accordance with Subsections 1.c. and 2.b. hereof.</w:t>
      </w:r>
    </w:p>
    <w:p>
      <w:pPr>
        <w:spacing w:after="0" w:line="163" w:lineRule="exact"/>
        <w:rPr>
          <w:sz w:val="20"/>
          <w:szCs w:val="20"/>
          <w:color w:val="auto"/>
        </w:rPr>
      </w:pPr>
    </w:p>
    <w:p>
      <w:pPr>
        <w:jc w:val="both"/>
        <w:ind w:right="3339" w:firstLine="818"/>
        <w:spacing w:after="0" w:line="250" w:lineRule="auto"/>
        <w:rPr>
          <w:sz w:val="20"/>
          <w:szCs w:val="20"/>
          <w:color w:val="auto"/>
        </w:rPr>
      </w:pPr>
      <w:r>
        <w:rPr>
          <w:rFonts w:ascii="Courier New" w:cs="Courier New" w:eastAsia="Courier New" w:hAnsi="Courier New"/>
          <w:sz w:val="14"/>
          <w:szCs w:val="14"/>
          <w:color w:val="auto"/>
        </w:rPr>
        <w:t>c. POST-RETIREMENT CONSULTING AND NONCOMPETITION AGREEMENT. Subject to the terms and conditions of the Plan and this Agreement, the Company shall enter into a post-retirement consulting and noncompetition agreement with Mr. Melrose, providing for the payment of an aggregate amount of up to $500,000, which amount</w:t>
      </w:r>
    </w:p>
    <w:p>
      <w:pPr>
        <w:spacing w:after="0" w:line="2" w:lineRule="exact"/>
        <w:rPr>
          <w:sz w:val="20"/>
          <w:szCs w:val="20"/>
          <w:color w:val="auto"/>
        </w:rPr>
      </w:pPr>
    </w:p>
    <w:p>
      <w:pPr>
        <w:jc w:val="center"/>
        <w:ind w:left="240" w:right="80"/>
        <w:spacing w:after="0" w:line="252" w:lineRule="auto"/>
        <w:rPr>
          <w:sz w:val="20"/>
          <w:szCs w:val="20"/>
          <w:color w:val="auto"/>
        </w:rPr>
      </w:pPr>
      <w:r>
        <w:rPr>
          <w:rFonts w:ascii="Courier New" w:cs="Courier New" w:eastAsia="Courier New" w:hAnsi="Courier New"/>
          <w:sz w:val="14"/>
          <w:szCs w:val="14"/>
          <w:color w:val="auto"/>
        </w:rPr>
        <w:t>shall be adjusted not less than once annually to reflect increases in the consumer price index and which may be utilized to pay expenses of office and support services for Mr. Melrose for a period of five years following the date of his retirement.</w:t>
      </w:r>
    </w:p>
    <w:p>
      <w:pPr>
        <w:sectPr>
          <w:pgSz w:w="11900" w:h="16838" w:orient="portrait"/>
          <w:cols w:equalWidth="0" w:num="1">
            <w:col w:w="10239"/>
          </w:cols>
          <w:pgMar w:left="220" w:top="473" w:right="1440" w:bottom="1440" w:gutter="0" w:footer="0" w:header="0"/>
        </w:sectPr>
      </w:pPr>
    </w:p>
    <w:bookmarkStart w:id="30" w:name="page31"/>
    <w:bookmarkEnd w:id="30"/>
    <w:p>
      <w:pPr>
        <w:ind w:left="2340" w:hanging="782"/>
        <w:spacing w:after="0"/>
        <w:tabs>
          <w:tab w:leader="none" w:pos="2340" w:val="left"/>
        </w:tabs>
        <w:numPr>
          <w:ilvl w:val="1"/>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TERMS, CONDITIONS AND RESTRICTIONS.</w:t>
      </w:r>
    </w:p>
    <w:p>
      <w:pPr>
        <w:spacing w:after="0" w:line="172" w:lineRule="exact"/>
        <w:rPr>
          <w:rFonts w:ascii="Courier New" w:cs="Courier New" w:eastAsia="Courier New" w:hAnsi="Courier New"/>
          <w:sz w:val="14"/>
          <w:szCs w:val="14"/>
          <w:color w:val="auto"/>
        </w:rPr>
      </w:pPr>
    </w:p>
    <w:p>
      <w:pPr>
        <w:ind w:left="440" w:right="3339" w:firstLine="345"/>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 RESTRICTED STOCK AND PERFORMANCE UNIT PERFORMANCE GOAL RESTRICTIONS. The obligation of the Company to deliver certificates representing the</w:t>
      </w:r>
    </w:p>
    <w:p>
      <w:pPr>
        <w:spacing w:after="0" w:line="1" w:lineRule="exact"/>
        <w:rPr>
          <w:sz w:val="20"/>
          <w:szCs w:val="20"/>
          <w:color w:val="auto"/>
        </w:rPr>
      </w:pPr>
    </w:p>
    <w:p>
      <w:pPr>
        <w:jc w:val="center"/>
        <w:ind w:right="3339"/>
        <w:spacing w:after="0" w:line="252" w:lineRule="auto"/>
        <w:rPr>
          <w:sz w:val="20"/>
          <w:szCs w:val="20"/>
          <w:color w:val="auto"/>
        </w:rPr>
      </w:pPr>
      <w:r>
        <w:rPr>
          <w:rFonts w:ascii="Courier New" w:cs="Courier New" w:eastAsia="Courier New" w:hAnsi="Courier New"/>
          <w:sz w:val="14"/>
          <w:szCs w:val="14"/>
          <w:color w:val="auto"/>
        </w:rPr>
        <w:t>Restricted Stock granted hereunder and to utilize the aggregate value of the Performance Units to purchase a retirement annuity shall be subject to the terms, conditions and restrictions set forth in this Subsection 2.a.</w:t>
      </w:r>
    </w:p>
    <w:p>
      <w:pPr>
        <w:spacing w:after="0" w:line="163" w:lineRule="exact"/>
        <w:rPr>
          <w:sz w:val="20"/>
          <w:szCs w:val="20"/>
          <w:color w:val="auto"/>
        </w:rPr>
      </w:pPr>
    </w:p>
    <w:p>
      <w:pPr>
        <w:ind w:right="3339" w:firstLine="1765"/>
        <w:spacing w:after="0" w:line="250" w:lineRule="auto"/>
        <w:rPr>
          <w:sz w:val="20"/>
          <w:szCs w:val="20"/>
          <w:color w:val="auto"/>
        </w:rPr>
      </w:pPr>
      <w:r>
        <w:rPr>
          <w:rFonts w:ascii="Courier New" w:cs="Courier New" w:eastAsia="Courier New" w:hAnsi="Courier New"/>
          <w:sz w:val="14"/>
          <w:szCs w:val="14"/>
          <w:color w:val="auto"/>
        </w:rPr>
        <w:t>i. VESTING OF RESTRICTED STOCK AND PERFORMANCE UNITS. Mr. Melrose's right to receive the Restricted Stock and the value of the Performance Units shall be subject to the vesting requirements set forth in this Subsection 2.a.i. and to the achievement by Mr. Melrose of the Performance Goals set forth</w:t>
      </w:r>
    </w:p>
    <w:p>
      <w:pPr>
        <w:spacing w:after="0" w:line="2" w:lineRule="exact"/>
        <w:rPr>
          <w:sz w:val="20"/>
          <w:szCs w:val="20"/>
          <w:color w:val="auto"/>
        </w:rPr>
      </w:pPr>
    </w:p>
    <w:p>
      <w:pPr>
        <w:jc w:val="center"/>
        <w:ind w:right="3339"/>
        <w:spacing w:after="0" w:line="251" w:lineRule="auto"/>
        <w:rPr>
          <w:sz w:val="20"/>
          <w:szCs w:val="20"/>
          <w:color w:val="auto"/>
        </w:rPr>
      </w:pPr>
      <w:r>
        <w:rPr>
          <w:rFonts w:ascii="Courier New" w:cs="Courier New" w:eastAsia="Courier New" w:hAnsi="Courier New"/>
          <w:sz w:val="14"/>
          <w:szCs w:val="14"/>
          <w:color w:val="auto"/>
        </w:rPr>
        <w:t>in Subsection 2.a.i.(A) hereof not later than the last day of the period specified to achieve such performance (the "Restricted Period"). Upon achievement of a Performance Goal within an applicable Restricted Period, the restrictions shall lapse with respect to the specified portion of Restricted Stock, which specified portion shall vest and become nonforfeitable. Upon achievement of a Performance Goal within an applicable Restricted Period, the restrictions shall lapse with respect to the specified portion of Performance Units, which specified portion shall vest and become nonforfeitable, subject to the further condition that Mr. Melrose enter into and comply with the terms and conditions of a noncompetition agreement in accordance with Subsections 1.c and 2.b. If Mr. Melrose does not enter into a noncompetition agreement or does not comply with the terms and conditions of such a noncompetition agreement, then Mr. Melrose shall forfeit the value of the Performance Units or, if a retirement annuity has been acquired by the Company, the retirement annuity.</w:t>
      </w:r>
    </w:p>
    <w:p>
      <w:pPr>
        <w:spacing w:after="0" w:line="328" w:lineRule="exact"/>
        <w:rPr>
          <w:sz w:val="20"/>
          <w:szCs w:val="20"/>
          <w:color w:val="auto"/>
        </w:rPr>
      </w:pPr>
    </w:p>
    <w:p>
      <w:pPr>
        <w:jc w:val="both"/>
        <w:ind w:left="3500" w:right="3719" w:hanging="736"/>
        <w:spacing w:after="0" w:line="250" w:lineRule="auto"/>
        <w:tabs>
          <w:tab w:leader="none" w:pos="3543"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table sets forth the Performance Goals, the schedule for</w:t>
      </w:r>
    </w:p>
    <w:p>
      <w:pPr>
        <w:spacing w:after="0" w:line="1"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achievement of each Performance Goal and the</w:t>
      </w:r>
    </w:p>
    <w:p>
      <w:pPr>
        <w:spacing w:after="0" w:line="7"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portion of Restricted Stock and Performance</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Units in which rights vest upon such</w:t>
      </w:r>
    </w:p>
    <w:p>
      <w:pPr>
        <w:spacing w:after="0" w:line="7" w:lineRule="exact"/>
        <w:rPr>
          <w:sz w:val="20"/>
          <w:szCs w:val="20"/>
          <w:color w:val="auto"/>
        </w:rPr>
      </w:pPr>
    </w:p>
    <w:p>
      <w:pPr>
        <w:ind w:left="4480"/>
        <w:spacing w:after="0"/>
        <w:rPr>
          <w:sz w:val="20"/>
          <w:szCs w:val="20"/>
          <w:color w:val="auto"/>
        </w:rPr>
      </w:pPr>
      <w:r>
        <w:rPr>
          <w:rFonts w:ascii="Courier New" w:cs="Courier New" w:eastAsia="Courier New" w:hAnsi="Courier New"/>
          <w:sz w:val="14"/>
          <w:szCs w:val="14"/>
          <w:color w:val="auto"/>
        </w:rPr>
        <w:t>achievement.</w:t>
      </w:r>
    </w:p>
    <w:p>
      <w:pPr>
        <w:sectPr>
          <w:pgSz w:w="11900" w:h="16838" w:orient="portrait"/>
          <w:cols w:equalWidth="0" w:num="1">
            <w:col w:w="10239"/>
          </w:cols>
          <w:pgMar w:left="220" w:top="782" w:right="1440" w:bottom="1440" w:gutter="0" w:footer="0" w:header="0"/>
        </w:sectPr>
      </w:pPr>
    </w:p>
    <w:p>
      <w:pPr>
        <w:spacing w:after="0" w:line="173" w:lineRule="exact"/>
        <w:rPr>
          <w:sz w:val="20"/>
          <w:szCs w:val="20"/>
          <w:color w:val="auto"/>
        </w:rPr>
      </w:pPr>
    </w:p>
    <w:p>
      <w:pPr>
        <w:ind w:right="540" w:firstLine="42"/>
        <w:spacing w:after="0" w:line="255" w:lineRule="auto"/>
        <w:rPr>
          <w:sz w:val="20"/>
          <w:szCs w:val="20"/>
          <w:color w:val="auto"/>
        </w:rPr>
      </w:pPr>
      <w:r>
        <w:rPr>
          <w:rFonts w:ascii="Courier New" w:cs="Courier New" w:eastAsia="Courier New" w:hAnsi="Courier New"/>
          <w:sz w:val="14"/>
          <w:szCs w:val="14"/>
          <w:color w:val="auto"/>
        </w:rPr>
        <w:t>Performance Goal to be Achieved</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firstLine="43"/>
        <w:spacing w:after="0" w:line="251" w:lineRule="auto"/>
        <w:rPr>
          <w:sz w:val="20"/>
          <w:szCs w:val="20"/>
          <w:color w:val="auto"/>
        </w:rPr>
      </w:pPr>
      <w:r>
        <w:rPr>
          <w:rFonts w:ascii="Courier New" w:cs="Courier New" w:eastAsia="Courier New" w:hAnsi="Courier New"/>
          <w:sz w:val="14"/>
          <w:szCs w:val="14"/>
          <w:color w:val="auto"/>
        </w:rPr>
        <w:t>Restricted Period (July 31, 1995 through earlier of date shown or Goal Achievement)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Portion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Shares of Re-</w:t>
      </w:r>
    </w:p>
    <w:p>
      <w:pPr>
        <w:spacing w:after="0" w:line="7"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stricted Stock</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to Vest Upon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Achievement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Portion of</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Performance</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Units to</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Vest Upon</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Achievement</w:t>
      </w:r>
    </w:p>
    <w:p>
      <w:pPr>
        <w:spacing w:after="0" w:line="173" w:lineRule="exact"/>
        <w:rPr>
          <w:sz w:val="20"/>
          <w:szCs w:val="20"/>
          <w:color w:val="auto"/>
        </w:rPr>
      </w:pPr>
    </w:p>
    <w:p>
      <w:pPr>
        <w:sectPr>
          <w:pgSz w:w="11900" w:h="16838" w:orient="portrait"/>
          <w:cols w:equalWidth="0" w:num="4">
            <w:col w:w="1960" w:space="720"/>
            <w:col w:w="1680" w:space="120"/>
            <w:col w:w="1340" w:space="140"/>
            <w:col w:w="4279"/>
          </w:cols>
          <w:pgMar w:left="220" w:top="78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by Board of Directors</w:t>
      </w:r>
    </w:p>
    <w:p>
      <w:pPr>
        <w:spacing w:after="0" w:line="20" w:lineRule="exact"/>
        <w:rPr>
          <w:sz w:val="20"/>
          <w:szCs w:val="20"/>
          <w:color w:val="auto"/>
        </w:rPr>
      </w:pPr>
      <w:r>
        <w:rPr>
          <w:sz w:val="20"/>
          <w:szCs w:val="20"/>
          <w:color w:val="auto"/>
        </w:rPr>
        <w:br w:type="column"/>
      </w:r>
    </w:p>
    <w:p>
      <w:pPr>
        <w:ind w:left="960"/>
        <w:spacing w:after="0"/>
        <w:rPr>
          <w:sz w:val="20"/>
          <w:szCs w:val="20"/>
          <w:color w:val="auto"/>
        </w:rPr>
      </w:pPr>
      <w:r>
        <w:rPr>
          <w:rFonts w:ascii="Courier New" w:cs="Courier New" w:eastAsia="Courier New" w:hAnsi="Courier New"/>
          <w:sz w:val="14"/>
          <w:szCs w:val="14"/>
          <w:color w:val="auto"/>
        </w:rPr>
        <w:t>Goal 1:</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CEO and senior management</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succession plan developed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progress towards fulfill-</w:t>
      </w:r>
    </w:p>
    <w:p>
      <w:pPr>
        <w:spacing w:after="0" w:line="7"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ment of the plan, approved</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October 31, 1999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15%</w:t>
      </w:r>
    </w:p>
    <w:p>
      <w:pPr>
        <w:spacing w:after="0" w:line="211" w:lineRule="exact"/>
        <w:rPr>
          <w:sz w:val="20"/>
          <w:szCs w:val="20"/>
          <w:color w:val="auto"/>
        </w:rPr>
      </w:pPr>
    </w:p>
    <w:p>
      <w:pPr>
        <w:sectPr>
          <w:pgSz w:w="11900" w:h="16838" w:orient="portrait"/>
          <w:cols w:equalWidth="0" w:num="4">
            <w:col w:w="1940" w:space="260"/>
            <w:col w:w="2500" w:space="340"/>
            <w:col w:w="760" w:space="720"/>
            <w:col w:w="3719"/>
          </w:cols>
          <w:pgMar w:left="220" w:top="782" w:right="1440" w:bottom="1440" w:gutter="0" w:footer="0" w:header="0"/>
          <w:type w:val="continuous"/>
        </w:sectPr>
      </w:pPr>
    </w:p>
    <w:p>
      <w:pPr>
        <w:spacing w:after="0" w:line="200" w:lineRule="exact"/>
        <w:rPr>
          <w:sz w:val="20"/>
          <w:szCs w:val="20"/>
          <w:color w:val="auto"/>
        </w:rPr>
      </w:pPr>
    </w:p>
    <w:p>
      <w:pPr>
        <w:spacing w:after="0" w:line="270"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782" w:right="1440" w:bottom="1440" w:gutter="0" w:footer="0" w:header="0"/>
          <w:type w:val="continuous"/>
        </w:sectPr>
      </w:pPr>
    </w:p>
    <w:bookmarkStart w:id="31" w:name="page32"/>
    <w:bookmarkEnd w:id="31"/>
    <w:tbl>
      <w:tblPr>
        <w:tblLayout w:type="fixed"/>
        <w:tblInd w:w="140" w:type="dxa"/>
        <w:tblCellMar>
          <w:top w:w="0" w:type="dxa"/>
          <w:left w:w="0" w:type="dxa"/>
          <w:bottom w:w="0" w:type="dxa"/>
          <w:right w:w="0" w:type="dxa"/>
        </w:tblCellMar>
      </w:tblPr>
      <w:tr>
        <w:trPr>
          <w:trHeight w:val="162"/>
        </w:trPr>
        <w:tc>
          <w:tcPr>
            <w:tcW w:w="22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Goal</w:t>
            </w:r>
          </w:p>
        </w:tc>
        <w:tc>
          <w:tcPr>
            <w:tcW w:w="1240" w:type="dxa"/>
            <w:vAlign w:val="bottom"/>
          </w:tcPr>
          <w:p>
            <w:pPr>
              <w:ind w:left="40"/>
              <w:spacing w:after="0"/>
              <w:rPr>
                <w:sz w:val="20"/>
                <w:szCs w:val="20"/>
                <w:color w:val="auto"/>
              </w:rPr>
            </w:pPr>
            <w:r>
              <w:rPr>
                <w:rFonts w:ascii="Courier New" w:cs="Courier New" w:eastAsia="Courier New" w:hAnsi="Courier New"/>
                <w:sz w:val="14"/>
                <w:szCs w:val="14"/>
                <w:color w:val="auto"/>
              </w:rPr>
              <w:t>2:</w:t>
            </w: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200" w:type="dxa"/>
            <w:vAlign w:val="bottom"/>
          </w:tcPr>
          <w:p>
            <w:pPr>
              <w:spacing w:after="0"/>
              <w:rPr>
                <w:sz w:val="14"/>
                <w:szCs w:val="14"/>
                <w:color w:val="auto"/>
              </w:rPr>
            </w:pPr>
          </w:p>
        </w:tc>
        <w:tc>
          <w:tcPr>
            <w:tcW w:w="2440" w:type="dxa"/>
            <w:vAlign w:val="bottom"/>
            <w:gridSpan w:val="2"/>
          </w:tcPr>
          <w:p>
            <w:pPr>
              <w:jc w:val="center"/>
              <w:ind w:right="148"/>
              <w:spacing w:after="0"/>
              <w:rPr>
                <w:sz w:val="20"/>
                <w:szCs w:val="20"/>
                <w:color w:val="auto"/>
              </w:rPr>
            </w:pPr>
            <w:r>
              <w:rPr>
                <w:rFonts w:ascii="Courier New" w:cs="Courier New" w:eastAsia="Courier New" w:hAnsi="Courier New"/>
                <w:sz w:val="14"/>
                <w:szCs w:val="14"/>
                <w:color w:val="auto"/>
              </w:rPr>
              <w:t>Potential CEO successor</w:t>
            </w: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200" w:type="dxa"/>
            <w:vAlign w:val="bottom"/>
          </w:tcPr>
          <w:p>
            <w:pPr>
              <w:spacing w:after="0"/>
              <w:rPr>
                <w:sz w:val="14"/>
                <w:szCs w:val="14"/>
                <w:color w:val="auto"/>
              </w:rPr>
            </w:pPr>
          </w:p>
        </w:tc>
        <w:tc>
          <w:tcPr>
            <w:tcW w:w="2440" w:type="dxa"/>
            <w:vAlign w:val="bottom"/>
            <w:gridSpan w:val="2"/>
          </w:tcPr>
          <w:p>
            <w:pPr>
              <w:jc w:val="center"/>
              <w:ind w:right="148"/>
              <w:spacing w:after="0"/>
              <w:rPr>
                <w:sz w:val="20"/>
                <w:szCs w:val="20"/>
                <w:color w:val="auto"/>
              </w:rPr>
            </w:pPr>
            <w:r>
              <w:rPr>
                <w:rFonts w:ascii="Courier New" w:cs="Courier New" w:eastAsia="Courier New" w:hAnsi="Courier New"/>
                <w:sz w:val="14"/>
                <w:szCs w:val="14"/>
                <w:color w:val="auto"/>
              </w:rPr>
              <w:t>identified with approval</w:t>
            </w: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2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of Board of</w:t>
            </w:r>
          </w:p>
        </w:tc>
        <w:tc>
          <w:tcPr>
            <w:tcW w:w="1240" w:type="dxa"/>
            <w:vAlign w:val="bottom"/>
          </w:tcPr>
          <w:p>
            <w:pPr>
              <w:ind w:left="40"/>
              <w:spacing w:after="0"/>
              <w:rPr>
                <w:sz w:val="20"/>
                <w:szCs w:val="20"/>
                <w:color w:val="auto"/>
              </w:rPr>
            </w:pPr>
            <w:r>
              <w:rPr>
                <w:rFonts w:ascii="Courier New" w:cs="Courier New" w:eastAsia="Courier New" w:hAnsi="Courier New"/>
                <w:sz w:val="14"/>
                <w:szCs w:val="14"/>
                <w:color w:val="auto"/>
              </w:rPr>
              <w:t>Directors</w:t>
            </w: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2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and continued</w:t>
            </w:r>
          </w:p>
        </w:tc>
        <w:tc>
          <w:tcPr>
            <w:tcW w:w="1240" w:type="dxa"/>
            <w:vAlign w:val="bottom"/>
          </w:tcPr>
          <w:p>
            <w:pPr>
              <w:ind w:left="40"/>
              <w:spacing w:after="0"/>
              <w:rPr>
                <w:sz w:val="20"/>
                <w:szCs w:val="20"/>
                <w:color w:val="auto"/>
              </w:rPr>
            </w:pPr>
            <w:r>
              <w:rPr>
                <w:rFonts w:ascii="Courier New" w:cs="Courier New" w:eastAsia="Courier New" w:hAnsi="Courier New"/>
                <w:sz w:val="14"/>
                <w:szCs w:val="14"/>
                <w:color w:val="auto"/>
              </w:rPr>
              <w:t>development</w:t>
            </w: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of senior management team</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October</w:t>
            </w:r>
          </w:p>
        </w:tc>
        <w:tc>
          <w:tcPr>
            <w:tcW w:w="1240" w:type="dxa"/>
            <w:vAlign w:val="bottom"/>
          </w:tcPr>
          <w:p>
            <w:pPr>
              <w:ind w:left="40"/>
              <w:spacing w:after="0"/>
              <w:rPr>
                <w:sz w:val="20"/>
                <w:szCs w:val="20"/>
                <w:color w:val="auto"/>
              </w:rPr>
            </w:pPr>
            <w:r>
              <w:rPr>
                <w:rFonts w:ascii="Courier New" w:cs="Courier New" w:eastAsia="Courier New" w:hAnsi="Courier New"/>
                <w:sz w:val="14"/>
                <w:szCs w:val="14"/>
                <w:color w:val="auto"/>
              </w:rPr>
              <w:t>31, 2000</w:t>
            </w: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r>
        <w:trPr>
          <w:trHeight w:val="331"/>
        </w:trPr>
        <w:tc>
          <w:tcPr>
            <w:tcW w:w="2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Goal</w:t>
            </w:r>
          </w:p>
        </w:tc>
        <w:tc>
          <w:tcPr>
            <w:tcW w:w="1240" w:type="dxa"/>
            <w:vAlign w:val="bottom"/>
          </w:tcPr>
          <w:p>
            <w:pPr>
              <w:ind w:left="40"/>
              <w:spacing w:after="0"/>
              <w:rPr>
                <w:sz w:val="20"/>
                <w:szCs w:val="20"/>
                <w:color w:val="auto"/>
              </w:rPr>
            </w:pPr>
            <w:r>
              <w:rPr>
                <w:rFonts w:ascii="Courier New" w:cs="Courier New" w:eastAsia="Courier New" w:hAnsi="Courier New"/>
                <w:sz w:val="14"/>
                <w:szCs w:val="14"/>
                <w:color w:val="auto"/>
              </w:rPr>
              <w:t>3:</w:t>
            </w:r>
          </w:p>
        </w:tc>
        <w:tc>
          <w:tcPr>
            <w:tcW w:w="11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2200" w:type="dxa"/>
            <w:vAlign w:val="bottom"/>
          </w:tcPr>
          <w:p>
            <w:pPr>
              <w:spacing w:after="0"/>
              <w:rPr>
                <w:sz w:val="14"/>
                <w:szCs w:val="14"/>
                <w:color w:val="auto"/>
              </w:rPr>
            </w:pPr>
          </w:p>
        </w:tc>
        <w:tc>
          <w:tcPr>
            <w:tcW w:w="2440" w:type="dxa"/>
            <w:vAlign w:val="bottom"/>
            <w:gridSpan w:val="2"/>
          </w:tcPr>
          <w:p>
            <w:pPr>
              <w:jc w:val="center"/>
              <w:ind w:right="148"/>
              <w:spacing w:after="0"/>
              <w:rPr>
                <w:sz w:val="20"/>
                <w:szCs w:val="20"/>
                <w:color w:val="auto"/>
              </w:rPr>
            </w:pPr>
            <w:r>
              <w:rPr>
                <w:rFonts w:ascii="Courier New" w:cs="Courier New" w:eastAsia="Courier New" w:hAnsi="Courier New"/>
                <w:sz w:val="14"/>
                <w:szCs w:val="14"/>
                <w:color w:val="auto"/>
              </w:rPr>
              <w:t>CEO successor who was</w:t>
            </w: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200" w:type="dxa"/>
            <w:vAlign w:val="bottom"/>
          </w:tcPr>
          <w:p>
            <w:pPr>
              <w:spacing w:after="0"/>
              <w:rPr>
                <w:sz w:val="14"/>
                <w:szCs w:val="14"/>
                <w:color w:val="auto"/>
              </w:rPr>
            </w:pPr>
          </w:p>
        </w:tc>
        <w:tc>
          <w:tcPr>
            <w:tcW w:w="2440" w:type="dxa"/>
            <w:vAlign w:val="bottom"/>
            <w:gridSpan w:val="2"/>
          </w:tcPr>
          <w:p>
            <w:pPr>
              <w:jc w:val="center"/>
              <w:ind w:right="148"/>
              <w:spacing w:after="0"/>
              <w:rPr>
                <w:sz w:val="20"/>
                <w:szCs w:val="20"/>
                <w:color w:val="auto"/>
              </w:rPr>
            </w:pPr>
            <w:r>
              <w:rPr>
                <w:rFonts w:ascii="Courier New" w:cs="Courier New" w:eastAsia="Courier New" w:hAnsi="Courier New"/>
                <w:sz w:val="14"/>
                <w:szCs w:val="14"/>
                <w:color w:val="auto"/>
              </w:rPr>
              <w:t>identified and developed</w:t>
            </w: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200" w:type="dxa"/>
            <w:vAlign w:val="bottom"/>
          </w:tcPr>
          <w:p>
            <w:pPr>
              <w:spacing w:after="0"/>
              <w:rPr>
                <w:sz w:val="14"/>
                <w:szCs w:val="14"/>
                <w:color w:val="auto"/>
              </w:rPr>
            </w:pPr>
          </w:p>
        </w:tc>
        <w:tc>
          <w:tcPr>
            <w:tcW w:w="2440" w:type="dxa"/>
            <w:vAlign w:val="bottom"/>
            <w:gridSpan w:val="2"/>
          </w:tcPr>
          <w:p>
            <w:pPr>
              <w:jc w:val="center"/>
              <w:ind w:right="128"/>
              <w:spacing w:after="0"/>
              <w:rPr>
                <w:sz w:val="20"/>
                <w:szCs w:val="20"/>
                <w:color w:val="auto"/>
              </w:rPr>
            </w:pPr>
            <w:r>
              <w:rPr>
                <w:rFonts w:ascii="Courier New" w:cs="Courier New" w:eastAsia="Courier New" w:hAnsi="Courier New"/>
                <w:sz w:val="14"/>
                <w:szCs w:val="14"/>
                <w:color w:val="auto"/>
              </w:rPr>
              <w:t>by Mr. Melrose is elected</w:t>
            </w: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200" w:type="dxa"/>
            <w:vAlign w:val="bottom"/>
          </w:tcPr>
          <w:p>
            <w:pPr>
              <w:spacing w:after="0"/>
              <w:rPr>
                <w:sz w:val="14"/>
                <w:szCs w:val="14"/>
                <w:color w:val="auto"/>
              </w:rPr>
            </w:pPr>
          </w:p>
        </w:tc>
        <w:tc>
          <w:tcPr>
            <w:tcW w:w="2440" w:type="dxa"/>
            <w:vAlign w:val="bottom"/>
            <w:gridSpan w:val="2"/>
          </w:tcPr>
          <w:p>
            <w:pPr>
              <w:jc w:val="center"/>
              <w:ind w:right="148"/>
              <w:spacing w:after="0"/>
              <w:rPr>
                <w:sz w:val="20"/>
                <w:szCs w:val="20"/>
                <w:color w:val="auto"/>
              </w:rPr>
            </w:pPr>
            <w:r>
              <w:rPr>
                <w:rFonts w:ascii="Courier New" w:cs="Courier New" w:eastAsia="Courier New" w:hAnsi="Courier New"/>
                <w:sz w:val="14"/>
                <w:szCs w:val="14"/>
                <w:color w:val="auto"/>
              </w:rPr>
              <w:t>as CEO by Board of</w:t>
            </w: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Directors</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October</w:t>
            </w:r>
          </w:p>
        </w:tc>
        <w:tc>
          <w:tcPr>
            <w:tcW w:w="1240" w:type="dxa"/>
            <w:vAlign w:val="bottom"/>
          </w:tcPr>
          <w:p>
            <w:pPr>
              <w:ind w:left="40"/>
              <w:spacing w:after="0"/>
              <w:rPr>
                <w:sz w:val="20"/>
                <w:szCs w:val="20"/>
                <w:color w:val="auto"/>
              </w:rPr>
            </w:pPr>
            <w:r>
              <w:rPr>
                <w:rFonts w:ascii="Courier New" w:cs="Courier New" w:eastAsia="Courier New" w:hAnsi="Courier New"/>
                <w:sz w:val="14"/>
                <w:szCs w:val="14"/>
                <w:color w:val="auto"/>
              </w:rPr>
              <w:t>31, 2005</w:t>
            </w: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70%</w:t>
            </w:r>
          </w:p>
        </w:tc>
      </w:tr>
    </w:tbl>
    <w:p>
      <w:pPr>
        <w:spacing w:after="0" w:line="335" w:lineRule="exact"/>
        <w:rPr>
          <w:sz w:val="20"/>
          <w:szCs w:val="20"/>
          <w:color w:val="auto"/>
        </w:rPr>
      </w:pPr>
    </w:p>
    <w:p>
      <w:pPr>
        <w:jc w:val="center"/>
        <w:ind w:left="2240" w:right="3339" w:hanging="509"/>
        <w:spacing w:after="0" w:line="250" w:lineRule="auto"/>
        <w:tabs>
          <w:tab w:leader="none" w:pos="2154"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Early Selection of Successor. Notwithstanding any other provision of the Plan, in the event that the Board of Directors elects as Mr. Melrose's successor the</w:t>
      </w:r>
    </w:p>
    <w:p>
      <w:pPr>
        <w:spacing w:after="0" w:line="1" w:lineRule="exact"/>
        <w:rPr>
          <w:sz w:val="20"/>
          <w:szCs w:val="20"/>
          <w:color w:val="auto"/>
        </w:rPr>
      </w:pPr>
    </w:p>
    <w:p>
      <w:pPr>
        <w:jc w:val="center"/>
        <w:ind w:right="1179"/>
        <w:spacing w:after="0"/>
        <w:rPr>
          <w:sz w:val="20"/>
          <w:szCs w:val="20"/>
          <w:color w:val="auto"/>
        </w:rPr>
      </w:pPr>
      <w:r>
        <w:rPr>
          <w:rFonts w:ascii="Courier New" w:cs="Courier New" w:eastAsia="Courier New" w:hAnsi="Courier New"/>
          <w:sz w:val="14"/>
          <w:szCs w:val="14"/>
          <w:color w:val="auto"/>
        </w:rPr>
        <w:t>individual identified and developed by Mr. Melrose, and</w:t>
      </w:r>
    </w:p>
    <w:p>
      <w:pPr>
        <w:spacing w:after="0" w:line="7" w:lineRule="exact"/>
        <w:rPr>
          <w:sz w:val="20"/>
          <w:szCs w:val="20"/>
          <w:color w:val="auto"/>
        </w:rPr>
      </w:pPr>
    </w:p>
    <w:p>
      <w:pPr>
        <w:jc w:val="center"/>
        <w:ind w:right="1179"/>
        <w:spacing w:after="0"/>
        <w:rPr>
          <w:sz w:val="20"/>
          <w:szCs w:val="20"/>
          <w:color w:val="auto"/>
        </w:rPr>
      </w:pPr>
      <w:r>
        <w:rPr>
          <w:rFonts w:ascii="Courier New" w:cs="Courier New" w:eastAsia="Courier New" w:hAnsi="Courier New"/>
          <w:sz w:val="14"/>
          <w:szCs w:val="14"/>
          <w:color w:val="auto"/>
        </w:rPr>
        <w:t>such successor is in place as chief executive officer</w:t>
      </w:r>
    </w:p>
    <w:p>
      <w:pPr>
        <w:spacing w:after="0" w:line="7" w:lineRule="exact"/>
        <w:rPr>
          <w:sz w:val="20"/>
          <w:szCs w:val="20"/>
          <w:color w:val="auto"/>
        </w:rPr>
      </w:pPr>
    </w:p>
    <w:p>
      <w:pPr>
        <w:jc w:val="center"/>
        <w:ind w:right="1179"/>
        <w:spacing w:after="0"/>
        <w:rPr>
          <w:sz w:val="20"/>
          <w:szCs w:val="20"/>
          <w:color w:val="auto"/>
        </w:rPr>
      </w:pPr>
      <w:r>
        <w:rPr>
          <w:rFonts w:ascii="Courier New" w:cs="Courier New" w:eastAsia="Courier New" w:hAnsi="Courier New"/>
          <w:sz w:val="14"/>
          <w:szCs w:val="14"/>
          <w:color w:val="auto"/>
        </w:rPr>
        <w:t>of the Company and Mr. Melrose elects to retire prior</w:t>
      </w:r>
    </w:p>
    <w:p>
      <w:pPr>
        <w:spacing w:after="0" w:line="7" w:lineRule="exact"/>
        <w:rPr>
          <w:sz w:val="20"/>
          <w:szCs w:val="20"/>
          <w:color w:val="auto"/>
        </w:rPr>
      </w:pPr>
    </w:p>
    <w:p>
      <w:pPr>
        <w:jc w:val="center"/>
        <w:ind w:right="1179"/>
        <w:spacing w:after="0"/>
        <w:rPr>
          <w:sz w:val="20"/>
          <w:szCs w:val="20"/>
          <w:color w:val="auto"/>
        </w:rPr>
      </w:pPr>
      <w:r>
        <w:rPr>
          <w:rFonts w:ascii="Courier New" w:cs="Courier New" w:eastAsia="Courier New" w:hAnsi="Courier New"/>
          <w:sz w:val="14"/>
          <w:szCs w:val="14"/>
          <w:color w:val="auto"/>
        </w:rPr>
        <w:t>to the last day of the final Restricted Period, but no</w:t>
      </w:r>
    </w:p>
    <w:p>
      <w:pPr>
        <w:spacing w:after="0" w:line="7" w:lineRule="exact"/>
        <w:rPr>
          <w:sz w:val="20"/>
          <w:szCs w:val="20"/>
          <w:color w:val="auto"/>
        </w:rPr>
      </w:pPr>
    </w:p>
    <w:p>
      <w:pPr>
        <w:jc w:val="center"/>
        <w:ind w:right="1179"/>
        <w:spacing w:after="0"/>
        <w:rPr>
          <w:sz w:val="20"/>
          <w:szCs w:val="20"/>
          <w:color w:val="auto"/>
        </w:rPr>
      </w:pPr>
      <w:r>
        <w:rPr>
          <w:rFonts w:ascii="Courier New" w:cs="Courier New" w:eastAsia="Courier New" w:hAnsi="Courier New"/>
          <w:sz w:val="14"/>
          <w:szCs w:val="14"/>
          <w:color w:val="auto"/>
        </w:rPr>
        <w:t>earlier than July 31, 1997, all Restricted Stock and</w:t>
      </w:r>
    </w:p>
    <w:p>
      <w:pPr>
        <w:spacing w:after="0" w:line="7" w:lineRule="exact"/>
        <w:rPr>
          <w:sz w:val="20"/>
          <w:szCs w:val="20"/>
          <w:color w:val="auto"/>
        </w:rPr>
      </w:pPr>
    </w:p>
    <w:p>
      <w:pPr>
        <w:jc w:val="center"/>
        <w:ind w:right="1179"/>
        <w:spacing w:after="0"/>
        <w:rPr>
          <w:sz w:val="20"/>
          <w:szCs w:val="20"/>
          <w:color w:val="auto"/>
        </w:rPr>
      </w:pPr>
      <w:r>
        <w:rPr>
          <w:rFonts w:ascii="Courier New" w:cs="Courier New" w:eastAsia="Courier New" w:hAnsi="Courier New"/>
          <w:sz w:val="14"/>
          <w:szCs w:val="14"/>
          <w:color w:val="auto"/>
        </w:rPr>
        <w:t>Performance Units shall vest in full and become</w:t>
      </w:r>
    </w:p>
    <w:p>
      <w:pPr>
        <w:spacing w:after="0" w:line="7" w:lineRule="exact"/>
        <w:rPr>
          <w:sz w:val="20"/>
          <w:szCs w:val="20"/>
          <w:color w:val="auto"/>
        </w:rPr>
      </w:pPr>
    </w:p>
    <w:p>
      <w:pPr>
        <w:jc w:val="center"/>
        <w:ind w:right="1179"/>
        <w:spacing w:after="0"/>
        <w:rPr>
          <w:sz w:val="20"/>
          <w:szCs w:val="20"/>
          <w:color w:val="auto"/>
        </w:rPr>
      </w:pPr>
      <w:r>
        <w:rPr>
          <w:rFonts w:ascii="Courier New" w:cs="Courier New" w:eastAsia="Courier New" w:hAnsi="Courier New"/>
          <w:sz w:val="14"/>
          <w:szCs w:val="14"/>
          <w:color w:val="auto"/>
        </w:rPr>
        <w:t>nonforfeitable, subject to the condition with respect</w:t>
      </w:r>
    </w:p>
    <w:p>
      <w:pPr>
        <w:spacing w:after="0" w:line="7" w:lineRule="exact"/>
        <w:rPr>
          <w:sz w:val="20"/>
          <w:szCs w:val="20"/>
          <w:color w:val="auto"/>
        </w:rPr>
      </w:pPr>
    </w:p>
    <w:p>
      <w:pPr>
        <w:jc w:val="center"/>
        <w:ind w:right="1179"/>
        <w:spacing w:after="0"/>
        <w:rPr>
          <w:sz w:val="20"/>
          <w:szCs w:val="20"/>
          <w:color w:val="auto"/>
        </w:rPr>
      </w:pPr>
      <w:r>
        <w:rPr>
          <w:rFonts w:ascii="Courier New" w:cs="Courier New" w:eastAsia="Courier New" w:hAnsi="Courier New"/>
          <w:sz w:val="14"/>
          <w:szCs w:val="14"/>
          <w:color w:val="auto"/>
        </w:rPr>
        <w:t>to the Performance Units that Mr. Melrose enter into</w:t>
      </w:r>
    </w:p>
    <w:p>
      <w:pPr>
        <w:spacing w:after="0" w:line="7" w:lineRule="exact"/>
        <w:rPr>
          <w:sz w:val="20"/>
          <w:szCs w:val="20"/>
          <w:color w:val="auto"/>
        </w:rPr>
      </w:pPr>
    </w:p>
    <w:p>
      <w:pPr>
        <w:jc w:val="center"/>
        <w:ind w:right="1179"/>
        <w:spacing w:after="0"/>
        <w:rPr>
          <w:sz w:val="20"/>
          <w:szCs w:val="20"/>
          <w:color w:val="auto"/>
        </w:rPr>
      </w:pPr>
      <w:r>
        <w:rPr>
          <w:rFonts w:ascii="Courier New" w:cs="Courier New" w:eastAsia="Courier New" w:hAnsi="Courier New"/>
          <w:sz w:val="14"/>
          <w:szCs w:val="14"/>
          <w:color w:val="auto"/>
        </w:rPr>
        <w:t>and comply with the terms and conditions of a</w:t>
      </w:r>
    </w:p>
    <w:p>
      <w:pPr>
        <w:spacing w:after="0" w:line="7" w:lineRule="exact"/>
        <w:rPr>
          <w:sz w:val="20"/>
          <w:szCs w:val="20"/>
          <w:color w:val="auto"/>
        </w:rPr>
      </w:pPr>
    </w:p>
    <w:p>
      <w:pPr>
        <w:jc w:val="center"/>
        <w:ind w:right="1179"/>
        <w:spacing w:after="0"/>
        <w:rPr>
          <w:sz w:val="20"/>
          <w:szCs w:val="20"/>
          <w:color w:val="auto"/>
        </w:rPr>
      </w:pPr>
      <w:r>
        <w:rPr>
          <w:rFonts w:ascii="Courier New" w:cs="Courier New" w:eastAsia="Courier New" w:hAnsi="Courier New"/>
          <w:sz w:val="14"/>
          <w:szCs w:val="14"/>
          <w:color w:val="auto"/>
        </w:rPr>
        <w:t>noncompetition agreement in accordance with Subsection</w:t>
      </w:r>
    </w:p>
    <w:p>
      <w:pPr>
        <w:spacing w:after="0" w:line="7" w:lineRule="exact"/>
        <w:rPr>
          <w:sz w:val="20"/>
          <w:szCs w:val="20"/>
          <w:color w:val="auto"/>
        </w:rPr>
      </w:pPr>
    </w:p>
    <w:p>
      <w:pPr>
        <w:jc w:val="center"/>
        <w:ind w:right="1179"/>
        <w:spacing w:after="0"/>
        <w:rPr>
          <w:sz w:val="20"/>
          <w:szCs w:val="20"/>
          <w:color w:val="auto"/>
        </w:rPr>
      </w:pPr>
      <w:r>
        <w:rPr>
          <w:rFonts w:ascii="Courier New" w:cs="Courier New" w:eastAsia="Courier New" w:hAnsi="Courier New"/>
          <w:sz w:val="14"/>
          <w:szCs w:val="14"/>
          <w:color w:val="auto"/>
        </w:rPr>
        <w:t>2.b.</w:t>
      </w:r>
    </w:p>
    <w:p>
      <w:pPr>
        <w:spacing w:after="0" w:line="173" w:lineRule="exact"/>
        <w:rPr>
          <w:sz w:val="20"/>
          <w:szCs w:val="20"/>
          <w:color w:val="auto"/>
        </w:rPr>
      </w:pPr>
    </w:p>
    <w:p>
      <w:pPr>
        <w:ind w:left="2540" w:hanging="422"/>
        <w:spacing w:after="0"/>
        <w:tabs>
          <w:tab w:leader="none" w:pos="254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Special CEO Succession Subcommittee of the</w:t>
      </w:r>
    </w:p>
    <w:p>
      <w:pPr>
        <w:spacing w:after="0" w:line="7" w:lineRule="exact"/>
        <w:rPr>
          <w:rFonts w:ascii="Courier New" w:cs="Courier New" w:eastAsia="Courier New" w:hAnsi="Courier New"/>
          <w:sz w:val="14"/>
          <w:szCs w:val="14"/>
          <w:color w:val="auto"/>
        </w:rPr>
      </w:pPr>
    </w:p>
    <w:p>
      <w:pPr>
        <w:jc w:val="center"/>
        <w:ind w:left="2240" w:right="341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Compensation Committee of the Board of Directors (the "Committee") shall be responsible for certifying in writing to the Company that an applicable Performance Goal has been met by Mr. Melrose prior to release and delivery of certificates representing the shares of</w:t>
      </w:r>
    </w:p>
    <w:p>
      <w:pPr>
        <w:spacing w:after="0" w:line="2" w:lineRule="exact"/>
        <w:rPr>
          <w:sz w:val="20"/>
          <w:szCs w:val="20"/>
          <w:color w:val="auto"/>
        </w:rPr>
      </w:pPr>
    </w:p>
    <w:p>
      <w:pPr>
        <w:jc w:val="center"/>
        <w:ind w:right="1179"/>
        <w:spacing w:after="0"/>
        <w:rPr>
          <w:sz w:val="20"/>
          <w:szCs w:val="20"/>
          <w:color w:val="auto"/>
        </w:rPr>
      </w:pPr>
      <w:r>
        <w:rPr>
          <w:rFonts w:ascii="Courier New" w:cs="Courier New" w:eastAsia="Courier New" w:hAnsi="Courier New"/>
          <w:sz w:val="14"/>
          <w:szCs w:val="14"/>
          <w:color w:val="auto"/>
        </w:rPr>
        <w:t>Restricted Stock or payment of the value of Performance</w:t>
      </w:r>
    </w:p>
    <w:p>
      <w:pPr>
        <w:spacing w:after="0" w:line="7" w:lineRule="exact"/>
        <w:rPr>
          <w:sz w:val="20"/>
          <w:szCs w:val="20"/>
          <w:color w:val="auto"/>
        </w:rPr>
      </w:pPr>
    </w:p>
    <w:p>
      <w:pPr>
        <w:jc w:val="center"/>
        <w:ind w:right="1179"/>
        <w:spacing w:after="0"/>
        <w:rPr>
          <w:sz w:val="20"/>
          <w:szCs w:val="20"/>
          <w:color w:val="auto"/>
        </w:rPr>
      </w:pPr>
      <w:r>
        <w:rPr>
          <w:rFonts w:ascii="Courier New" w:cs="Courier New" w:eastAsia="Courier New" w:hAnsi="Courier New"/>
          <w:sz w:val="14"/>
          <w:szCs w:val="14"/>
          <w:color w:val="auto"/>
        </w:rPr>
        <w:t>Units for the purchase of a retirement annuity to Mr.</w:t>
      </w:r>
    </w:p>
    <w:p>
      <w:pPr>
        <w:spacing w:after="0" w:line="7" w:lineRule="exact"/>
        <w:rPr>
          <w:sz w:val="20"/>
          <w:szCs w:val="20"/>
          <w:color w:val="auto"/>
        </w:rPr>
      </w:pPr>
    </w:p>
    <w:p>
      <w:pPr>
        <w:jc w:val="center"/>
        <w:ind w:right="1179"/>
        <w:spacing w:after="0"/>
        <w:rPr>
          <w:sz w:val="20"/>
          <w:szCs w:val="20"/>
          <w:color w:val="auto"/>
        </w:rPr>
      </w:pPr>
      <w:r>
        <w:rPr>
          <w:rFonts w:ascii="Courier New" w:cs="Courier New" w:eastAsia="Courier New" w:hAnsi="Courier New"/>
          <w:sz w:val="14"/>
          <w:szCs w:val="14"/>
          <w:color w:val="auto"/>
        </w:rPr>
        <w:t>Melrose.</w:t>
      </w:r>
    </w:p>
    <w:p>
      <w:pPr>
        <w:spacing w:after="0" w:line="173" w:lineRule="exact"/>
        <w:rPr>
          <w:sz w:val="20"/>
          <w:szCs w:val="20"/>
          <w:color w:val="auto"/>
        </w:rPr>
      </w:pPr>
    </w:p>
    <w:p>
      <w:pPr>
        <w:jc w:val="center"/>
        <w:ind w:left="2200" w:right="3339" w:hanging="469"/>
        <w:spacing w:after="0" w:line="251" w:lineRule="auto"/>
        <w:tabs>
          <w:tab w:leader="none" w:pos="2157" w:val="left"/>
        </w:tabs>
        <w:numPr>
          <w:ilvl w:val="1"/>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terms of this Agreement are not intended to, and do not, impose on Mr. Melrose a mandatory retirement date not otherwise applicable to employees of the Company generally, and Mr. Melrose shall not be obligated to retire as an officer of the Company in order to obtain the benefits of this Agreement.</w:t>
      </w:r>
    </w:p>
    <w:p>
      <w:pPr>
        <w:spacing w:after="0" w:line="164" w:lineRule="exact"/>
        <w:rPr>
          <w:rFonts w:ascii="Courier New" w:cs="Courier New" w:eastAsia="Courier New" w:hAnsi="Courier New"/>
          <w:sz w:val="14"/>
          <w:szCs w:val="14"/>
          <w:color w:val="auto"/>
        </w:rPr>
      </w:pPr>
    </w:p>
    <w:p>
      <w:pPr>
        <w:jc w:val="both"/>
        <w:ind w:left="100" w:right="3419" w:firstLine="1587"/>
        <w:spacing w:after="0" w:line="250" w:lineRule="auto"/>
        <w:tabs>
          <w:tab w:leader="none" w:pos="2124"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LIMITS ON TRANSFER OF RESTRICTED STOCK AND PERFORMANCE UNITS. Shares of the Restricted Stock which have not vested in accordance with</w:t>
      </w: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provisions of Subsection 2.a.i. hereof may not be sold, transferred,</w:t>
      </w:r>
    </w:p>
    <w:p>
      <w:pPr>
        <w:spacing w:after="0" w:line="7" w:lineRule="exact"/>
        <w:rPr>
          <w:rFonts w:ascii="Courier New" w:cs="Courier New" w:eastAsia="Courier New" w:hAnsi="Courier New"/>
          <w:sz w:val="14"/>
          <w:szCs w:val="14"/>
          <w:color w:val="auto"/>
        </w:rPr>
      </w:pPr>
    </w:p>
    <w:p>
      <w:pPr>
        <w:ind w:left="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pledged, assigned or otherwise encumbered. Performance Units may not be sold,</w:t>
      </w:r>
    </w:p>
    <w:p>
      <w:pPr>
        <w:spacing w:after="0" w:line="7" w:lineRule="exact"/>
        <w:rPr>
          <w:sz w:val="20"/>
          <w:szCs w:val="20"/>
          <w:color w:val="auto"/>
        </w:rPr>
      </w:pPr>
    </w:p>
    <w:p>
      <w:pPr>
        <w:jc w:val="center"/>
        <w:ind w:right="3339"/>
        <w:spacing w:after="0" w:line="252" w:lineRule="auto"/>
        <w:rPr>
          <w:sz w:val="20"/>
          <w:szCs w:val="20"/>
          <w:color w:val="auto"/>
        </w:rPr>
      </w:pPr>
      <w:r>
        <w:rPr>
          <w:rFonts w:ascii="Courier New" w:cs="Courier New" w:eastAsia="Courier New" w:hAnsi="Courier New"/>
          <w:sz w:val="14"/>
          <w:szCs w:val="14"/>
          <w:color w:val="auto"/>
        </w:rPr>
        <w:t>transferred, pledged, assigned or otherwise encumbered at any time and the value of Performance Units may be utilized only for the purpose of purchasing the retirement annuity referred to the Subsection 1.b. hereof.</w:t>
      </w:r>
    </w:p>
    <w:p>
      <w:pPr>
        <w:spacing w:after="0" w:line="200" w:lineRule="exact"/>
        <w:rPr>
          <w:sz w:val="20"/>
          <w:szCs w:val="20"/>
          <w:color w:val="auto"/>
        </w:rPr>
      </w:pPr>
    </w:p>
    <w:p>
      <w:pPr>
        <w:spacing w:after="0" w:line="294"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947" w:right="1440" w:bottom="1440" w:gutter="0" w:footer="0" w:header="0"/>
        </w:sectPr>
      </w:pPr>
    </w:p>
    <w:bookmarkStart w:id="32" w:name="page33"/>
    <w:bookmarkEnd w:id="32"/>
    <w:p>
      <w:pPr>
        <w:jc w:val="both"/>
        <w:ind w:right="3339" w:firstLine="1644"/>
        <w:spacing w:after="0" w:line="250" w:lineRule="auto"/>
        <w:tabs>
          <w:tab w:leader="none" w:pos="2067" w:val="left"/>
        </w:tabs>
        <w:numPr>
          <w:ilvl w:val="1"/>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DEATH OR DISABILITY. In the event that the Board of Directors terminates Mr. Melrose's employment other than for cause (as defined in Subsection 2.c. hereof) and elects as Mr. Melrose's successor a chief</w:t>
      </w:r>
    </w:p>
    <w:p>
      <w:pPr>
        <w:spacing w:after="0" w:line="1"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officer who was identified and developed by Mr. Melrose, or in the</w:t>
      </w:r>
    </w:p>
    <w:p>
      <w:pPr>
        <w:spacing w:after="0" w:line="7" w:lineRule="exact"/>
        <w:rPr>
          <w:rFonts w:ascii="Courier New" w:cs="Courier New" w:eastAsia="Courier New" w:hAnsi="Courier New"/>
          <w:sz w:val="14"/>
          <w:szCs w:val="14"/>
          <w:color w:val="auto"/>
        </w:rPr>
      </w:pPr>
    </w:p>
    <w:p>
      <w:pPr>
        <w:jc w:val="center"/>
        <w:ind w:right="3339" w:firstLine="344"/>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event of the termination of Mr. Melrose's employment due to his death or disability, then all shares of Restricted Stock and Performance Units shall automatically vest in full, notwithstanding that Mr. Melrose does not enter into a noncompetition agreement in accordance with Subsections 1.c. and 2.b., and shall become nonforfeitable in the fiscal year following the year of the date of such event, and on the first day that such vesting would not cause the compensation to be deemed compensation with respect to the prior fiscal year.</w:t>
      </w:r>
    </w:p>
    <w:p>
      <w:pPr>
        <w:spacing w:after="0" w:line="329" w:lineRule="exact"/>
        <w:rPr>
          <w:rFonts w:ascii="Courier New" w:cs="Courier New" w:eastAsia="Courier New" w:hAnsi="Courier New"/>
          <w:sz w:val="14"/>
          <w:szCs w:val="14"/>
          <w:color w:val="auto"/>
        </w:rPr>
      </w:pPr>
    </w:p>
    <w:p>
      <w:pPr>
        <w:jc w:val="both"/>
        <w:ind w:left="360" w:right="3679" w:firstLine="768"/>
        <w:spacing w:after="0" w:line="250" w:lineRule="auto"/>
        <w:tabs>
          <w:tab w:leader="none" w:pos="1394"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POST-RETIREMENT CONSULTING AND NONCOMPETITION AGREEMENT. The Company's agreement to pay any amount in connection with post-retirement</w:t>
      </w:r>
    </w:p>
    <w:p>
      <w:pPr>
        <w:spacing w:after="0" w:line="1"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consulting services to be provided by Mr. Melrose and its payment of the value</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of Performance Units for the purchase of a retirement annuity payable to Mr.</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Melrose pursuant to Subsection 1.b. shall be subject to and in consideration of</w:t>
      </w:r>
    </w:p>
    <w:p>
      <w:pPr>
        <w:spacing w:after="0" w:line="7" w:lineRule="exact"/>
        <w:rPr>
          <w:sz w:val="20"/>
          <w:szCs w:val="20"/>
          <w:color w:val="auto"/>
        </w:rPr>
      </w:pPr>
    </w:p>
    <w:p>
      <w:pPr>
        <w:jc w:val="center"/>
        <w:ind w:right="3339"/>
        <w:spacing w:after="0" w:line="250" w:lineRule="auto"/>
        <w:rPr>
          <w:sz w:val="20"/>
          <w:szCs w:val="20"/>
          <w:color w:val="auto"/>
        </w:rPr>
      </w:pPr>
      <w:r>
        <w:rPr>
          <w:rFonts w:ascii="Courier New" w:cs="Courier New" w:eastAsia="Courier New" w:hAnsi="Courier New"/>
          <w:sz w:val="14"/>
          <w:szCs w:val="14"/>
          <w:color w:val="auto"/>
        </w:rPr>
        <w:t>Mr. Melrose's execution of an agreement not to compete with the Company by serving as an employee or member of the board of directors of or consultant to Rainbird, Jacobson or John Deere, or any successor thereof or similar competitor of the Company for a period of five years following the date of Mr. Melrose's retirement as Chief Executive Officer. The Company's agreement to pay any amount in connection with post-retirement consulting services to be provided by Mr. Melrose shall be subject to his agreement to provide consulting services to the Company for a period of five years following the date of his retirement; provided however that Mr. Melrose may elect to terminate the consulting agreement, but not the agreement not to compete, in which event any balance of the $500,000 amount referred to in Subsection 1.c. not then expended for Mr. Melrose's benefit shall be paid to Mr. Melrose over the remainder of the five year period. Mr. Melrose shall not have any right to receive payments pursuant to Subsection 1.c. or this Subsection 2.b. until and unless he shall have executed an agreement not to compete with the Company and delivered a fully executed copy thereof to the Company, and otherwise complied with the then applicable terms and conditions of the Plan, except as provided in Subsection 2.a.iii.</w:t>
      </w:r>
    </w:p>
    <w:p>
      <w:pPr>
        <w:spacing w:after="0" w:line="339" w:lineRule="exact"/>
        <w:rPr>
          <w:sz w:val="20"/>
          <w:szCs w:val="20"/>
          <w:color w:val="auto"/>
        </w:rPr>
      </w:pPr>
    </w:p>
    <w:p>
      <w:pPr>
        <w:ind w:left="60" w:right="3379" w:firstLine="1163"/>
        <w:spacing w:after="0" w:line="250" w:lineRule="auto"/>
        <w:rPr>
          <w:sz w:val="20"/>
          <w:szCs w:val="20"/>
          <w:color w:val="auto"/>
        </w:rPr>
      </w:pPr>
      <w:r>
        <w:rPr>
          <w:rFonts w:ascii="Courier New" w:cs="Courier New" w:eastAsia="Courier New" w:hAnsi="Courier New"/>
          <w:sz w:val="14"/>
          <w:szCs w:val="14"/>
          <w:color w:val="auto"/>
        </w:rPr>
        <w:t>c. TERMINATION OF EMPLOYMENT. Except as otherwise provided by Subsection 2.a. hereof, if Mr. Melrose resigns his employment with the Company or if his employment is terminated by the Board of Directors for cause during any Restricted Period, all shares of Restricted Stock and all Performance Units</w:t>
      </w:r>
    </w:p>
    <w:p>
      <w:pPr>
        <w:spacing w:after="0" w:line="2" w:lineRule="exact"/>
        <w:rPr>
          <w:sz w:val="20"/>
          <w:szCs w:val="20"/>
          <w:color w:val="auto"/>
        </w:rPr>
      </w:pPr>
    </w:p>
    <w:p>
      <w:pPr>
        <w:jc w:val="center"/>
        <w:ind w:right="3339"/>
        <w:spacing w:after="0" w:line="251" w:lineRule="auto"/>
        <w:rPr>
          <w:sz w:val="20"/>
          <w:szCs w:val="20"/>
          <w:color w:val="auto"/>
        </w:rPr>
      </w:pPr>
      <w:r>
        <w:rPr>
          <w:rFonts w:ascii="Courier New" w:cs="Courier New" w:eastAsia="Courier New" w:hAnsi="Courier New"/>
          <w:sz w:val="14"/>
          <w:szCs w:val="14"/>
          <w:color w:val="auto"/>
        </w:rPr>
        <w:t>then subject to restrictions and all other rights under this Plan shall be forfeited by Mr. Melrose and the Restricted Stock shall be reacquired by the Company. For purposes of this Agreement, "Cause" shall mean: (i) the willful and continued failure of Mr. Melrose to perform substantially his duties with the Company or one of its affiliates (other than any such failure resulting from incapacity due to physical or mental illness), after a written demand for substantial performance is delivered to Mr. Melrose by the Board of Directors of the Company which specifically identifies the manner in which the Board of Directors believes that Mr. Melrose has not substantially performed his duties, or (ii) the willful engaging by Mr. Melrose in illegal conduct or gross misconduct which is materially and demonstrably injurious to the Company.</w:t>
      </w:r>
    </w:p>
    <w:p>
      <w:pPr>
        <w:spacing w:after="0" w:line="329"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782" w:right="1440" w:bottom="1440" w:gutter="0" w:footer="0" w:header="0"/>
        </w:sectPr>
      </w:pPr>
    </w:p>
    <w:bookmarkStart w:id="33" w:name="page34"/>
    <w:bookmarkEnd w:id="33"/>
    <w:p>
      <w:pPr>
        <w:jc w:val="center"/>
        <w:ind w:right="3339"/>
        <w:spacing w:after="0" w:line="250" w:lineRule="auto"/>
        <w:rPr>
          <w:sz w:val="20"/>
          <w:szCs w:val="20"/>
          <w:color w:val="auto"/>
        </w:rPr>
      </w:pPr>
      <w:r>
        <w:rPr>
          <w:rFonts w:ascii="Courier New" w:cs="Courier New" w:eastAsia="Courier New" w:hAnsi="Courier New"/>
          <w:sz w:val="14"/>
          <w:szCs w:val="14"/>
          <w:color w:val="auto"/>
        </w:rPr>
        <w:t>For purposes of this provision, no act or failure to act, on the part of Mr. Melrose, shall be considered "willful" unless it is done, or omitted to be done, by Mr. Melrose in bad faith or without reasonable belief that Mr. Melrose's action or omission was in the best interests of the Company. Any act, or failure to act, based upon authority given pursuant to a resolution duly adopted by the Board of Directors or upon the instructions of a senior officer of the Company or based upon the advice of counsel for the Company shall be conclusively presumed to be done, or omitted to be done, by Mr. Melrose in good faith and in the best interests of the Company. The cessation of employment of Mr. Melrose shall not be deemed to be for Cause unless and until there shall have been delivered to Mr. Melrose a copy of a resolution duly adopted by the affirmative vote of not less than three quarters of the entire membership of the Board at a meeting of the Board of Directors called and held for such purpose (after reasonable notice is provided to Mr. Melrose and Mr. Melrose is given an opportunity, together with counsel, to be heard before the Board of Directors), finding that, in the good faith opinion of the Board of Directors, Mr. Melrose is guilty of the conduct described in Subsection 2.c.(i) or (ii) above, and specifying the particulars thereof in detail.</w:t>
      </w:r>
    </w:p>
    <w:p>
      <w:pPr>
        <w:spacing w:after="0" w:line="173" w:lineRule="exact"/>
        <w:rPr>
          <w:sz w:val="20"/>
          <w:szCs w:val="20"/>
          <w:color w:val="auto"/>
        </w:rPr>
      </w:pPr>
    </w:p>
    <w:p>
      <w:pPr>
        <w:ind w:left="3420" w:hanging="785"/>
        <w:spacing w:after="0"/>
        <w:tabs>
          <w:tab w:leader="none" w:pos="3420" w:val="left"/>
        </w:tabs>
        <w:numPr>
          <w:ilvl w:val="1"/>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CERTIFICATES.</w:t>
      </w:r>
    </w:p>
    <w:p>
      <w:pPr>
        <w:spacing w:after="0" w:line="172" w:lineRule="exact"/>
        <w:rPr>
          <w:rFonts w:ascii="Courier New" w:cs="Courier New" w:eastAsia="Courier New" w:hAnsi="Courier New"/>
          <w:sz w:val="14"/>
          <w:szCs w:val="14"/>
          <w:color w:val="auto"/>
        </w:rPr>
      </w:pPr>
    </w:p>
    <w:p>
      <w:pPr>
        <w:ind w:right="3339" w:firstLine="167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 ISSUANCE. The Company shall issue a stock certificate or certificates representing the shares of Restricted Stock granted hereunder. Such</w:t>
      </w:r>
    </w:p>
    <w:p>
      <w:pPr>
        <w:jc w:val="center"/>
        <w:ind w:left="440" w:right="3679" w:hanging="86"/>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certificates shall be registered in Mr. Melrose's name and shall bear an appropriate legend referring to the terms, conditions and restrictions applicable to the grant, substantially in the following form:</w:t>
      </w:r>
    </w:p>
    <w:p>
      <w:pPr>
        <w:spacing w:after="0" w:line="16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4"/>
          <w:szCs w:val="14"/>
          <w:color w:val="auto"/>
        </w:rPr>
        <w:t>The transferability of this certificate and the shares of</w:t>
      </w:r>
    </w:p>
    <w:p>
      <w:pPr>
        <w:spacing w:after="0" w:line="7" w:lineRule="exact"/>
        <w:rPr>
          <w:sz w:val="20"/>
          <w:szCs w:val="20"/>
          <w:color w:val="auto"/>
        </w:rPr>
      </w:pPr>
    </w:p>
    <w:p>
      <w:pPr>
        <w:jc w:val="center"/>
        <w:ind w:left="1780"/>
        <w:spacing w:after="0" w:line="251" w:lineRule="auto"/>
        <w:rPr>
          <w:sz w:val="20"/>
          <w:szCs w:val="20"/>
          <w:color w:val="auto"/>
        </w:rPr>
      </w:pPr>
      <w:r>
        <w:rPr>
          <w:rFonts w:ascii="Courier New" w:cs="Courier New" w:eastAsia="Courier New" w:hAnsi="Courier New"/>
          <w:sz w:val="14"/>
          <w:szCs w:val="14"/>
          <w:color w:val="auto"/>
        </w:rPr>
        <w:t>stock represented hereby are subject to the terms and conditions (including forfeiture) of the Chief Executive Officer Succession Incentive Plan and an agreement entered into between the registered owner and The Toro Company. Copies of the plan and agreement are on file in the offices of The Toro Company, 8111 Lyndale Avenue South, Bloomington, Minnesota 55420.</w:t>
      </w:r>
    </w:p>
    <w:p>
      <w:pPr>
        <w:spacing w:after="0" w:line="164" w:lineRule="exact"/>
        <w:rPr>
          <w:sz w:val="20"/>
          <w:szCs w:val="20"/>
          <w:color w:val="auto"/>
        </w:rPr>
      </w:pPr>
    </w:p>
    <w:p>
      <w:pPr>
        <w:ind w:left="180" w:right="3519" w:firstLine="1550"/>
        <w:spacing w:after="0" w:line="250" w:lineRule="auto"/>
        <w:tabs>
          <w:tab w:leader="none" w:pos="2075"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ESCROW. Certificates representing the Restricted Stock shall be physically held by the Company or its nominee during any Restricted Period, and the Company may require, as a condition of the grant, that Mr.</w:t>
      </w:r>
    </w:p>
    <w:p>
      <w:pPr>
        <w:spacing w:after="0" w:line="1" w:lineRule="exact"/>
        <w:rPr>
          <w:sz w:val="20"/>
          <w:szCs w:val="20"/>
          <w:color w:val="auto"/>
        </w:rPr>
      </w:pPr>
    </w:p>
    <w:p>
      <w:pPr>
        <w:jc w:val="center"/>
        <w:ind w:left="240" w:right="80"/>
        <w:spacing w:after="0" w:line="251" w:lineRule="auto"/>
        <w:rPr>
          <w:sz w:val="20"/>
          <w:szCs w:val="20"/>
          <w:color w:val="auto"/>
        </w:rPr>
      </w:pPr>
      <w:r>
        <w:rPr>
          <w:rFonts w:ascii="Courier New" w:cs="Courier New" w:eastAsia="Courier New" w:hAnsi="Courier New"/>
          <w:sz w:val="14"/>
          <w:szCs w:val="14"/>
          <w:color w:val="auto"/>
        </w:rPr>
        <w:t>Melrose shall have delivered a stock power, endorsed in blank, with respect to any shares of the Restricted Stock. Upon the achievement of the Performance Goals with respect to any shares of Restricted Stock, as certified to by the Committee, the Company shall cause the certificate representing such shares of Restricted Stock to be removed from escrow and delivered to the Company for reissuance and delivery of Common Stock in the name of Mr. Melrose. If any shares of Restricted Stock are to be forfeited, certificates representing such shares shall be delivered to the Company for reissuance in its name or cancellation and Mr. Melrose shall have no further interest in such stock.</w:t>
      </w:r>
    </w:p>
    <w:p>
      <w:pPr>
        <w:spacing w:after="0" w:line="200" w:lineRule="exact"/>
        <w:rPr>
          <w:sz w:val="20"/>
          <w:szCs w:val="20"/>
          <w:color w:val="auto"/>
        </w:rPr>
      </w:pPr>
    </w:p>
    <w:p>
      <w:pPr>
        <w:spacing w:after="0" w:line="295"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947" w:right="1440" w:bottom="1440" w:gutter="0" w:footer="0" w:header="0"/>
        </w:sectPr>
      </w:pPr>
    </w:p>
    <w:bookmarkStart w:id="34" w:name="page35"/>
    <w:bookmarkEnd w:id="34"/>
    <w:p>
      <w:pPr>
        <w:ind w:right="3339" w:firstLine="1730"/>
        <w:spacing w:after="0" w:line="250" w:lineRule="auto"/>
        <w:tabs>
          <w:tab w:leader="none" w:pos="2153"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LAPSE OF RESTRICTIONS. When the Performance Goals set forth in Subsection 2.a.i.(A) have been achieved with respect to any portion of the shares of the Restricted Stock, the Company shall deliver to Mr. Melrose or his legal representative, beneficiary or heir not later than 60 days thereafter a certificate or certificates representing the Common Stock without the legend referred to in Subsection 2.d.i. hereof. The number of shares of Common Stock to be released shall be the same number as to which the Performance Goals have been</w:t>
      </w:r>
    </w:p>
    <w:p>
      <w:pPr>
        <w:spacing w:after="0" w:line="3"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achieved in accordance with Subsection 2.a.i.(A).</w:t>
      </w:r>
    </w:p>
    <w:p>
      <w:pPr>
        <w:spacing w:after="0" w:line="173" w:lineRule="exact"/>
        <w:rPr>
          <w:sz w:val="20"/>
          <w:szCs w:val="20"/>
          <w:color w:val="auto"/>
        </w:rPr>
      </w:pPr>
    </w:p>
    <w:p>
      <w:pPr>
        <w:ind w:left="3280" w:hanging="774"/>
        <w:spacing w:after="0"/>
        <w:tabs>
          <w:tab w:leader="none" w:pos="3280" w:val="left"/>
        </w:tabs>
        <w:numPr>
          <w:ilvl w:val="2"/>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RIGHTS AS STOCKHOLDER.</w:t>
      </w:r>
    </w:p>
    <w:p>
      <w:pPr>
        <w:spacing w:after="0" w:line="172" w:lineRule="exact"/>
        <w:rPr>
          <w:rFonts w:ascii="Courier New" w:cs="Courier New" w:eastAsia="Courier New" w:hAnsi="Courier New"/>
          <w:sz w:val="14"/>
          <w:szCs w:val="14"/>
          <w:color w:val="auto"/>
        </w:rPr>
      </w:pPr>
    </w:p>
    <w:p>
      <w:pPr>
        <w:ind w:left="220" w:right="3379" w:firstLine="1378"/>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 RIGHT TO VOTE AND DIVIDENDS. Except as provided in Section 1 and this Section 2, Mr. Melrose shall have, with respect to the shares of</w:t>
      </w: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Restricted Stock, all of the rights of a stockholder of the Company, including</w:t>
      </w:r>
    </w:p>
    <w:p>
      <w:pPr>
        <w:spacing w:after="0" w:line="7" w:lineRule="exact"/>
        <w:rPr>
          <w:rFonts w:ascii="Courier New" w:cs="Courier New" w:eastAsia="Courier New" w:hAnsi="Courier New"/>
          <w:sz w:val="14"/>
          <w:szCs w:val="14"/>
          <w:color w:val="auto"/>
        </w:rPr>
      </w:pP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right to vote the shares and the right to receive cash dividends with</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respect to the shares.</w:t>
      </w:r>
    </w:p>
    <w:p>
      <w:pPr>
        <w:spacing w:after="0" w:line="173" w:lineRule="exact"/>
        <w:rPr>
          <w:sz w:val="20"/>
          <w:szCs w:val="20"/>
          <w:color w:val="auto"/>
        </w:rPr>
      </w:pPr>
    </w:p>
    <w:p>
      <w:pPr>
        <w:ind w:left="60" w:right="3379" w:firstLine="1541"/>
        <w:spacing w:after="0" w:line="250" w:lineRule="auto"/>
        <w:tabs>
          <w:tab w:leader="none" w:pos="1955" w:val="left"/>
        </w:tabs>
        <w:numPr>
          <w:ilvl w:val="1"/>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ADJUSTMENTS. In the event of any merger, reorganization, consolidation, recapitalization, stock dividend, stock split or other change in corporate structure affecting the Common Stock, the Committee shall make such</w:t>
      </w:r>
    </w:p>
    <w:p>
      <w:pPr>
        <w:spacing w:after="0" w:line="1" w:lineRule="exact"/>
        <w:rPr>
          <w:rFonts w:ascii="Courier New" w:cs="Courier New" w:eastAsia="Courier New" w:hAnsi="Courier New"/>
          <w:sz w:val="14"/>
          <w:szCs w:val="14"/>
          <w:color w:val="auto"/>
        </w:rPr>
      </w:pPr>
    </w:p>
    <w:p>
      <w:pPr>
        <w:jc w:val="center"/>
        <w:ind w:left="60" w:right="3379" w:firstLine="12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substitution or adjustment in the aggregate number of shares of Common Stock reserved for issuance hereunder or in the number of shares outstanding as Restricted Stock or in the number of Performance Units, as may be determined to be appropriate by the Committee, acting in its sole discretion, provided that the number of shares or Performance Units shall always be a whole number.</w:t>
      </w:r>
    </w:p>
    <w:p>
      <w:pPr>
        <w:spacing w:after="0" w:line="164" w:lineRule="exact"/>
        <w:rPr>
          <w:rFonts w:ascii="Courier New" w:cs="Courier New" w:eastAsia="Courier New" w:hAnsi="Courier New"/>
          <w:sz w:val="14"/>
          <w:szCs w:val="14"/>
          <w:color w:val="auto"/>
        </w:rPr>
      </w:pPr>
    </w:p>
    <w:p>
      <w:pPr>
        <w:ind w:left="400" w:right="3559" w:firstLine="598"/>
        <w:spacing w:after="0" w:line="250" w:lineRule="auto"/>
        <w:tabs>
          <w:tab w:leader="none" w:pos="1347"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IN CONTROL. In the event of a Change of Control of the Company as hereinafter defined, whether or not approved by the Board of</w:t>
      </w:r>
    </w:p>
    <w:p>
      <w:pPr>
        <w:spacing w:after="0" w:line="1"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Directors, all shares of Restricted Stock shall immediately fully vest and be</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freely transferable.</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Change of Control means:</w:t>
      </w:r>
    </w:p>
    <w:p>
      <w:pPr>
        <w:spacing w:after="0" w:line="173" w:lineRule="exact"/>
        <w:rPr>
          <w:sz w:val="20"/>
          <w:szCs w:val="20"/>
          <w:color w:val="auto"/>
        </w:rPr>
      </w:pPr>
    </w:p>
    <w:p>
      <w:pPr>
        <w:ind w:right="3339" w:firstLine="1593"/>
        <w:spacing w:after="0" w:line="250" w:lineRule="auto"/>
        <w:rPr>
          <w:sz w:val="20"/>
          <w:szCs w:val="20"/>
          <w:color w:val="auto"/>
        </w:rPr>
      </w:pPr>
      <w:r>
        <w:rPr>
          <w:rFonts w:ascii="Courier New" w:cs="Courier New" w:eastAsia="Courier New" w:hAnsi="Courier New"/>
          <w:sz w:val="14"/>
          <w:szCs w:val="14"/>
          <w:color w:val="auto"/>
        </w:rPr>
        <w:t>i. The acquisition by any individual, entity or group (within the meaning of Section 13(d)(3) or 14(d)(2) of the Exchange Act) (a "Person") of beneficial ownership (within the meaning of Rule 13d-3 under the Exchange Act) of 15% or more of either (A) the then-outstanding shares of Common Stock of the</w:t>
      </w:r>
    </w:p>
    <w:p>
      <w:pPr>
        <w:spacing w:after="0" w:line="2" w:lineRule="exact"/>
        <w:rPr>
          <w:sz w:val="20"/>
          <w:szCs w:val="20"/>
          <w:color w:val="auto"/>
        </w:rPr>
      </w:pPr>
    </w:p>
    <w:p>
      <w:pPr>
        <w:jc w:val="center"/>
        <w:ind w:left="240" w:right="40"/>
        <w:spacing w:after="0" w:line="250" w:lineRule="auto"/>
        <w:rPr>
          <w:sz w:val="20"/>
          <w:szCs w:val="20"/>
          <w:color w:val="auto"/>
        </w:rPr>
      </w:pPr>
      <w:r>
        <w:rPr>
          <w:rFonts w:ascii="Courier New" w:cs="Courier New" w:eastAsia="Courier New" w:hAnsi="Courier New"/>
          <w:sz w:val="14"/>
          <w:szCs w:val="14"/>
          <w:color w:val="auto"/>
        </w:rPr>
        <w:t>Company (the "Outstanding Company Common Stock") or (B) the combined voting power of the then-outstanding voting securities of the Company entitled to vote generally in the election of directors (the "Outstanding Company Voting Securities"); provided, however, that for purposes of this subsection i., the following acquisitions shall not constitute a Change of Control: (A) any</w:t>
      </w:r>
    </w:p>
    <w:p>
      <w:pPr>
        <w:spacing w:after="0" w:line="2" w:lineRule="exact"/>
        <w:rPr>
          <w:sz w:val="20"/>
          <w:szCs w:val="20"/>
          <w:color w:val="auto"/>
        </w:rPr>
      </w:pPr>
    </w:p>
    <w:p>
      <w:pPr>
        <w:jc w:val="center"/>
        <w:ind w:left="240" w:right="40"/>
        <w:spacing w:after="0" w:line="251" w:lineRule="auto"/>
        <w:rPr>
          <w:sz w:val="20"/>
          <w:szCs w:val="20"/>
          <w:color w:val="auto"/>
        </w:rPr>
      </w:pPr>
      <w:r>
        <w:rPr>
          <w:rFonts w:ascii="Courier New" w:cs="Courier New" w:eastAsia="Courier New" w:hAnsi="Courier New"/>
          <w:sz w:val="14"/>
          <w:szCs w:val="14"/>
          <w:color w:val="auto"/>
        </w:rPr>
        <w:t>acquisition directly from the Company, (B) any acquisition by the Company, (C) any acquisition by any employee benefit plan (or related trust) sponsored or maintained by the Company or any corporation controlled by the Company, or (D) any acquisition by any corporation pursuant to a transaction that complies with clauses (A), (B) and (C) of subsection iii. of this Subsection 2.f.; or</w:t>
      </w:r>
    </w:p>
    <w:p>
      <w:pPr>
        <w:spacing w:after="0" w:line="165" w:lineRule="exact"/>
        <w:rPr>
          <w:sz w:val="20"/>
          <w:szCs w:val="20"/>
          <w:color w:val="auto"/>
        </w:rPr>
      </w:pPr>
    </w:p>
    <w:p>
      <w:pPr>
        <w:ind w:left="100" w:right="3419" w:firstLine="1630"/>
        <w:spacing w:after="0" w:line="250" w:lineRule="auto"/>
        <w:tabs>
          <w:tab w:leader="none" w:pos="2081"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Individuals who, as of the date hereof, constitute the Board of Directors of the Company (the "Incumbent Board") cease for any reason</w:t>
      </w: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 constitute at least a majority of the Board; provided, however, that any</w:t>
      </w:r>
    </w:p>
    <w:p>
      <w:pPr>
        <w:spacing w:after="0" w:line="7" w:lineRule="exact"/>
        <w:rPr>
          <w:sz w:val="20"/>
          <w:szCs w:val="20"/>
          <w:color w:val="auto"/>
        </w:rPr>
      </w:pPr>
    </w:p>
    <w:p>
      <w:pPr>
        <w:jc w:val="center"/>
        <w:ind w:right="3339"/>
        <w:spacing w:after="0" w:line="251" w:lineRule="auto"/>
        <w:rPr>
          <w:sz w:val="20"/>
          <w:szCs w:val="20"/>
          <w:color w:val="auto"/>
        </w:rPr>
      </w:pPr>
      <w:r>
        <w:rPr>
          <w:rFonts w:ascii="Courier New" w:cs="Courier New" w:eastAsia="Courier New" w:hAnsi="Courier New"/>
          <w:sz w:val="14"/>
          <w:szCs w:val="14"/>
          <w:color w:val="auto"/>
        </w:rPr>
        <w:t>individual becoming a director subsequent to the date hereof whose election, or nomination for election by the Company's stockholders,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200" w:lineRule="exact"/>
        <w:rPr>
          <w:sz w:val="20"/>
          <w:szCs w:val="20"/>
          <w:color w:val="auto"/>
        </w:rPr>
      </w:pPr>
    </w:p>
    <w:p>
      <w:pPr>
        <w:spacing w:after="0" w:line="295"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947" w:right="1440" w:bottom="1440" w:gutter="0" w:footer="0" w:header="0"/>
        </w:sectPr>
      </w:pPr>
    </w:p>
    <w:bookmarkStart w:id="35" w:name="page36"/>
    <w:bookmarkEnd w:id="35"/>
    <w:p>
      <w:pPr>
        <w:ind w:left="100" w:right="3339" w:firstLine="1459"/>
        <w:spacing w:after="0" w:line="250" w:lineRule="auto"/>
        <w:tabs>
          <w:tab w:leader="none" w:pos="1995"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Consummation of a reorganization, merger or consolidation of the Company or sale or other disposition of all or substantially all of the assets of the Company or the acquisition by the Company of assets or stock of</w:t>
      </w:r>
    </w:p>
    <w:p>
      <w:pPr>
        <w:spacing w:after="0" w:line="1"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another entity (a "Business Combination"), in each case, unless, following such</w:t>
      </w:r>
    </w:p>
    <w:p>
      <w:pPr>
        <w:spacing w:after="0" w:line="7" w:lineRule="exact"/>
        <w:rPr>
          <w:sz w:val="20"/>
          <w:szCs w:val="20"/>
          <w:color w:val="auto"/>
        </w:rPr>
      </w:pPr>
    </w:p>
    <w:p>
      <w:pPr>
        <w:jc w:val="center"/>
        <w:ind w:right="3339"/>
        <w:spacing w:after="0" w:line="250" w:lineRule="auto"/>
        <w:rPr>
          <w:sz w:val="20"/>
          <w:szCs w:val="20"/>
          <w:color w:val="auto"/>
        </w:rPr>
      </w:pPr>
      <w:r>
        <w:rPr>
          <w:rFonts w:ascii="Courier New" w:cs="Courier New" w:eastAsia="Courier New" w:hAnsi="Courier New"/>
          <w:sz w:val="14"/>
          <w:szCs w:val="14"/>
          <w:color w:val="auto"/>
        </w:rPr>
        <w:t>Business Combination, (A) all or substantially all of the individuals and entities who were the beneficial owners, respectively, of the Outstanding Company Common Stock and Outstanding Company Voting Securities immediately prior to such Business Combination beneficially own, directly or indirectly, more than 50% of, respectively, the then-outstanding shares of common stock and the combined voting power of the then-outstanding voting securities entitled to vote generally in the election of directors, as the case may be, of the corporation resulting from such Business Combination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Common Stock and Outstanding Company Voting Securities, as the case may be, (B) no Person (excluding any corporation resulting from such Business Combination or any employee benefit plan (or related trust) of the Company or such corporation resulting from such Business Combination) beneficially owns, directly or indirectly, 15% or more of, respectively, the then-outstanding shares of common stock of the corporation resulting from such Business Combination, or the combined voting power of the then-outstanding voting securities of such corporation except to the extent that such ownership existed prior to the Business Combination and (C) at least a majority of the members of the board of directors of the corporation resulting from such Business Combination were members of the Incumbent Board at the time of the execution of the initial agreement, or of the action of the Board, providing for such Business Combination; or</w:t>
      </w:r>
    </w:p>
    <w:p>
      <w:pPr>
        <w:spacing w:after="0" w:line="342" w:lineRule="exact"/>
        <w:rPr>
          <w:sz w:val="20"/>
          <w:szCs w:val="20"/>
          <w:color w:val="auto"/>
        </w:rPr>
      </w:pPr>
    </w:p>
    <w:p>
      <w:pPr>
        <w:ind w:left="1640" w:right="3339" w:hanging="81"/>
        <w:spacing w:after="0" w:line="255" w:lineRule="auto"/>
        <w:tabs>
          <w:tab w:leader="none" w:pos="1985" w:val="left"/>
        </w:tabs>
        <w:numPr>
          <w:ilvl w:val="1"/>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Approval by the stockholders of the Company of a complete liquidation or dissolution of the Company.</w:t>
      </w:r>
    </w:p>
    <w:p>
      <w:pPr>
        <w:spacing w:after="0" w:line="159" w:lineRule="exact"/>
        <w:rPr>
          <w:rFonts w:ascii="Courier New" w:cs="Courier New" w:eastAsia="Courier New" w:hAnsi="Courier New"/>
          <w:sz w:val="14"/>
          <w:szCs w:val="14"/>
          <w:color w:val="auto"/>
        </w:rPr>
      </w:pPr>
    </w:p>
    <w:p>
      <w:pPr>
        <w:jc w:val="both"/>
        <w:ind w:left="360" w:right="3639" w:hanging="51"/>
        <w:spacing w:after="0" w:line="250" w:lineRule="auto"/>
        <w:tabs>
          <w:tab w:leader="none" w:pos="575"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WITHHOLDING TAXES. The Company shall have the right to deduct from any settlement made hereunder any federal, state or local taxes of any kind,</w:t>
      </w:r>
    </w:p>
    <w:p>
      <w:pPr>
        <w:spacing w:after="0" w:line="1"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including FICA and related taxes, required by law to be withheld with respect to</w:t>
      </w:r>
    </w:p>
    <w:p>
      <w:pPr>
        <w:spacing w:after="0" w:line="7" w:lineRule="exact"/>
        <w:rPr>
          <w:sz w:val="20"/>
          <w:szCs w:val="20"/>
          <w:color w:val="auto"/>
        </w:rPr>
      </w:pPr>
    </w:p>
    <w:p>
      <w:pPr>
        <w:jc w:val="center"/>
        <w:ind w:left="240" w:right="40"/>
        <w:spacing w:after="0" w:line="251" w:lineRule="auto"/>
        <w:rPr>
          <w:sz w:val="20"/>
          <w:szCs w:val="20"/>
          <w:color w:val="auto"/>
        </w:rPr>
      </w:pPr>
      <w:r>
        <w:rPr>
          <w:rFonts w:ascii="Courier New" w:cs="Courier New" w:eastAsia="Courier New" w:hAnsi="Courier New"/>
          <w:sz w:val="14"/>
          <w:szCs w:val="14"/>
          <w:color w:val="auto"/>
        </w:rPr>
        <w:t>the vesting of rights to receive or payment of remuneration or to take such other action as may be necessary in the opinion of the Company to satisfy all obligations for the payment of such taxes. If Common Stock is withheld or surrendered to satisfy tax withholding, such stock shall be valued at its fair market value as of the date such Common Stock is withheld or surrendered or the obligation to pay such taxes becomes fixed.</w:t>
      </w:r>
    </w:p>
    <w:p>
      <w:pPr>
        <w:spacing w:after="0" w:line="330"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947" w:right="1440" w:bottom="1440" w:gutter="0" w:footer="0" w:header="0"/>
        </w:sectPr>
      </w:pPr>
    </w:p>
    <w:bookmarkStart w:id="36" w:name="page37"/>
    <w:bookmarkEnd w:id="36"/>
    <w:p>
      <w:pPr>
        <w:ind w:left="60" w:right="3379" w:firstLine="120"/>
        <w:spacing w:after="0" w:line="250" w:lineRule="auto"/>
        <w:tabs>
          <w:tab w:leader="none" w:pos="448" w:val="left"/>
        </w:tabs>
        <w:numPr>
          <w:ilvl w:val="2"/>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REGISTRATION RIGHTS. Mr. Melrose shall have the right to require that the Company promptly take all necessary steps to register or qualify the Restricted</w:t>
      </w:r>
    </w:p>
    <w:p>
      <w:pPr>
        <w:jc w:val="center"/>
        <w:ind w:left="60" w:right="3379" w:firstLine="86"/>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Stock, or Common Stock issued upon vesting of the Restricted Stock, under the Securities Act of 1933, as amended, and the securities laws of such states as Mr. Melrose may reasonably request. The Company shall keep effective and maintain any registration, qualification, notification or approval for such period as is reasonably necessary for Mr. Melrose to dispose of the Restricted Stock or Common Stock and from time to time shall amend or supplement the prospectus used in connection therewith to the extent necessary in order to comply with applicable law. The Company shall bear all fees, costs and expenses of such registration, qualification, notification or approval.</w:t>
      </w:r>
    </w:p>
    <w:p>
      <w:pPr>
        <w:spacing w:after="0" w:line="163" w:lineRule="exact"/>
        <w:rPr>
          <w:rFonts w:ascii="Courier New" w:cs="Courier New" w:eastAsia="Courier New" w:hAnsi="Courier New"/>
          <w:sz w:val="14"/>
          <w:szCs w:val="14"/>
          <w:color w:val="auto"/>
        </w:rPr>
      </w:pPr>
    </w:p>
    <w:p>
      <w:pPr>
        <w:jc w:val="both"/>
        <w:ind w:left="60" w:right="3339" w:hanging="52"/>
        <w:spacing w:after="0" w:line="250" w:lineRule="auto"/>
        <w:tabs>
          <w:tab w:leader="none" w:pos="276"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COMPLIANCE WITH RULE 16B-3 AND SECTION 162(m). The grants of Restricted Stock and Performance Units made under this Agreement and the remuneration to be paid</w:t>
      </w:r>
    </w:p>
    <w:p>
      <w:pPr>
        <w:jc w:val="center"/>
        <w:ind w:left="100" w:right="3419" w:firstLine="43"/>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to Mr. Melrose as a consequence of the grants are intended to comply with all applicable conditions of Rule 16b-3 under the Securities Exchange Act of 1934 and to avoid the loss of the deduction referred to in paragraph (1) of Section 162(m) of the Internal Revenue Code of 1986, as amended.</w:t>
      </w:r>
    </w:p>
    <w:p>
      <w:pPr>
        <w:spacing w:after="0" w:line="162" w:lineRule="exact"/>
        <w:rPr>
          <w:rFonts w:ascii="Courier New" w:cs="Courier New" w:eastAsia="Courier New" w:hAnsi="Courier New"/>
          <w:sz w:val="14"/>
          <w:szCs w:val="14"/>
          <w:color w:val="auto"/>
        </w:rPr>
      </w:pPr>
    </w:p>
    <w:p>
      <w:pPr>
        <w:jc w:val="both"/>
        <w:ind w:left="60" w:right="3379" w:firstLine="34"/>
        <w:spacing w:after="0" w:line="250" w:lineRule="auto"/>
        <w:tabs>
          <w:tab w:leader="none" w:pos="362" w:val="left"/>
        </w:tabs>
        <w:numPr>
          <w:ilvl w:val="1"/>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EMPLOYMENT. Nothing in this Agreement shall interfere with or limit in any way the right of the Company to terminate Mr. Melrose's employment at any time,</w:t>
      </w: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with the Company or any subsidiary of the Company, or shall confer upon Mr.</w:t>
      </w:r>
    </w:p>
    <w:p>
      <w:pPr>
        <w:spacing w:after="0" w:line="7" w:lineRule="exact"/>
        <w:rPr>
          <w:rFonts w:ascii="Courier New" w:cs="Courier New" w:eastAsia="Courier New" w:hAnsi="Courier New"/>
          <w:sz w:val="14"/>
          <w:szCs w:val="14"/>
          <w:color w:val="auto"/>
        </w:rPr>
      </w:pPr>
    </w:p>
    <w:p>
      <w:pPr>
        <w:ind w:left="9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Melrose any right to continue in the employ of the Company.</w:t>
      </w:r>
    </w:p>
    <w:p>
      <w:pPr>
        <w:spacing w:after="0" w:line="173" w:lineRule="exact"/>
        <w:rPr>
          <w:sz w:val="20"/>
          <w:szCs w:val="20"/>
          <w:color w:val="auto"/>
        </w:rPr>
      </w:pPr>
    </w:p>
    <w:p>
      <w:pPr>
        <w:ind w:left="140" w:right="3339" w:hanging="132"/>
        <w:spacing w:after="0" w:line="250" w:lineRule="auto"/>
        <w:tabs>
          <w:tab w:leader="none" w:pos="27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NONEXCLUSIVITY OF THE PLAN. Neither the adoption of the Plan by the Board nor the submission of the Plan to stockholders for approval shall be construed to</w:t>
      </w:r>
    </w:p>
    <w:p>
      <w:pPr>
        <w:jc w:val="center"/>
        <w:ind w:left="180" w:right="3519" w:firstLine="43"/>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limit the power of the Board or the Committee to adopt such other incentive arrangements as either may deem desirable, including without limitation, the award of stock and cash awards otherwise than under the Plan, or to set compensation and retirement benefits and make such awards to Mr. Melrose as</w:t>
      </w:r>
    </w:p>
    <w:p>
      <w:pPr>
        <w:spacing w:after="0" w:line="2"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either may deem desirable.</w:t>
      </w:r>
    </w:p>
    <w:p>
      <w:pPr>
        <w:spacing w:after="0" w:line="173" w:lineRule="exact"/>
        <w:rPr>
          <w:sz w:val="20"/>
          <w:szCs w:val="20"/>
          <w:color w:val="auto"/>
        </w:rPr>
      </w:pPr>
    </w:p>
    <w:p>
      <w:pPr>
        <w:jc w:val="both"/>
        <w:ind w:left="220" w:right="3519" w:hanging="40"/>
        <w:spacing w:after="0" w:line="250" w:lineRule="auto"/>
        <w:tabs>
          <w:tab w:leader="none" w:pos="435"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EXCLUSION FROM PENSION, PROFIT SHARING AND OTHER BENEFIT CALCULATIONS. By acceptance of the award made by this Agreement, Mr. Melrose agrees that the</w:t>
      </w:r>
    </w:p>
    <w:p>
      <w:pPr>
        <w:spacing w:after="0" w:line="1"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award or vesting of Restricted Stock and Performance Units constitute special</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incentive compensation that is not taken into account as "salary" or</w:t>
      </w:r>
    </w:p>
    <w:p>
      <w:pPr>
        <w:spacing w:after="0" w:line="7" w:lineRule="exact"/>
        <w:rPr>
          <w:sz w:val="20"/>
          <w:szCs w:val="20"/>
          <w:color w:val="auto"/>
        </w:rPr>
      </w:pPr>
    </w:p>
    <w:p>
      <w:pPr>
        <w:jc w:val="center"/>
        <w:ind w:right="3339"/>
        <w:spacing w:after="0" w:line="251" w:lineRule="auto"/>
        <w:rPr>
          <w:sz w:val="20"/>
          <w:szCs w:val="20"/>
          <w:color w:val="auto"/>
        </w:rPr>
      </w:pPr>
      <w:r>
        <w:rPr>
          <w:rFonts w:ascii="Courier New" w:cs="Courier New" w:eastAsia="Courier New" w:hAnsi="Courier New"/>
          <w:sz w:val="14"/>
          <w:szCs w:val="14"/>
          <w:color w:val="auto"/>
        </w:rPr>
        <w:t>"compensation" or "bonus" in determining the amount of any payment under any pension, retirement or profit sharing plan of the Company or any subsidiary. Mr. Melrose agrees further that such award shall not be taken into account in determining the amount of any life insurance coverage, short or long-term disability coverage or any other pay-based benefit provided by the Company or any subsidiary.</w:t>
      </w:r>
    </w:p>
    <w:p>
      <w:pPr>
        <w:spacing w:after="0" w:line="164" w:lineRule="exact"/>
        <w:rPr>
          <w:sz w:val="20"/>
          <w:szCs w:val="20"/>
          <w:color w:val="auto"/>
        </w:rPr>
      </w:pPr>
    </w:p>
    <w:p>
      <w:pPr>
        <w:jc w:val="both"/>
        <w:ind w:left="60" w:right="3339" w:hanging="52"/>
        <w:spacing w:after="0" w:line="250" w:lineRule="auto"/>
        <w:tabs>
          <w:tab w:leader="none" w:pos="276"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This Agreement may be amended, modified or terminated from time to time, provided however that no amendment may be adopted without the approval of the stockholders of the Company if such amendment requires stockholder approval</w:t>
      </w:r>
    </w:p>
    <w:p>
      <w:pPr>
        <w:spacing w:after="0" w:line="1"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pursuant to Rule 16b-3 or Section 162(m), and no amendment, modification or</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may be adopted without the written agreement of Mr. Melrose if such</w:t>
      </w:r>
    </w:p>
    <w:p>
      <w:pPr>
        <w:spacing w:after="0" w:line="7" w:lineRule="exact"/>
        <w:rPr>
          <w:rFonts w:ascii="Courier New" w:cs="Courier New" w:eastAsia="Courier New" w:hAnsi="Courier New"/>
          <w:sz w:val="14"/>
          <w:szCs w:val="14"/>
          <w:color w:val="auto"/>
        </w:rPr>
      </w:pP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modification or termination would adversely affect his rights.</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foregoing and the requirements of Section 162(m), the Board may,</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 accordance with the recommendation of the Committee and without further</w:t>
      </w:r>
    </w:p>
    <w:p>
      <w:pPr>
        <w:spacing w:after="0" w:line="7" w:lineRule="exact"/>
        <w:rPr>
          <w:rFonts w:ascii="Courier New" w:cs="Courier New" w:eastAsia="Courier New" w:hAnsi="Courier New"/>
          <w:sz w:val="14"/>
          <w:szCs w:val="14"/>
          <w:color w:val="auto"/>
        </w:rPr>
      </w:pPr>
    </w:p>
    <w:p>
      <w:pPr>
        <w:jc w:val="center"/>
        <w:ind w:left="180" w:right="3339" w:hanging="172"/>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action on the part of stockholders of the Company or the consent of Mr. Melrose, amend the Agreement to preserve the employer deduction under Section 162(m).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947" w:right="1440" w:bottom="1440" w:gutter="0" w:footer="0" w:header="0"/>
        </w:sectPr>
      </w:pPr>
    </w:p>
    <w:bookmarkStart w:id="37" w:name="page38"/>
    <w:bookmarkEnd w:id="37"/>
    <w:p>
      <w:pPr>
        <w:ind w:left="-51" w:right="3339" w:firstLine="223"/>
        <w:spacing w:after="0" w:line="250" w:lineRule="auto"/>
        <w:tabs>
          <w:tab w:leader="none" w:pos="508"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 This Agreement and the awards granted hereunder shall be construed, administered and governed in all respects under and by the applicable laws of the State of Delaware, without giving effect to principles of conflicts</w:t>
      </w:r>
    </w:p>
    <w:p>
      <w:pPr>
        <w:spacing w:after="0" w:line="1" w:lineRule="exact"/>
        <w:rPr>
          <w:sz w:val="20"/>
          <w:szCs w:val="20"/>
          <w:color w:val="auto"/>
        </w:rPr>
      </w:pPr>
    </w:p>
    <w:p>
      <w:pPr>
        <w:ind w:left="3049"/>
        <w:spacing w:after="0"/>
        <w:rPr>
          <w:sz w:val="20"/>
          <w:szCs w:val="20"/>
          <w:color w:val="auto"/>
        </w:rPr>
      </w:pPr>
      <w:r>
        <w:rPr>
          <w:rFonts w:ascii="Courier New" w:cs="Courier New" w:eastAsia="Courier New" w:hAnsi="Courier New"/>
          <w:sz w:val="14"/>
          <w:szCs w:val="14"/>
          <w:color w:val="auto"/>
        </w:rPr>
        <w:t>of laws.</w:t>
      </w:r>
    </w:p>
    <w:p>
      <w:pPr>
        <w:spacing w:after="0" w:line="173" w:lineRule="exact"/>
        <w:rPr>
          <w:sz w:val="20"/>
          <w:szCs w:val="20"/>
          <w:color w:val="auto"/>
        </w:rPr>
      </w:pPr>
    </w:p>
    <w:p>
      <w:pPr>
        <w:jc w:val="both"/>
        <w:ind w:left="-51" w:right="3339" w:firstLine="51"/>
        <w:spacing w:after="0" w:line="250" w:lineRule="auto"/>
        <w:tabs>
          <w:tab w:leader="none" w:pos="336"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SUCCESSORS. Except as otherwise provided in this Agreement shall be binding upon and inure to the benefit of the Company, its successors and assigns and Mr.</w:t>
      </w:r>
    </w:p>
    <w:p>
      <w:pPr>
        <w:ind w:left="389"/>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Melrose, his beneficiaries, heirs, executors, administrators and legal</w:t>
      </w:r>
    </w:p>
    <w:p>
      <w:pPr>
        <w:spacing w:after="0" w:line="7" w:lineRule="exact"/>
        <w:rPr>
          <w:sz w:val="20"/>
          <w:szCs w:val="20"/>
          <w:color w:val="auto"/>
        </w:rPr>
      </w:pPr>
    </w:p>
    <w:p>
      <w:pPr>
        <w:ind w:left="2709"/>
        <w:spacing w:after="0"/>
        <w:rPr>
          <w:sz w:val="20"/>
          <w:szCs w:val="20"/>
          <w:color w:val="auto"/>
        </w:rPr>
      </w:pPr>
      <w:r>
        <w:rPr>
          <w:rFonts w:ascii="Courier New" w:cs="Courier New" w:eastAsia="Courier New" w:hAnsi="Courier New"/>
          <w:sz w:val="14"/>
          <w:szCs w:val="14"/>
          <w:color w:val="auto"/>
        </w:rPr>
        <w:t>representatives.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188"/>
          </w:cols>
          <w:pgMar w:left="271" w:top="1113" w:right="1440" w:bottom="1440" w:gutter="0" w:footer="0" w:header="0"/>
        </w:sectPr>
      </w:pPr>
    </w:p>
    <w:bookmarkStart w:id="38" w:name="page39"/>
    <w:bookmarkEnd w:id="38"/>
    <w:p>
      <w:pPr>
        <w:ind w:left="520" w:right="3479" w:hanging="602"/>
        <w:spacing w:after="0" w:line="255" w:lineRule="auto"/>
        <w:rPr>
          <w:sz w:val="20"/>
          <w:szCs w:val="20"/>
          <w:color w:val="auto"/>
        </w:rPr>
      </w:pPr>
      <w:r>
        <w:rPr>
          <w:rFonts w:ascii="Courier New" w:cs="Courier New" w:eastAsia="Courier New" w:hAnsi="Courier New"/>
          <w:sz w:val="14"/>
          <w:szCs w:val="14"/>
          <w:color w:val="auto"/>
        </w:rPr>
        <w:t>IN WITNESS WHEREOF, the Agreement has been executed and delivered by the Company as of the 18th day of July, 2002.</w:t>
      </w:r>
    </w:p>
    <w:p>
      <w:pPr>
        <w:spacing w:after="0" w:line="160" w:lineRule="exact"/>
        <w:rPr>
          <w:sz w:val="20"/>
          <w:szCs w:val="20"/>
          <w:color w:val="auto"/>
        </w:rPr>
      </w:pPr>
    </w:p>
    <w:p>
      <w:pPr>
        <w:jc w:val="center"/>
        <w:ind w:right="459"/>
        <w:spacing w:after="0"/>
        <w:rPr>
          <w:sz w:val="20"/>
          <w:szCs w:val="20"/>
          <w:color w:val="auto"/>
        </w:rPr>
      </w:pPr>
      <w:r>
        <w:rPr>
          <w:rFonts w:ascii="Courier New" w:cs="Courier New" w:eastAsia="Courier New" w:hAnsi="Courier New"/>
          <w:sz w:val="14"/>
          <w:szCs w:val="14"/>
          <w:color w:val="auto"/>
        </w:rPr>
        <w:t>THE TORO COMPANY</w:t>
      </w:r>
    </w:p>
    <w:p>
      <w:pPr>
        <w:spacing w:after="0" w:line="338" w:lineRule="exact"/>
        <w:rPr>
          <w:sz w:val="20"/>
          <w:szCs w:val="20"/>
          <w:color w:val="auto"/>
        </w:rPr>
      </w:pPr>
    </w:p>
    <w:p>
      <w:pPr>
        <w:jc w:val="center"/>
        <w:ind w:right="459"/>
        <w:spacing w:after="0"/>
        <w:rPr>
          <w:sz w:val="20"/>
          <w:szCs w:val="20"/>
          <w:color w:val="auto"/>
        </w:rPr>
      </w:pPr>
      <w:r>
        <w:rPr>
          <w:rFonts w:ascii="Courier New" w:cs="Courier New" w:eastAsia="Courier New" w:hAnsi="Courier New"/>
          <w:sz w:val="14"/>
          <w:szCs w:val="14"/>
          <w:color w:val="auto"/>
        </w:rPr>
        <w:t>/s/ J. Lawrence McIntyre</w:t>
      </w:r>
    </w:p>
    <w:p>
      <w:pPr>
        <w:spacing w:after="0" w:line="7"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Title: Vice President &amp; Secretary</w:t>
      </w:r>
    </w:p>
    <w:p>
      <w:pPr>
        <w:spacing w:after="0" w:line="338" w:lineRule="exact"/>
        <w:rPr>
          <w:sz w:val="20"/>
          <w:szCs w:val="20"/>
          <w:color w:val="auto"/>
        </w:rPr>
      </w:pPr>
    </w:p>
    <w:p>
      <w:pPr>
        <w:ind w:right="3559"/>
        <w:spacing w:after="0" w:line="255" w:lineRule="auto"/>
        <w:rPr>
          <w:sz w:val="20"/>
          <w:szCs w:val="20"/>
          <w:color w:val="auto"/>
        </w:rPr>
      </w:pPr>
      <w:r>
        <w:rPr>
          <w:rFonts w:ascii="Courier New" w:cs="Courier New" w:eastAsia="Courier New" w:hAnsi="Courier New"/>
          <w:sz w:val="14"/>
          <w:szCs w:val="14"/>
          <w:color w:val="auto"/>
        </w:rPr>
        <w:t>I hereby agree to the terms and conditions of this Chief Executive Officer Succession Incentive Award Agreement, as amended.</w:t>
      </w:r>
    </w:p>
    <w:p>
      <w:pPr>
        <w:spacing w:after="0" w:line="326" w:lineRule="exact"/>
        <w:rPr>
          <w:sz w:val="20"/>
          <w:szCs w:val="20"/>
          <w:color w:val="auto"/>
        </w:rPr>
      </w:pPr>
    </w:p>
    <w:p>
      <w:pPr>
        <w:jc w:val="center"/>
        <w:ind w:right="459"/>
        <w:spacing w:after="0"/>
        <w:rPr>
          <w:sz w:val="20"/>
          <w:szCs w:val="20"/>
          <w:color w:val="auto"/>
        </w:rPr>
      </w:pPr>
      <w:r>
        <w:rPr>
          <w:rFonts w:ascii="Courier New" w:cs="Courier New" w:eastAsia="Courier New" w:hAnsi="Courier New"/>
          <w:sz w:val="14"/>
          <w:szCs w:val="14"/>
          <w:color w:val="auto"/>
        </w:rPr>
        <w:t>KENDRICK B. MELROSE</w:t>
      </w:r>
    </w:p>
    <w:p>
      <w:pPr>
        <w:spacing w:after="0" w:line="200" w:lineRule="exact"/>
        <w:rPr>
          <w:sz w:val="20"/>
          <w:szCs w:val="20"/>
          <w:color w:val="auto"/>
        </w:rPr>
      </w:pPr>
    </w:p>
    <w:p>
      <w:pPr>
        <w:spacing w:after="0" w:line="304" w:lineRule="exact"/>
        <w:rPr>
          <w:sz w:val="20"/>
          <w:szCs w:val="20"/>
          <w:color w:val="auto"/>
        </w:rPr>
      </w:pPr>
    </w:p>
    <w:p>
      <w:pPr>
        <w:jc w:val="center"/>
        <w:ind w:right="459"/>
        <w:spacing w:after="0"/>
        <w:rPr>
          <w:sz w:val="20"/>
          <w:szCs w:val="20"/>
          <w:color w:val="auto"/>
        </w:rPr>
      </w:pPr>
      <w:r>
        <w:rPr>
          <w:rFonts w:ascii="Courier New" w:cs="Courier New" w:eastAsia="Courier New" w:hAnsi="Courier New"/>
          <w:sz w:val="14"/>
          <w:szCs w:val="14"/>
          <w:color w:val="auto"/>
        </w:rPr>
        <w:t>/s/ Kendrick B. Melrose</w:t>
      </w:r>
    </w:p>
    <w:p>
      <w:pPr>
        <w:spacing w:after="0" w:line="7"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04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9239"/>
          </w:cols>
          <w:pgMar w:left="1220" w:top="947" w:right="1440" w:bottom="1440" w:gutter="0" w:footer="0" w:header="0"/>
        </w:sectPr>
      </w:pPr>
    </w:p>
    <w:bookmarkStart w:id="39" w:name="page40"/>
    <w:bookmarkEnd w:id="39"/>
    <w:p>
      <w:pPr>
        <w:ind w:left="5460"/>
        <w:spacing w:after="0"/>
        <w:rPr>
          <w:sz w:val="20"/>
          <w:szCs w:val="20"/>
          <w:color w:val="auto"/>
        </w:rPr>
      </w:pPr>
      <w:r>
        <w:rPr>
          <w:rFonts w:ascii="Courier New" w:cs="Courier New" w:eastAsia="Courier New" w:hAnsi="Courier New"/>
          <w:sz w:val="14"/>
          <w:szCs w:val="14"/>
          <w:color w:val="auto"/>
        </w:rPr>
        <w:t>EXHIBIT 99.1</w:t>
      </w:r>
    </w:p>
    <w:p>
      <w:pPr>
        <w:spacing w:after="0" w:line="173" w:lineRule="exact"/>
        <w:rPr>
          <w:sz w:val="20"/>
          <w:szCs w:val="20"/>
          <w:color w:val="auto"/>
        </w:rPr>
      </w:pPr>
    </w:p>
    <w:p>
      <w:pPr>
        <w:ind w:right="3419" w:hanging="42"/>
        <w:spacing w:after="0" w:line="255" w:lineRule="auto"/>
        <w:rPr>
          <w:sz w:val="20"/>
          <w:szCs w:val="20"/>
          <w:color w:val="auto"/>
        </w:rPr>
      </w:pPr>
      <w:r>
        <w:rPr>
          <w:rFonts w:ascii="Courier New" w:cs="Courier New" w:eastAsia="Courier New" w:hAnsi="Courier New"/>
          <w:sz w:val="14"/>
          <w:szCs w:val="14"/>
          <w:color w:val="auto"/>
        </w:rPr>
        <w:t>STATEMENT UNDER OATH OF PRINCIPAL EXECUTIVE OFFICER AND PRINCIPAL FINANCIAL OFFICER REGARDING FACTS AND CIRCUMSTANCES RELATING TO EXCHANGE ACT FILINGS</w:t>
      </w:r>
    </w:p>
    <w:p>
      <w:pPr>
        <w:spacing w:after="0" w:line="160" w:lineRule="exact"/>
        <w:rPr>
          <w:sz w:val="20"/>
          <w:szCs w:val="20"/>
          <w:color w:val="auto"/>
        </w:rPr>
      </w:pPr>
    </w:p>
    <w:p>
      <w:pPr>
        <w:ind w:left="1080"/>
        <w:spacing w:after="0"/>
        <w:rPr>
          <w:sz w:val="20"/>
          <w:szCs w:val="20"/>
          <w:color w:val="auto"/>
        </w:rPr>
      </w:pPr>
      <w:r>
        <w:rPr>
          <w:rFonts w:ascii="Courier New" w:cs="Courier New" w:eastAsia="Courier New" w:hAnsi="Courier New"/>
          <w:sz w:val="14"/>
          <w:szCs w:val="14"/>
          <w:color w:val="auto"/>
        </w:rPr>
        <w:t>I, Kendrick B. Melrose, state and attest that:</w:t>
      </w:r>
    </w:p>
    <w:p>
      <w:pPr>
        <w:spacing w:after="0" w:line="173" w:lineRule="exact"/>
        <w:rPr>
          <w:sz w:val="20"/>
          <w:szCs w:val="20"/>
          <w:color w:val="auto"/>
        </w:rPr>
      </w:pPr>
    </w:p>
    <w:p>
      <w:pPr>
        <w:ind w:left="780" w:hanging="440"/>
        <w:spacing w:after="0"/>
        <w:tabs>
          <w:tab w:leader="none" w:pos="78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best of my knowledge, based upon a review of the covered</w:t>
      </w:r>
    </w:p>
    <w:p>
      <w:pPr>
        <w:spacing w:after="0" w:line="7"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reports of The Toro Company, and, except as corrected or supplemented</w:t>
      </w:r>
    </w:p>
    <w:p>
      <w:pPr>
        <w:spacing w:after="0" w:line="7"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in a subsequent covered report:</w:t>
      </w:r>
    </w:p>
    <w:p>
      <w:pPr>
        <w:spacing w:after="0" w:line="173" w:lineRule="exact"/>
        <w:rPr>
          <w:sz w:val="20"/>
          <w:szCs w:val="20"/>
          <w:color w:val="auto"/>
        </w:rPr>
      </w:pPr>
    </w:p>
    <w:p>
      <w:pPr>
        <w:jc w:val="center"/>
        <w:ind w:left="980" w:right="3419" w:hanging="339"/>
        <w:spacing w:after="0" w:line="252" w:lineRule="auto"/>
        <w:tabs>
          <w:tab w:leader="none" w:pos="1066"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covered report contained an untrue statement of a material fact as of the end of the period covered by such report (or in the case of a report on Form 8-K or definitive proxy materials, as of the date on which it was filed); and</w:t>
      </w:r>
    </w:p>
    <w:p>
      <w:pPr>
        <w:spacing w:after="0" w:line="162" w:lineRule="exact"/>
        <w:rPr>
          <w:sz w:val="20"/>
          <w:szCs w:val="20"/>
          <w:color w:val="auto"/>
        </w:rPr>
      </w:pPr>
    </w:p>
    <w:p>
      <w:pPr>
        <w:ind w:left="980" w:hanging="425"/>
        <w:spacing w:after="0"/>
        <w:tabs>
          <w:tab w:leader="none" w:pos="98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covered report omitted to state a material fact necessary to</w:t>
      </w:r>
    </w:p>
    <w:p>
      <w:pPr>
        <w:spacing w:after="0" w:line="7" w:lineRule="exact"/>
        <w:rPr>
          <w:rFonts w:ascii="Courier New" w:cs="Courier New" w:eastAsia="Courier New" w:hAnsi="Courier New"/>
          <w:sz w:val="14"/>
          <w:szCs w:val="14"/>
          <w:color w:val="auto"/>
        </w:rPr>
      </w:pPr>
    </w:p>
    <w:p>
      <w:pPr>
        <w:ind w:left="12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make the statements in the covered report, in light of the</w:t>
      </w:r>
    </w:p>
    <w:p>
      <w:pPr>
        <w:spacing w:after="0" w:line="7" w:lineRule="exact"/>
        <w:rPr>
          <w:sz w:val="20"/>
          <w:szCs w:val="20"/>
          <w:color w:val="auto"/>
        </w:rPr>
      </w:pPr>
    </w:p>
    <w:p>
      <w:pPr>
        <w:jc w:val="center"/>
        <w:ind w:left="1520"/>
        <w:spacing w:after="0" w:line="252" w:lineRule="auto"/>
        <w:rPr>
          <w:sz w:val="20"/>
          <w:szCs w:val="20"/>
          <w:color w:val="auto"/>
        </w:rPr>
      </w:pPr>
      <w:r>
        <w:rPr>
          <w:rFonts w:ascii="Courier New" w:cs="Courier New" w:eastAsia="Courier New" w:hAnsi="Courier New"/>
          <w:sz w:val="14"/>
          <w:szCs w:val="14"/>
          <w:color w:val="auto"/>
        </w:rPr>
        <w:t>circumstances under which they were made, not misleading as of the end of the period covered by such report (or in the case of a report on Form 8-K or definitive proxy materials, as of the date on which it was filed).</w:t>
      </w:r>
    </w:p>
    <w:p>
      <w:pPr>
        <w:spacing w:after="0" w:line="162" w:lineRule="exact"/>
        <w:rPr>
          <w:sz w:val="20"/>
          <w:szCs w:val="20"/>
          <w:color w:val="auto"/>
        </w:rPr>
      </w:pPr>
    </w:p>
    <w:p>
      <w:pPr>
        <w:ind w:left="460" w:hanging="421"/>
        <w:spacing w:after="0"/>
        <w:tabs>
          <w:tab w:leader="none" w:pos="46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have reviewed the contents of this statement with The Toro Company's</w:t>
      </w:r>
    </w:p>
    <w:p>
      <w:pPr>
        <w:spacing w:after="0" w:line="7" w:lineRule="exact"/>
        <w:rPr>
          <w:rFonts w:ascii="Courier New" w:cs="Courier New" w:eastAsia="Courier New" w:hAnsi="Courier New"/>
          <w:sz w:val="14"/>
          <w:szCs w:val="14"/>
          <w:color w:val="auto"/>
        </w:rPr>
      </w:pPr>
    </w:p>
    <w:p>
      <w:pPr>
        <w:ind w:left="28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audit committee.</w:t>
      </w:r>
    </w:p>
    <w:p>
      <w:pPr>
        <w:spacing w:after="0" w:line="172" w:lineRule="exact"/>
        <w:rPr>
          <w:rFonts w:ascii="Courier New" w:cs="Courier New" w:eastAsia="Courier New" w:hAnsi="Courier New"/>
          <w:sz w:val="14"/>
          <w:szCs w:val="14"/>
          <w:color w:val="auto"/>
        </w:rPr>
      </w:pPr>
    </w:p>
    <w:p>
      <w:pPr>
        <w:ind w:left="600" w:hanging="432"/>
        <w:spacing w:after="0"/>
        <w:tabs>
          <w:tab w:leader="none" w:pos="600" w:val="left"/>
        </w:tabs>
        <w:numPr>
          <w:ilvl w:val="1"/>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this statement under oath, each of the following, if filed on or</w:t>
      </w:r>
    </w:p>
    <w:p>
      <w:pPr>
        <w:spacing w:after="0" w:line="7" w:lineRule="exact"/>
        <w:rPr>
          <w:rFonts w:ascii="Courier New" w:cs="Courier New" w:eastAsia="Courier New" w:hAnsi="Courier New"/>
          <w:sz w:val="14"/>
          <w:szCs w:val="14"/>
          <w:color w:val="auto"/>
        </w:rPr>
      </w:pPr>
    </w:p>
    <w:p>
      <w:pPr>
        <w:ind w:left="10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before the date of this statement, is a "covered report":</w:t>
      </w:r>
    </w:p>
    <w:p>
      <w:pPr>
        <w:spacing w:after="0" w:line="173" w:lineRule="exact"/>
        <w:rPr>
          <w:sz w:val="20"/>
          <w:szCs w:val="20"/>
          <w:color w:val="auto"/>
        </w:rPr>
      </w:pPr>
    </w:p>
    <w:p>
      <w:pPr>
        <w:ind w:left="940" w:hanging="428"/>
        <w:spacing w:after="0"/>
        <w:tabs>
          <w:tab w:leader="none" w:pos="94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Report on Form 10-K for the Fiscal Year Ended October 31,</w:t>
      </w:r>
    </w:p>
    <w:p>
      <w:pPr>
        <w:spacing w:after="0" w:line="7" w:lineRule="exact"/>
        <w:rPr>
          <w:rFonts w:ascii="Courier New" w:cs="Courier New" w:eastAsia="Courier New" w:hAnsi="Courier New"/>
          <w:sz w:val="14"/>
          <w:szCs w:val="14"/>
          <w:color w:val="auto"/>
        </w:rPr>
      </w:pPr>
    </w:p>
    <w:p>
      <w:pPr>
        <w:ind w:left="26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2001 of The Toro Company;</w:t>
      </w:r>
    </w:p>
    <w:p>
      <w:pPr>
        <w:spacing w:after="0" w:line="173" w:lineRule="exact"/>
        <w:rPr>
          <w:sz w:val="20"/>
          <w:szCs w:val="20"/>
          <w:color w:val="auto"/>
        </w:rPr>
      </w:pPr>
    </w:p>
    <w:p>
      <w:pPr>
        <w:ind w:left="1240" w:hanging="426"/>
        <w:spacing w:after="0"/>
        <w:tabs>
          <w:tab w:leader="none" w:pos="124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reports on Form 10-Q, all reports on Form 8-K and all</w:t>
      </w:r>
    </w:p>
    <w:p>
      <w:pPr>
        <w:spacing w:after="0" w:line="7" w:lineRule="exact"/>
        <w:rPr>
          <w:rFonts w:ascii="Courier New" w:cs="Courier New" w:eastAsia="Courier New" w:hAnsi="Courier New"/>
          <w:sz w:val="14"/>
          <w:szCs w:val="14"/>
          <w:color w:val="auto"/>
        </w:rPr>
      </w:pPr>
    </w:p>
    <w:p>
      <w:pPr>
        <w:ind w:left="10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definitive proxy materials of The Toro Company filed with the</w:t>
      </w:r>
    </w:p>
    <w:p>
      <w:pPr>
        <w:spacing w:after="0" w:line="7"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4"/>
          <w:szCs w:val="14"/>
          <w:color w:val="auto"/>
        </w:rPr>
        <w:t>Commission subsequent to the filing of the Form 10-K identified</w:t>
      </w:r>
    </w:p>
    <w:p>
      <w:pPr>
        <w:spacing w:after="0" w:line="7"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4"/>
          <w:szCs w:val="14"/>
          <w:color w:val="auto"/>
        </w:rPr>
        <w:t>above; and</w:t>
      </w:r>
    </w:p>
    <w:p>
      <w:pPr>
        <w:spacing w:after="0" w:line="173" w:lineRule="exact"/>
        <w:rPr>
          <w:sz w:val="20"/>
          <w:szCs w:val="20"/>
          <w:color w:val="auto"/>
        </w:rPr>
      </w:pPr>
    </w:p>
    <w:p>
      <w:pPr>
        <w:ind w:left="2020" w:hanging="431"/>
        <w:spacing w:after="0"/>
        <w:tabs>
          <w:tab w:leader="none" w:pos="202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amendments to any of the foregoing.</w:t>
      </w:r>
    </w:p>
    <w:p>
      <w:pPr>
        <w:spacing w:after="0" w:line="200" w:lineRule="exact"/>
        <w:rPr>
          <w:sz w:val="20"/>
          <w:szCs w:val="20"/>
          <w:color w:val="auto"/>
        </w:rPr>
      </w:pPr>
    </w:p>
    <w:p>
      <w:pPr>
        <w:spacing w:after="0" w:line="304" w:lineRule="exact"/>
        <w:rPr>
          <w:sz w:val="20"/>
          <w:szCs w:val="20"/>
          <w:color w:val="auto"/>
        </w:rPr>
      </w:pPr>
    </w:p>
    <w:p>
      <w:pPr>
        <w:ind w:left="600"/>
        <w:spacing w:after="0"/>
        <w:tabs>
          <w:tab w:leader="none" w:pos="4360" w:val="left"/>
        </w:tabs>
        <w:rPr>
          <w:sz w:val="20"/>
          <w:szCs w:val="20"/>
          <w:color w:val="auto"/>
        </w:rPr>
      </w:pPr>
      <w:r>
        <w:rPr>
          <w:rFonts w:ascii="Courier New" w:cs="Courier New" w:eastAsia="Courier New" w:hAnsi="Courier New"/>
          <w:sz w:val="14"/>
          <w:szCs w:val="14"/>
          <w:color w:val="auto"/>
        </w:rPr>
        <w:t>/s/ Kendrick B. Melrose</w:t>
      </w:r>
      <w:r>
        <w:rPr>
          <w:sz w:val="20"/>
          <w:szCs w:val="20"/>
          <w:color w:val="auto"/>
        </w:rPr>
        <w:tab/>
      </w:r>
      <w:r>
        <w:rPr>
          <w:rFonts w:ascii="Courier New" w:cs="Courier New" w:eastAsia="Courier New" w:hAnsi="Courier New"/>
          <w:sz w:val="14"/>
          <w:szCs w:val="14"/>
          <w:color w:val="auto"/>
        </w:rPr>
        <w:t>Subscribed and sworn to</w:t>
      </w:r>
    </w:p>
    <w:p>
      <w:pPr>
        <w:spacing w:after="0" w:line="7" w:lineRule="exact"/>
        <w:rPr>
          <w:sz w:val="20"/>
          <w:szCs w:val="20"/>
          <w:color w:val="auto"/>
        </w:rPr>
      </w:pPr>
    </w:p>
    <w:p>
      <w:pPr>
        <w:ind w:left="460"/>
        <w:spacing w:after="0"/>
        <w:tabs>
          <w:tab w:leader="none" w:pos="42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before me this 10th day of</w:t>
      </w:r>
    </w:p>
    <w:p>
      <w:pPr>
        <w:spacing w:after="0" w:line="7" w:lineRule="exact"/>
        <w:rPr>
          <w:sz w:val="20"/>
          <w:szCs w:val="20"/>
          <w:color w:val="auto"/>
        </w:rPr>
      </w:pPr>
    </w:p>
    <w:p>
      <w:pPr>
        <w:ind w:left="900"/>
        <w:spacing w:after="0"/>
        <w:tabs>
          <w:tab w:leader="none" w:pos="4660" w:val="left"/>
        </w:tabs>
        <w:rPr>
          <w:sz w:val="20"/>
          <w:szCs w:val="20"/>
          <w:color w:val="auto"/>
        </w:rPr>
      </w:pPr>
      <w:r>
        <w:rPr>
          <w:rFonts w:ascii="Courier New" w:cs="Courier New" w:eastAsia="Courier New" w:hAnsi="Courier New"/>
          <w:sz w:val="14"/>
          <w:szCs w:val="14"/>
          <w:color w:val="auto"/>
        </w:rPr>
        <w:t>Kendrick B. Melrose</w:t>
      </w:r>
      <w:r>
        <w:rPr>
          <w:sz w:val="20"/>
          <w:szCs w:val="20"/>
          <w:color w:val="auto"/>
        </w:rPr>
        <w:tab/>
      </w:r>
      <w:r>
        <w:rPr>
          <w:rFonts w:ascii="Courier New" w:cs="Courier New" w:eastAsia="Courier New" w:hAnsi="Courier New"/>
          <w:sz w:val="14"/>
          <w:szCs w:val="14"/>
          <w:color w:val="auto"/>
        </w:rPr>
        <w:t>September, 2002.</w:t>
      </w:r>
    </w:p>
    <w:p>
      <w:pPr>
        <w:spacing w:after="0" w:line="7" w:lineRule="exact"/>
        <w:rPr>
          <w:sz w:val="20"/>
          <w:szCs w:val="20"/>
          <w:color w:val="auto"/>
        </w:rPr>
      </w:pPr>
    </w:p>
    <w:p>
      <w:pPr>
        <w:ind w:left="2320"/>
        <w:spacing w:after="0"/>
        <w:rPr>
          <w:sz w:val="20"/>
          <w:szCs w:val="20"/>
          <w:color w:val="auto"/>
        </w:rPr>
      </w:pPr>
      <w:r>
        <w:rPr>
          <w:rFonts w:ascii="Courier New" w:cs="Courier New" w:eastAsia="Courier New" w:hAnsi="Courier New"/>
          <w:sz w:val="14"/>
          <w:szCs w:val="14"/>
          <w:color w:val="auto"/>
        </w:rPr>
        <w:t>Principal Executive Officer</w:t>
      </w:r>
    </w:p>
    <w:p>
      <w:pPr>
        <w:spacing w:after="0" w:line="7" w:lineRule="exact"/>
        <w:rPr>
          <w:sz w:val="20"/>
          <w:szCs w:val="20"/>
          <w:color w:val="auto"/>
        </w:rPr>
      </w:pPr>
    </w:p>
    <w:p>
      <w:pPr>
        <w:ind w:left="640"/>
        <w:spacing w:after="0"/>
        <w:tabs>
          <w:tab w:leader="none" w:pos="4320" w:val="left"/>
        </w:tabs>
        <w:rPr>
          <w:sz w:val="20"/>
          <w:szCs w:val="20"/>
          <w:color w:val="auto"/>
        </w:rPr>
      </w:pPr>
      <w:r>
        <w:rPr>
          <w:rFonts w:ascii="Courier New" w:cs="Courier New" w:eastAsia="Courier New" w:hAnsi="Courier New"/>
          <w:sz w:val="14"/>
          <w:szCs w:val="14"/>
          <w:color w:val="auto"/>
        </w:rPr>
        <w:t>September 10, 2002</w:t>
      </w:r>
      <w:r>
        <w:rPr>
          <w:sz w:val="20"/>
          <w:szCs w:val="20"/>
          <w:color w:val="auto"/>
        </w:rPr>
        <w:tab/>
      </w:r>
      <w:r>
        <w:rPr>
          <w:rFonts w:ascii="Courier New" w:cs="Courier New" w:eastAsia="Courier New" w:hAnsi="Courier New"/>
          <w:sz w:val="14"/>
          <w:szCs w:val="14"/>
          <w:color w:val="auto"/>
        </w:rPr>
        <w:t>/s/ J. Lawrence McIntyre</w:t>
      </w:r>
    </w:p>
    <w:p>
      <w:pPr>
        <w:spacing w:after="0" w:line="7" w:lineRule="exact"/>
        <w:rPr>
          <w:sz w:val="20"/>
          <w:szCs w:val="20"/>
          <w:color w:val="auto"/>
        </w:rPr>
      </w:pPr>
    </w:p>
    <w:p>
      <w:pPr>
        <w:ind w:left="4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920"/>
        <w:spacing w:after="0"/>
        <w:rPr>
          <w:sz w:val="20"/>
          <w:szCs w:val="20"/>
          <w:color w:val="auto"/>
        </w:rPr>
      </w:pPr>
      <w:r>
        <w:rPr>
          <w:rFonts w:ascii="Courier New" w:cs="Courier New" w:eastAsia="Courier New" w:hAnsi="Courier New"/>
          <w:sz w:val="14"/>
          <w:szCs w:val="14"/>
          <w:color w:val="auto"/>
        </w:rPr>
        <w:t>Notary Public</w:t>
      </w:r>
    </w:p>
    <w:p>
      <w:pPr>
        <w:spacing w:after="0" w:line="7" w:lineRule="exact"/>
        <w:rPr>
          <w:sz w:val="20"/>
          <w:szCs w:val="20"/>
          <w:color w:val="auto"/>
        </w:rPr>
      </w:pPr>
    </w:p>
    <w:p>
      <w:pPr>
        <w:jc w:val="center"/>
        <w:ind w:right="-920"/>
        <w:spacing w:after="0"/>
        <w:rPr>
          <w:sz w:val="20"/>
          <w:szCs w:val="20"/>
          <w:color w:val="auto"/>
        </w:rPr>
      </w:pPr>
      <w:r>
        <w:rPr>
          <w:rFonts w:ascii="Courier New" w:cs="Courier New" w:eastAsia="Courier New" w:hAnsi="Courier New"/>
          <w:sz w:val="14"/>
          <w:szCs w:val="14"/>
          <w:color w:val="auto"/>
        </w:rPr>
        <w:t>My commission Expires:</w:t>
      </w:r>
    </w:p>
    <w:p>
      <w:pPr>
        <w:spacing w:after="0" w:line="7" w:lineRule="exact"/>
        <w:rPr>
          <w:sz w:val="20"/>
          <w:szCs w:val="20"/>
          <w:color w:val="auto"/>
        </w:rPr>
      </w:pPr>
    </w:p>
    <w:p>
      <w:pPr>
        <w:ind w:left="5000"/>
        <w:spacing w:after="0"/>
        <w:rPr>
          <w:sz w:val="20"/>
          <w:szCs w:val="20"/>
          <w:color w:val="auto"/>
        </w:rPr>
      </w:pPr>
      <w:r>
        <w:rPr>
          <w:rFonts w:ascii="Courier New" w:cs="Courier New" w:eastAsia="Courier New" w:hAnsi="Courier New"/>
          <w:sz w:val="14"/>
          <w:szCs w:val="14"/>
          <w:color w:val="auto"/>
        </w:rPr>
        <w:t>1/31/2005</w:t>
      </w:r>
    </w:p>
    <w:p>
      <w:pPr>
        <w:sectPr>
          <w:pgSz w:w="11900" w:h="16838" w:orient="portrait"/>
          <w:cols w:equalWidth="0" w:num="1">
            <w:col w:w="9839"/>
          </w:cols>
          <w:pgMar w:left="620" w:top="307" w:right="1440" w:bottom="1440" w:gutter="0" w:footer="0" w:header="0"/>
        </w:sectPr>
      </w:pPr>
    </w:p>
    <w:bookmarkStart w:id="40" w:name="page41"/>
    <w:bookmarkEnd w:id="40"/>
    <w:p>
      <w:pPr>
        <w:ind w:left="5460"/>
        <w:spacing w:after="0"/>
        <w:rPr>
          <w:sz w:val="20"/>
          <w:szCs w:val="20"/>
          <w:color w:val="auto"/>
        </w:rPr>
      </w:pPr>
      <w:r>
        <w:rPr>
          <w:rFonts w:ascii="Courier New" w:cs="Courier New" w:eastAsia="Courier New" w:hAnsi="Courier New"/>
          <w:sz w:val="14"/>
          <w:szCs w:val="14"/>
          <w:color w:val="auto"/>
        </w:rPr>
        <w:t>EXHIBIT 99.2</w:t>
      </w:r>
    </w:p>
    <w:p>
      <w:pPr>
        <w:spacing w:after="0" w:line="173" w:lineRule="exact"/>
        <w:rPr>
          <w:sz w:val="20"/>
          <w:szCs w:val="20"/>
          <w:color w:val="auto"/>
        </w:rPr>
      </w:pPr>
    </w:p>
    <w:p>
      <w:pPr>
        <w:ind w:right="3419" w:hanging="42"/>
        <w:spacing w:after="0" w:line="255" w:lineRule="auto"/>
        <w:rPr>
          <w:sz w:val="20"/>
          <w:szCs w:val="20"/>
          <w:color w:val="auto"/>
        </w:rPr>
      </w:pPr>
      <w:r>
        <w:rPr>
          <w:rFonts w:ascii="Courier New" w:cs="Courier New" w:eastAsia="Courier New" w:hAnsi="Courier New"/>
          <w:sz w:val="14"/>
          <w:szCs w:val="14"/>
          <w:color w:val="auto"/>
        </w:rPr>
        <w:t>STATEMENT UNDER OATH OF PRINCIPAL EXECUTIVE OFFICER AND PRINCIPAL FINANCIAL OFFICER REGARDING FACTS AND CIRCUMSTANCES RELATING TO EXCHANGE ACT FILINGS</w:t>
      </w:r>
    </w:p>
    <w:p>
      <w:pPr>
        <w:spacing w:after="0" w:line="160" w:lineRule="exact"/>
        <w:rPr>
          <w:sz w:val="20"/>
          <w:szCs w:val="20"/>
          <w:color w:val="auto"/>
        </w:rPr>
      </w:pPr>
    </w:p>
    <w:p>
      <w:pPr>
        <w:ind w:left="1200"/>
        <w:spacing w:after="0"/>
        <w:rPr>
          <w:sz w:val="20"/>
          <w:szCs w:val="20"/>
          <w:color w:val="auto"/>
        </w:rPr>
      </w:pPr>
      <w:r>
        <w:rPr>
          <w:rFonts w:ascii="Courier New" w:cs="Courier New" w:eastAsia="Courier New" w:hAnsi="Courier New"/>
          <w:sz w:val="14"/>
          <w:szCs w:val="14"/>
          <w:color w:val="auto"/>
        </w:rPr>
        <w:t>I, Stephen P. Wolfe, state and attest that:</w:t>
      </w:r>
    </w:p>
    <w:p>
      <w:pPr>
        <w:spacing w:after="0" w:line="173" w:lineRule="exact"/>
        <w:rPr>
          <w:sz w:val="20"/>
          <w:szCs w:val="20"/>
          <w:color w:val="auto"/>
        </w:rPr>
      </w:pPr>
    </w:p>
    <w:p>
      <w:pPr>
        <w:ind w:left="780" w:hanging="440"/>
        <w:spacing w:after="0"/>
        <w:tabs>
          <w:tab w:leader="none" w:pos="78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best of my knowledge, based upon a review of the covered</w:t>
      </w:r>
    </w:p>
    <w:p>
      <w:pPr>
        <w:spacing w:after="0" w:line="7"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reports of The Toro Company, and, except as corrected or supplemented</w:t>
      </w:r>
    </w:p>
    <w:p>
      <w:pPr>
        <w:spacing w:after="0" w:line="7"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in a subsequent covered report:</w:t>
      </w:r>
    </w:p>
    <w:p>
      <w:pPr>
        <w:spacing w:after="0" w:line="173" w:lineRule="exact"/>
        <w:rPr>
          <w:sz w:val="20"/>
          <w:szCs w:val="20"/>
          <w:color w:val="auto"/>
        </w:rPr>
      </w:pPr>
    </w:p>
    <w:p>
      <w:pPr>
        <w:jc w:val="center"/>
        <w:ind w:left="980" w:right="3419" w:hanging="339"/>
        <w:spacing w:after="0" w:line="252" w:lineRule="auto"/>
        <w:tabs>
          <w:tab w:leader="none" w:pos="1066"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covered report contained an untrue statement of a material fact as of the end of the period covered by such report (or in the case of a report on Form 8-K or definitive proxy materials, as of the date on which it was filed); and</w:t>
      </w:r>
    </w:p>
    <w:p>
      <w:pPr>
        <w:spacing w:after="0" w:line="162" w:lineRule="exact"/>
        <w:rPr>
          <w:sz w:val="20"/>
          <w:szCs w:val="20"/>
          <w:color w:val="auto"/>
        </w:rPr>
      </w:pPr>
    </w:p>
    <w:p>
      <w:pPr>
        <w:ind w:left="980" w:hanging="425"/>
        <w:spacing w:after="0"/>
        <w:tabs>
          <w:tab w:leader="none" w:pos="98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covered report omitted to state a material fact necessary to</w:t>
      </w:r>
    </w:p>
    <w:p>
      <w:pPr>
        <w:spacing w:after="0" w:line="7" w:lineRule="exact"/>
        <w:rPr>
          <w:rFonts w:ascii="Courier New" w:cs="Courier New" w:eastAsia="Courier New" w:hAnsi="Courier New"/>
          <w:sz w:val="14"/>
          <w:szCs w:val="14"/>
          <w:color w:val="auto"/>
        </w:rPr>
      </w:pPr>
    </w:p>
    <w:p>
      <w:pPr>
        <w:ind w:left="12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make the statements in the covered report, in light of the</w:t>
      </w:r>
    </w:p>
    <w:p>
      <w:pPr>
        <w:spacing w:after="0" w:line="7" w:lineRule="exact"/>
        <w:rPr>
          <w:sz w:val="20"/>
          <w:szCs w:val="20"/>
          <w:color w:val="auto"/>
        </w:rPr>
      </w:pPr>
    </w:p>
    <w:p>
      <w:pPr>
        <w:jc w:val="center"/>
        <w:ind w:left="1520"/>
        <w:spacing w:after="0" w:line="252" w:lineRule="auto"/>
        <w:rPr>
          <w:sz w:val="20"/>
          <w:szCs w:val="20"/>
          <w:color w:val="auto"/>
        </w:rPr>
      </w:pPr>
      <w:r>
        <w:rPr>
          <w:rFonts w:ascii="Courier New" w:cs="Courier New" w:eastAsia="Courier New" w:hAnsi="Courier New"/>
          <w:sz w:val="14"/>
          <w:szCs w:val="14"/>
          <w:color w:val="auto"/>
        </w:rPr>
        <w:t>circumstances under which they were made, not misleading as of the end of the period covered by such report (or in the case of a report on Form 8-K or definitive proxy materials, as of the date on which it was filed).</w:t>
      </w:r>
    </w:p>
    <w:p>
      <w:pPr>
        <w:spacing w:after="0" w:line="162" w:lineRule="exact"/>
        <w:rPr>
          <w:sz w:val="20"/>
          <w:szCs w:val="20"/>
          <w:color w:val="auto"/>
        </w:rPr>
      </w:pPr>
    </w:p>
    <w:p>
      <w:pPr>
        <w:ind w:left="460" w:hanging="421"/>
        <w:spacing w:after="0"/>
        <w:tabs>
          <w:tab w:leader="none" w:pos="46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have reviewed the contents of this statement with The Toro Company's</w:t>
      </w:r>
    </w:p>
    <w:p>
      <w:pPr>
        <w:spacing w:after="0" w:line="7" w:lineRule="exact"/>
        <w:rPr>
          <w:rFonts w:ascii="Courier New" w:cs="Courier New" w:eastAsia="Courier New" w:hAnsi="Courier New"/>
          <w:sz w:val="14"/>
          <w:szCs w:val="14"/>
          <w:color w:val="auto"/>
        </w:rPr>
      </w:pPr>
    </w:p>
    <w:p>
      <w:pPr>
        <w:ind w:left="28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audit committee.</w:t>
      </w:r>
    </w:p>
    <w:p>
      <w:pPr>
        <w:spacing w:after="0" w:line="172" w:lineRule="exact"/>
        <w:rPr>
          <w:rFonts w:ascii="Courier New" w:cs="Courier New" w:eastAsia="Courier New" w:hAnsi="Courier New"/>
          <w:sz w:val="14"/>
          <w:szCs w:val="14"/>
          <w:color w:val="auto"/>
        </w:rPr>
      </w:pPr>
    </w:p>
    <w:p>
      <w:pPr>
        <w:ind w:left="600" w:hanging="432"/>
        <w:spacing w:after="0"/>
        <w:tabs>
          <w:tab w:leader="none" w:pos="600" w:val="left"/>
        </w:tabs>
        <w:numPr>
          <w:ilvl w:val="1"/>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this statement under oath, each of the following, if filed on or</w:t>
      </w:r>
    </w:p>
    <w:p>
      <w:pPr>
        <w:spacing w:after="0" w:line="7" w:lineRule="exact"/>
        <w:rPr>
          <w:rFonts w:ascii="Courier New" w:cs="Courier New" w:eastAsia="Courier New" w:hAnsi="Courier New"/>
          <w:sz w:val="14"/>
          <w:szCs w:val="14"/>
          <w:color w:val="auto"/>
        </w:rPr>
      </w:pPr>
    </w:p>
    <w:p>
      <w:pPr>
        <w:ind w:left="10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before the date of this statement, is a "covered report":</w:t>
      </w:r>
    </w:p>
    <w:p>
      <w:pPr>
        <w:spacing w:after="0" w:line="173" w:lineRule="exact"/>
        <w:rPr>
          <w:sz w:val="20"/>
          <w:szCs w:val="20"/>
          <w:color w:val="auto"/>
        </w:rPr>
      </w:pPr>
    </w:p>
    <w:p>
      <w:pPr>
        <w:ind w:left="940" w:hanging="428"/>
        <w:spacing w:after="0"/>
        <w:tabs>
          <w:tab w:leader="none" w:pos="94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Report on Form 10-K for the Fiscal Year Ended October 31,</w:t>
      </w:r>
    </w:p>
    <w:p>
      <w:pPr>
        <w:spacing w:after="0" w:line="7" w:lineRule="exact"/>
        <w:rPr>
          <w:rFonts w:ascii="Courier New" w:cs="Courier New" w:eastAsia="Courier New" w:hAnsi="Courier New"/>
          <w:sz w:val="14"/>
          <w:szCs w:val="14"/>
          <w:color w:val="auto"/>
        </w:rPr>
      </w:pPr>
    </w:p>
    <w:p>
      <w:pPr>
        <w:ind w:left="26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2001 of The Toro Company;</w:t>
      </w:r>
    </w:p>
    <w:p>
      <w:pPr>
        <w:spacing w:after="0" w:line="173" w:lineRule="exact"/>
        <w:rPr>
          <w:sz w:val="20"/>
          <w:szCs w:val="20"/>
          <w:color w:val="auto"/>
        </w:rPr>
      </w:pPr>
    </w:p>
    <w:p>
      <w:pPr>
        <w:ind w:left="1240" w:hanging="426"/>
        <w:spacing w:after="0"/>
        <w:tabs>
          <w:tab w:leader="none" w:pos="124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reports on Form 10-Q, all reports on Form 8-K and all</w:t>
      </w:r>
    </w:p>
    <w:p>
      <w:pPr>
        <w:spacing w:after="0" w:line="7" w:lineRule="exact"/>
        <w:rPr>
          <w:rFonts w:ascii="Courier New" w:cs="Courier New" w:eastAsia="Courier New" w:hAnsi="Courier New"/>
          <w:sz w:val="14"/>
          <w:szCs w:val="14"/>
          <w:color w:val="auto"/>
        </w:rPr>
      </w:pPr>
    </w:p>
    <w:p>
      <w:pPr>
        <w:ind w:left="10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definitive proxy materials of The Toro Company filed with the</w:t>
      </w:r>
    </w:p>
    <w:p>
      <w:pPr>
        <w:spacing w:after="0" w:line="7"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4"/>
          <w:szCs w:val="14"/>
          <w:color w:val="auto"/>
        </w:rPr>
        <w:t>Commission subsequent to the filing of the Form 10-K identified</w:t>
      </w:r>
    </w:p>
    <w:p>
      <w:pPr>
        <w:spacing w:after="0" w:line="7"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4"/>
          <w:szCs w:val="14"/>
          <w:color w:val="auto"/>
        </w:rPr>
        <w:t>above; and</w:t>
      </w:r>
    </w:p>
    <w:p>
      <w:pPr>
        <w:spacing w:after="0" w:line="173" w:lineRule="exact"/>
        <w:rPr>
          <w:sz w:val="20"/>
          <w:szCs w:val="20"/>
          <w:color w:val="auto"/>
        </w:rPr>
      </w:pPr>
    </w:p>
    <w:p>
      <w:pPr>
        <w:ind w:left="2020" w:hanging="431"/>
        <w:spacing w:after="0"/>
        <w:tabs>
          <w:tab w:leader="none" w:pos="202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amendments to any of the foregoing.</w:t>
      </w:r>
    </w:p>
    <w:p>
      <w:pPr>
        <w:spacing w:after="0" w:line="200" w:lineRule="exact"/>
        <w:rPr>
          <w:sz w:val="20"/>
          <w:szCs w:val="20"/>
          <w:color w:val="auto"/>
        </w:rPr>
      </w:pPr>
    </w:p>
    <w:p>
      <w:pPr>
        <w:spacing w:after="0" w:line="304" w:lineRule="exact"/>
        <w:rPr>
          <w:sz w:val="20"/>
          <w:szCs w:val="20"/>
          <w:color w:val="auto"/>
        </w:rPr>
      </w:pPr>
    </w:p>
    <w:tbl>
      <w:tblPr>
        <w:tblLayout w:type="fixed"/>
        <w:tblInd w:w="460" w:type="dxa"/>
        <w:tblCellMar>
          <w:top w:w="0" w:type="dxa"/>
          <w:left w:w="0" w:type="dxa"/>
          <w:bottom w:w="0" w:type="dxa"/>
          <w:right w:w="0" w:type="dxa"/>
        </w:tblCellMar>
      </w:tblPr>
      <w:tr>
        <w:trPr>
          <w:trHeight w:val="162"/>
        </w:trPr>
        <w:tc>
          <w:tcPr>
            <w:tcW w:w="1860" w:type="dxa"/>
            <w:vAlign w:val="bottom"/>
          </w:tcPr>
          <w:p>
            <w:pPr>
              <w:jc w:val="right"/>
              <w:spacing w:after="0"/>
              <w:rPr>
                <w:sz w:val="20"/>
                <w:szCs w:val="20"/>
                <w:color w:val="auto"/>
              </w:rPr>
            </w:pPr>
            <w:r>
              <w:rPr>
                <w:rFonts w:ascii="Courier New" w:cs="Courier New" w:eastAsia="Courier New" w:hAnsi="Courier New"/>
                <w:sz w:val="14"/>
                <w:szCs w:val="14"/>
                <w:color w:val="auto"/>
              </w:rPr>
              <w:t>/s/ Stephen P. Wolfe</w:t>
            </w:r>
          </w:p>
        </w:tc>
        <w:tc>
          <w:tcPr>
            <w:tcW w:w="4180" w:type="dxa"/>
            <w:vAlign w:val="bottom"/>
          </w:tcPr>
          <w:p>
            <w:pPr>
              <w:jc w:val="center"/>
              <w:ind w:left="1848"/>
              <w:spacing w:after="0"/>
              <w:rPr>
                <w:sz w:val="20"/>
                <w:szCs w:val="20"/>
                <w:color w:val="auto"/>
              </w:rPr>
            </w:pPr>
            <w:r>
              <w:rPr>
                <w:rFonts w:ascii="Courier New" w:cs="Courier New" w:eastAsia="Courier New" w:hAnsi="Courier New"/>
                <w:sz w:val="14"/>
                <w:szCs w:val="14"/>
                <w:color w:val="auto"/>
              </w:rPr>
              <w:t>Subscribed and sworn to</w:t>
            </w:r>
          </w:p>
        </w:tc>
      </w:tr>
      <w:tr>
        <w:trPr>
          <w:trHeight w:val="166"/>
        </w:trPr>
        <w:tc>
          <w:tcPr>
            <w:tcW w:w="186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4180" w:type="dxa"/>
            <w:vAlign w:val="bottom"/>
          </w:tcPr>
          <w:p>
            <w:pPr>
              <w:jc w:val="center"/>
              <w:ind w:left="1868"/>
              <w:spacing w:after="0"/>
              <w:rPr>
                <w:sz w:val="20"/>
                <w:szCs w:val="20"/>
                <w:color w:val="auto"/>
              </w:rPr>
            </w:pPr>
            <w:r>
              <w:rPr>
                <w:rFonts w:ascii="Courier New" w:cs="Courier New" w:eastAsia="Courier New" w:hAnsi="Courier New"/>
                <w:sz w:val="14"/>
                <w:szCs w:val="14"/>
                <w:color w:val="auto"/>
              </w:rPr>
              <w:t>before me this 10th day of</w:t>
            </w:r>
          </w:p>
        </w:tc>
      </w:tr>
      <w:tr>
        <w:trPr>
          <w:trHeight w:val="166"/>
        </w:trPr>
        <w:tc>
          <w:tcPr>
            <w:tcW w:w="1860" w:type="dxa"/>
            <w:vAlign w:val="bottom"/>
          </w:tcPr>
          <w:p>
            <w:pPr>
              <w:jc w:val="right"/>
              <w:spacing w:after="0"/>
              <w:rPr>
                <w:sz w:val="20"/>
                <w:szCs w:val="20"/>
                <w:color w:val="auto"/>
              </w:rPr>
            </w:pPr>
            <w:r>
              <w:rPr>
                <w:rFonts w:ascii="Courier New" w:cs="Courier New" w:eastAsia="Courier New" w:hAnsi="Courier New"/>
                <w:sz w:val="14"/>
                <w:szCs w:val="14"/>
                <w:color w:val="auto"/>
              </w:rPr>
              <w:t>Stephen P. Wolfe</w:t>
            </w:r>
          </w:p>
        </w:tc>
        <w:tc>
          <w:tcPr>
            <w:tcW w:w="4180" w:type="dxa"/>
            <w:vAlign w:val="bottom"/>
          </w:tcPr>
          <w:p>
            <w:pPr>
              <w:jc w:val="center"/>
              <w:ind w:left="1848"/>
              <w:spacing w:after="0"/>
              <w:rPr>
                <w:sz w:val="20"/>
                <w:szCs w:val="20"/>
                <w:color w:val="auto"/>
              </w:rPr>
            </w:pPr>
            <w:r>
              <w:rPr>
                <w:rFonts w:ascii="Courier New" w:cs="Courier New" w:eastAsia="Courier New" w:hAnsi="Courier New"/>
                <w:sz w:val="14"/>
                <w:szCs w:val="14"/>
                <w:color w:val="auto"/>
              </w:rPr>
              <w:t>September, 2002.</w:t>
            </w:r>
          </w:p>
        </w:tc>
      </w:tr>
      <w:tr>
        <w:trPr>
          <w:trHeight w:val="166"/>
        </w:trPr>
        <w:tc>
          <w:tcPr>
            <w:tcW w:w="1860" w:type="dxa"/>
            <w:vAlign w:val="bottom"/>
          </w:tcPr>
          <w:p>
            <w:pPr>
              <w:spacing w:after="0"/>
              <w:rPr>
                <w:sz w:val="14"/>
                <w:szCs w:val="14"/>
                <w:color w:val="auto"/>
              </w:rPr>
            </w:pPr>
          </w:p>
        </w:tc>
        <w:tc>
          <w:tcPr>
            <w:tcW w:w="4180" w:type="dxa"/>
            <w:vAlign w:val="bottom"/>
          </w:tcPr>
          <w:p>
            <w:pPr>
              <w:spacing w:after="0"/>
              <w:rPr>
                <w:sz w:val="20"/>
                <w:szCs w:val="20"/>
                <w:color w:val="auto"/>
              </w:rPr>
            </w:pPr>
            <w:r>
              <w:rPr>
                <w:rFonts w:ascii="Courier New" w:cs="Courier New" w:eastAsia="Courier New" w:hAnsi="Courier New"/>
                <w:sz w:val="14"/>
                <w:szCs w:val="14"/>
                <w:color w:val="auto"/>
              </w:rPr>
              <w:t>Principal Financial Officer</w:t>
            </w:r>
          </w:p>
        </w:tc>
      </w:tr>
      <w:tr>
        <w:trPr>
          <w:trHeight w:val="166"/>
        </w:trPr>
        <w:tc>
          <w:tcPr>
            <w:tcW w:w="1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September 10, 2002</w:t>
            </w:r>
          </w:p>
        </w:tc>
        <w:tc>
          <w:tcPr>
            <w:tcW w:w="4180" w:type="dxa"/>
            <w:vAlign w:val="bottom"/>
          </w:tcPr>
          <w:p>
            <w:pPr>
              <w:jc w:val="center"/>
              <w:ind w:left="1868"/>
              <w:spacing w:after="0"/>
              <w:rPr>
                <w:sz w:val="20"/>
                <w:szCs w:val="20"/>
                <w:color w:val="auto"/>
              </w:rPr>
            </w:pPr>
            <w:r>
              <w:rPr>
                <w:rFonts w:ascii="Courier New" w:cs="Courier New" w:eastAsia="Courier New" w:hAnsi="Courier New"/>
                <w:sz w:val="14"/>
                <w:szCs w:val="14"/>
                <w:color w:val="auto"/>
              </w:rPr>
              <w:t>/s/ J. Lawrence McIntyre</w:t>
            </w:r>
          </w:p>
        </w:tc>
      </w:tr>
      <w:tr>
        <w:trPr>
          <w:trHeight w:val="166"/>
        </w:trPr>
        <w:tc>
          <w:tcPr>
            <w:tcW w:w="1860" w:type="dxa"/>
            <w:vAlign w:val="bottom"/>
          </w:tcPr>
          <w:p>
            <w:pPr>
              <w:spacing w:after="0"/>
              <w:rPr>
                <w:sz w:val="14"/>
                <w:szCs w:val="14"/>
                <w:color w:val="auto"/>
              </w:rPr>
            </w:pPr>
          </w:p>
        </w:tc>
        <w:tc>
          <w:tcPr>
            <w:tcW w:w="4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860" w:type="dxa"/>
            <w:vAlign w:val="bottom"/>
          </w:tcPr>
          <w:p>
            <w:pPr>
              <w:spacing w:after="0"/>
              <w:rPr>
                <w:sz w:val="14"/>
                <w:szCs w:val="14"/>
                <w:color w:val="auto"/>
              </w:rPr>
            </w:pPr>
          </w:p>
        </w:tc>
        <w:tc>
          <w:tcPr>
            <w:tcW w:w="4180" w:type="dxa"/>
            <w:vAlign w:val="bottom"/>
          </w:tcPr>
          <w:p>
            <w:pPr>
              <w:jc w:val="center"/>
              <w:ind w:left="1868"/>
              <w:spacing w:after="0"/>
              <w:rPr>
                <w:sz w:val="20"/>
                <w:szCs w:val="20"/>
                <w:color w:val="auto"/>
              </w:rPr>
            </w:pPr>
            <w:r>
              <w:rPr>
                <w:rFonts w:ascii="Courier New" w:cs="Courier New" w:eastAsia="Courier New" w:hAnsi="Courier New"/>
                <w:sz w:val="14"/>
                <w:szCs w:val="14"/>
                <w:color w:val="auto"/>
              </w:rPr>
              <w:t>Notary Public</w:t>
            </w:r>
          </w:p>
        </w:tc>
      </w:tr>
      <w:tr>
        <w:trPr>
          <w:trHeight w:val="166"/>
        </w:trPr>
        <w:tc>
          <w:tcPr>
            <w:tcW w:w="1860" w:type="dxa"/>
            <w:vAlign w:val="bottom"/>
          </w:tcPr>
          <w:p>
            <w:pPr>
              <w:spacing w:after="0"/>
              <w:rPr>
                <w:sz w:val="14"/>
                <w:szCs w:val="14"/>
                <w:color w:val="auto"/>
              </w:rPr>
            </w:pPr>
          </w:p>
        </w:tc>
        <w:tc>
          <w:tcPr>
            <w:tcW w:w="4180" w:type="dxa"/>
            <w:vAlign w:val="bottom"/>
          </w:tcPr>
          <w:p>
            <w:pPr>
              <w:jc w:val="center"/>
              <w:ind w:left="1868"/>
              <w:spacing w:after="0"/>
              <w:rPr>
                <w:sz w:val="20"/>
                <w:szCs w:val="20"/>
                <w:color w:val="auto"/>
              </w:rPr>
            </w:pPr>
            <w:r>
              <w:rPr>
                <w:rFonts w:ascii="Courier New" w:cs="Courier New" w:eastAsia="Courier New" w:hAnsi="Courier New"/>
                <w:sz w:val="14"/>
                <w:szCs w:val="14"/>
                <w:color w:val="auto"/>
              </w:rPr>
              <w:t>My commission Expires:</w:t>
            </w:r>
          </w:p>
        </w:tc>
      </w:tr>
      <w:tr>
        <w:trPr>
          <w:trHeight w:val="166"/>
        </w:trPr>
        <w:tc>
          <w:tcPr>
            <w:tcW w:w="1860" w:type="dxa"/>
            <w:vAlign w:val="bottom"/>
          </w:tcPr>
          <w:p>
            <w:pPr>
              <w:spacing w:after="0"/>
              <w:rPr>
                <w:sz w:val="14"/>
                <w:szCs w:val="14"/>
                <w:color w:val="auto"/>
              </w:rPr>
            </w:pPr>
          </w:p>
        </w:tc>
        <w:tc>
          <w:tcPr>
            <w:tcW w:w="41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1/31/2005</w:t>
            </w:r>
          </w:p>
        </w:tc>
      </w:tr>
    </w:tbl>
    <w:p>
      <w:pPr>
        <w:sectPr>
          <w:pgSz w:w="11900" w:h="16838" w:orient="portrait"/>
          <w:cols w:equalWidth="0" w:num="1">
            <w:col w:w="9839"/>
          </w:cols>
          <w:pgMar w:left="620" w:top="307" w:right="1440" w:bottom="1440" w:gutter="0" w:footer="0" w:header="0"/>
        </w:sectPr>
      </w:pPr>
    </w:p>
    <w:bookmarkStart w:id="41" w:name="page42"/>
    <w:bookmarkEnd w:id="41"/>
    <w:p>
      <w:pPr>
        <w:jc w:val="right"/>
        <w:ind w:right="3339"/>
        <w:spacing w:after="0"/>
        <w:rPr>
          <w:sz w:val="20"/>
          <w:szCs w:val="20"/>
          <w:color w:val="auto"/>
        </w:rPr>
      </w:pPr>
      <w:r>
        <w:rPr>
          <w:rFonts w:ascii="Courier New" w:cs="Courier New" w:eastAsia="Courier New" w:hAnsi="Courier New"/>
          <w:sz w:val="14"/>
          <w:szCs w:val="14"/>
          <w:color w:val="auto"/>
        </w:rPr>
        <w:t>Exhibit 99.3</w:t>
      </w:r>
    </w:p>
    <w:p>
      <w:pPr>
        <w:spacing w:after="0" w:line="173"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CERTIFICATION PURSUANT TO</w:t>
      </w:r>
    </w:p>
    <w:p>
      <w:pPr>
        <w:spacing w:after="0" w:line="7"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18 U.S.C. SECTION 1350,</w:t>
      </w:r>
    </w:p>
    <w:p>
      <w:pPr>
        <w:spacing w:after="0" w:line="7" w:lineRule="exact"/>
        <w:rPr>
          <w:sz w:val="20"/>
          <w:szCs w:val="20"/>
          <w:color w:val="auto"/>
        </w:rPr>
      </w:pPr>
    </w:p>
    <w:p>
      <w:pPr>
        <w:ind w:left="3700"/>
        <w:spacing w:after="0"/>
        <w:rPr>
          <w:sz w:val="20"/>
          <w:szCs w:val="20"/>
          <w:color w:val="auto"/>
        </w:rPr>
      </w:pPr>
      <w:r>
        <w:rPr>
          <w:rFonts w:ascii="Courier New" w:cs="Courier New" w:eastAsia="Courier New" w:hAnsi="Courier New"/>
          <w:sz w:val="14"/>
          <w:szCs w:val="14"/>
          <w:color w:val="auto"/>
        </w:rPr>
        <w:t>AS ADOPTED PURSUANT TO</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SECTION 906 OF THE SARBANES-OXLEY ACT OF 2002</w:t>
      </w:r>
    </w:p>
    <w:p>
      <w:pPr>
        <w:spacing w:after="0" w:line="173" w:lineRule="exact"/>
        <w:rPr>
          <w:sz w:val="20"/>
          <w:szCs w:val="20"/>
          <w:color w:val="auto"/>
        </w:rPr>
      </w:pPr>
    </w:p>
    <w:p>
      <w:pPr>
        <w:jc w:val="center"/>
        <w:ind w:right="3379"/>
        <w:spacing w:after="0" w:line="251" w:lineRule="auto"/>
        <w:rPr>
          <w:sz w:val="20"/>
          <w:szCs w:val="20"/>
          <w:color w:val="auto"/>
        </w:rPr>
      </w:pPr>
      <w:r>
        <w:rPr>
          <w:rFonts w:ascii="Courier New" w:cs="Courier New" w:eastAsia="Courier New" w:hAnsi="Courier New"/>
          <w:sz w:val="14"/>
          <w:szCs w:val="14"/>
          <w:color w:val="auto"/>
        </w:rPr>
        <w:t>In connection with the Quarterly Report of The Toro Company (the "Company") on Form 10-Q for the quarterly period ending August 2, 2002 as filed with the Securities and Exchange Commission on the date hereof (the "Report"), I, Kendrick B. Melrose, Chairman and Chief Executive Officer of the Company, certify, pursuant to 18 U.S.C. Section 1350, as adopted pursuant to Section 906 of the Sarbanes-Oxley Act of 2002, that:</w:t>
      </w:r>
    </w:p>
    <w:p>
      <w:pPr>
        <w:spacing w:after="0" w:line="164" w:lineRule="exact"/>
        <w:rPr>
          <w:sz w:val="20"/>
          <w:szCs w:val="20"/>
          <w:color w:val="auto"/>
        </w:rPr>
      </w:pPr>
    </w:p>
    <w:p>
      <w:pPr>
        <w:ind w:left="940" w:hanging="432"/>
        <w:spacing w:after="0"/>
        <w:tabs>
          <w:tab w:leader="none" w:pos="94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Report fully complies with the requirements of Section 13(a) or</w:t>
      </w:r>
    </w:p>
    <w:p>
      <w:pPr>
        <w:spacing w:after="0" w:line="7" w:lineRule="exact"/>
        <w:rPr>
          <w:rFonts w:ascii="Courier New" w:cs="Courier New" w:eastAsia="Courier New" w:hAnsi="Courier New"/>
          <w:sz w:val="14"/>
          <w:szCs w:val="14"/>
          <w:color w:val="auto"/>
        </w:rPr>
      </w:pPr>
    </w:p>
    <w:p>
      <w:pPr>
        <w:ind w:left="17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15(d) of the Securities Exchange Act of 1934; and</w:t>
      </w:r>
    </w:p>
    <w:p>
      <w:pPr>
        <w:spacing w:after="0" w:line="172" w:lineRule="exact"/>
        <w:rPr>
          <w:rFonts w:ascii="Courier New" w:cs="Courier New" w:eastAsia="Courier New" w:hAnsi="Courier New"/>
          <w:sz w:val="14"/>
          <w:szCs w:val="14"/>
          <w:color w:val="auto"/>
        </w:rPr>
      </w:pPr>
    </w:p>
    <w:p>
      <w:pPr>
        <w:ind w:left="1120" w:hanging="440"/>
        <w:spacing w:after="0"/>
        <w:tabs>
          <w:tab w:leader="none" w:pos="1120" w:val="left"/>
        </w:tabs>
        <w:numPr>
          <w:ilvl w:val="1"/>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information contained in the Report fairly presents, in all</w:t>
      </w:r>
    </w:p>
    <w:p>
      <w:pPr>
        <w:spacing w:after="0" w:line="7" w:lineRule="exact"/>
        <w:rPr>
          <w:rFonts w:ascii="Courier New" w:cs="Courier New" w:eastAsia="Courier New" w:hAnsi="Courier New"/>
          <w:sz w:val="14"/>
          <w:szCs w:val="14"/>
          <w:color w:val="auto"/>
        </w:rPr>
      </w:pPr>
    </w:p>
    <w:p>
      <w:pPr>
        <w:ind w:left="9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material respects, the financial condition and results of operations</w:t>
      </w:r>
    </w:p>
    <w:p>
      <w:pPr>
        <w:spacing w:after="0" w:line="7"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of the Company.</w:t>
      </w:r>
    </w:p>
    <w:p>
      <w:pPr>
        <w:spacing w:after="0" w:line="200" w:lineRule="exact"/>
        <w:rPr>
          <w:sz w:val="20"/>
          <w:szCs w:val="20"/>
          <w:color w:val="auto"/>
        </w:rPr>
      </w:pPr>
    </w:p>
    <w:p>
      <w:pPr>
        <w:spacing w:after="0" w:line="304"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/s/ Kendrick B. Melrose</w:t>
      </w:r>
    </w:p>
    <w:p>
      <w:pPr>
        <w:spacing w:after="0" w:line="7" w:lineRule="exact"/>
        <w:rPr>
          <w:sz w:val="20"/>
          <w:szCs w:val="20"/>
          <w:color w:val="auto"/>
        </w:rPr>
      </w:pPr>
    </w:p>
    <w:p>
      <w:pPr>
        <w:ind w:left="1420" w:hanging="180"/>
        <w:spacing w:after="0"/>
        <w:tabs>
          <w:tab w:leader="none" w:pos="142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5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Kendrick B. Melrose</w:t>
      </w:r>
    </w:p>
    <w:p>
      <w:pPr>
        <w:spacing w:after="0" w:line="7"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Chairman and Chief Executive Officer</w:t>
      </w:r>
    </w:p>
    <w:p>
      <w:pPr>
        <w:spacing w:after="0" w:line="7"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September 13,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This certification accompanies the Report pursuant to Section 906 of the</w:t>
      </w:r>
    </w:p>
    <w:p>
      <w:pPr>
        <w:spacing w:after="0" w:line="7" w:lineRule="exact"/>
        <w:rPr>
          <w:sz w:val="20"/>
          <w:szCs w:val="20"/>
          <w:color w:val="auto"/>
        </w:rPr>
      </w:pPr>
    </w:p>
    <w:p>
      <w:pPr>
        <w:jc w:val="center"/>
        <w:ind w:right="3379"/>
        <w:spacing w:after="0" w:line="252" w:lineRule="auto"/>
        <w:rPr>
          <w:sz w:val="20"/>
          <w:szCs w:val="20"/>
          <w:color w:val="auto"/>
        </w:rPr>
      </w:pPr>
      <w:r>
        <w:rPr>
          <w:rFonts w:ascii="Courier New" w:cs="Courier New" w:eastAsia="Courier New" w:hAnsi="Courier New"/>
          <w:sz w:val="14"/>
          <w:szCs w:val="14"/>
          <w:color w:val="auto"/>
        </w:rPr>
        <w:t>Sarbanes-Oxley Act of 2002 and shall not, except to the extent required by the Sarbanes-Oxley Act of 2002, be deemed filed by the Company for purposes of Section 18 of the Securities Exchange Act of 1934, as amended.</w:t>
      </w:r>
    </w:p>
    <w:p>
      <w:pPr>
        <w:sectPr>
          <w:pgSz w:w="11900" w:h="16838" w:orient="portrait"/>
          <w:cols w:equalWidth="0" w:num="1">
            <w:col w:w="10179"/>
          </w:cols>
          <w:pgMar w:left="280" w:top="307" w:right="1440" w:bottom="1440" w:gutter="0" w:footer="0" w:header="0"/>
        </w:sectPr>
      </w:pPr>
    </w:p>
    <w:bookmarkStart w:id="42" w:name="page43"/>
    <w:bookmarkEnd w:id="42"/>
    <w:p>
      <w:pPr>
        <w:jc w:val="right"/>
        <w:ind w:right="3339"/>
        <w:spacing w:after="0"/>
        <w:rPr>
          <w:sz w:val="20"/>
          <w:szCs w:val="20"/>
          <w:color w:val="auto"/>
        </w:rPr>
      </w:pPr>
      <w:r>
        <w:rPr>
          <w:rFonts w:ascii="Courier New" w:cs="Courier New" w:eastAsia="Courier New" w:hAnsi="Courier New"/>
          <w:sz w:val="14"/>
          <w:szCs w:val="14"/>
          <w:color w:val="auto"/>
        </w:rPr>
        <w:t>Exhibit 99.4</w:t>
      </w:r>
    </w:p>
    <w:p>
      <w:pPr>
        <w:spacing w:after="0" w:line="173" w:lineRule="exact"/>
        <w:rPr>
          <w:sz w:val="20"/>
          <w:szCs w:val="20"/>
          <w:color w:val="auto"/>
        </w:rPr>
      </w:pPr>
    </w:p>
    <w:p>
      <w:pPr>
        <w:ind w:left="3580"/>
        <w:spacing w:after="0"/>
        <w:rPr>
          <w:sz w:val="20"/>
          <w:szCs w:val="20"/>
          <w:color w:val="auto"/>
        </w:rPr>
      </w:pPr>
      <w:r>
        <w:rPr>
          <w:rFonts w:ascii="Courier New" w:cs="Courier New" w:eastAsia="Courier New" w:hAnsi="Courier New"/>
          <w:sz w:val="14"/>
          <w:szCs w:val="14"/>
          <w:color w:val="auto"/>
        </w:rPr>
        <w:t>CERTIFICATION PURSUANT TO</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18 U.S.C. SECTION 1350,</w:t>
      </w:r>
    </w:p>
    <w:p>
      <w:pPr>
        <w:spacing w:after="0" w:line="7" w:lineRule="exact"/>
        <w:rPr>
          <w:sz w:val="20"/>
          <w:szCs w:val="20"/>
          <w:color w:val="auto"/>
        </w:rPr>
      </w:pPr>
    </w:p>
    <w:p>
      <w:pPr>
        <w:ind w:left="3760"/>
        <w:spacing w:after="0"/>
        <w:rPr>
          <w:sz w:val="20"/>
          <w:szCs w:val="20"/>
          <w:color w:val="auto"/>
        </w:rPr>
      </w:pPr>
      <w:r>
        <w:rPr>
          <w:rFonts w:ascii="Courier New" w:cs="Courier New" w:eastAsia="Courier New" w:hAnsi="Courier New"/>
          <w:sz w:val="14"/>
          <w:szCs w:val="14"/>
          <w:color w:val="auto"/>
        </w:rPr>
        <w:t>AS ADOPTED PURSUANT TO</w:t>
      </w:r>
    </w:p>
    <w:p>
      <w:pPr>
        <w:spacing w:after="0" w:line="7" w:lineRule="exact"/>
        <w:rPr>
          <w:sz w:val="20"/>
          <w:szCs w:val="20"/>
          <w:color w:val="auto"/>
        </w:rPr>
      </w:pPr>
    </w:p>
    <w:p>
      <w:pPr>
        <w:ind w:left="2300"/>
        <w:spacing w:after="0"/>
        <w:rPr>
          <w:sz w:val="20"/>
          <w:szCs w:val="20"/>
          <w:color w:val="auto"/>
        </w:rPr>
      </w:pPr>
      <w:r>
        <w:rPr>
          <w:rFonts w:ascii="Courier New" w:cs="Courier New" w:eastAsia="Courier New" w:hAnsi="Courier New"/>
          <w:sz w:val="14"/>
          <w:szCs w:val="14"/>
          <w:color w:val="auto"/>
        </w:rPr>
        <w:t>SECTION 906 OF THE SARBANES-OXLEY ACT OF 2002</w:t>
      </w:r>
    </w:p>
    <w:p>
      <w:pPr>
        <w:spacing w:after="0" w:line="173" w:lineRule="exact"/>
        <w:rPr>
          <w:sz w:val="20"/>
          <w:szCs w:val="20"/>
          <w:color w:val="auto"/>
        </w:rPr>
      </w:pPr>
    </w:p>
    <w:p>
      <w:pPr>
        <w:jc w:val="center"/>
        <w:ind w:right="3339"/>
        <w:spacing w:after="0" w:line="251" w:lineRule="auto"/>
        <w:rPr>
          <w:sz w:val="20"/>
          <w:szCs w:val="20"/>
          <w:color w:val="auto"/>
        </w:rPr>
      </w:pPr>
      <w:r>
        <w:rPr>
          <w:rFonts w:ascii="Courier New" w:cs="Courier New" w:eastAsia="Courier New" w:hAnsi="Courier New"/>
          <w:sz w:val="14"/>
          <w:szCs w:val="14"/>
          <w:color w:val="auto"/>
        </w:rPr>
        <w:t>In connection with the Quarterly Report of The Toro Company (the "Company") on Form 10-Q for the quarterly period ending August 2, 2002 as filed with the Securities and Exchange Commission on the date hereof (the "Report"), I, Stephen P. Wolfe, Vice President-Finance, Treasurer and Chief Financial Officer of the Company, certify, pursuant to 18 U.S.C. Section 1350, as adopted pursuant to Section 906 of the Sarbanes-Oxley Act of 2002, that:</w:t>
      </w:r>
    </w:p>
    <w:p>
      <w:pPr>
        <w:spacing w:after="0" w:line="164" w:lineRule="exact"/>
        <w:rPr>
          <w:sz w:val="20"/>
          <w:szCs w:val="20"/>
          <w:color w:val="auto"/>
        </w:rPr>
      </w:pPr>
    </w:p>
    <w:p>
      <w:pPr>
        <w:ind w:left="1000" w:hanging="432"/>
        <w:spacing w:after="0"/>
        <w:tabs>
          <w:tab w:leader="none" w:pos="100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Report fully complies with the requirements of Section 13(a) or</w:t>
      </w:r>
    </w:p>
    <w:p>
      <w:pPr>
        <w:spacing w:after="0" w:line="7" w:lineRule="exact"/>
        <w:rPr>
          <w:rFonts w:ascii="Courier New" w:cs="Courier New" w:eastAsia="Courier New" w:hAnsi="Courier New"/>
          <w:sz w:val="14"/>
          <w:szCs w:val="14"/>
          <w:color w:val="auto"/>
        </w:rPr>
      </w:pPr>
    </w:p>
    <w:p>
      <w:pPr>
        <w:ind w:left="1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15(d) of the Securities Exchange Act of 1934; and</w:t>
      </w:r>
    </w:p>
    <w:p>
      <w:pPr>
        <w:spacing w:after="0" w:line="172" w:lineRule="exact"/>
        <w:rPr>
          <w:rFonts w:ascii="Courier New" w:cs="Courier New" w:eastAsia="Courier New" w:hAnsi="Courier New"/>
          <w:sz w:val="14"/>
          <w:szCs w:val="14"/>
          <w:color w:val="auto"/>
        </w:rPr>
      </w:pPr>
    </w:p>
    <w:p>
      <w:pPr>
        <w:ind w:left="1180" w:hanging="440"/>
        <w:spacing w:after="0"/>
        <w:tabs>
          <w:tab w:leader="none" w:pos="1180" w:val="left"/>
        </w:tabs>
        <w:numPr>
          <w:ilvl w:val="1"/>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information contained in the Report fairly presents, in all</w:t>
      </w:r>
    </w:p>
    <w:p>
      <w:pPr>
        <w:spacing w:after="0" w:line="7" w:lineRule="exact"/>
        <w:rPr>
          <w:rFonts w:ascii="Courier New" w:cs="Courier New" w:eastAsia="Courier New" w:hAnsi="Courier New"/>
          <w:sz w:val="14"/>
          <w:szCs w:val="14"/>
          <w:color w:val="auto"/>
        </w:rPr>
      </w:pPr>
    </w:p>
    <w:p>
      <w:pPr>
        <w:ind w:left="9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material respects, the financial condition and results of operations</w:t>
      </w:r>
    </w:p>
    <w:p>
      <w:pPr>
        <w:spacing w:after="0" w:line="7"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of the Company.</w:t>
      </w:r>
    </w:p>
    <w:p>
      <w:pPr>
        <w:spacing w:after="0" w:line="338"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/s/ Stephen P. Wolfe</w:t>
      </w:r>
    </w:p>
    <w:p>
      <w:pPr>
        <w:spacing w:after="0" w:line="7" w:lineRule="exact"/>
        <w:rPr>
          <w:sz w:val="20"/>
          <w:szCs w:val="20"/>
          <w:color w:val="auto"/>
        </w:rPr>
      </w:pPr>
    </w:p>
    <w:p>
      <w:pPr>
        <w:ind w:left="1260"/>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Stephen P. Wolfe</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Vice President-Finance,</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Treasurer and Chief Financial Officer</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September 13,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This certification accompanies the Report pursuant to Section 906 of the</w:t>
      </w:r>
    </w:p>
    <w:p>
      <w:pPr>
        <w:spacing w:after="0" w:line="7" w:lineRule="exact"/>
        <w:rPr>
          <w:sz w:val="20"/>
          <w:szCs w:val="20"/>
          <w:color w:val="auto"/>
        </w:rPr>
      </w:pPr>
    </w:p>
    <w:p>
      <w:pPr>
        <w:jc w:val="center"/>
        <w:ind w:left="240" w:right="80"/>
        <w:spacing w:after="0" w:line="252" w:lineRule="auto"/>
        <w:rPr>
          <w:sz w:val="20"/>
          <w:szCs w:val="20"/>
          <w:color w:val="auto"/>
        </w:rPr>
      </w:pPr>
      <w:r>
        <w:rPr>
          <w:rFonts w:ascii="Courier New" w:cs="Courier New" w:eastAsia="Courier New" w:hAnsi="Courier New"/>
          <w:sz w:val="14"/>
          <w:szCs w:val="14"/>
          <w:color w:val="auto"/>
        </w:rPr>
        <w:t>Sarbanes-Oxley Act of 2002 and shall not, except to the extent required by the Sarbanes-Oxley Act of 2002, be deemed filed by the Company for purposes of Section 18 of the Securities Exchange Act of 1934, as amended.</w:t>
      </w:r>
    </w:p>
    <w:sectPr>
      <w:pgSz w:w="11900" w:h="16838" w:orient="portrait"/>
      <w:cols w:equalWidth="0" w:num="1">
        <w:col w:w="10239"/>
      </w:cols>
      <w:pgMar w:left="220" w:top="30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A2A8D4"/>
    <w:multiLevelType w:val="hybridMultilevel"/>
    <w:lvl w:ilvl="0">
      <w:lvlJc w:val="left"/>
      <w:lvlText w:val="(%1)"/>
      <w:numFmt w:val="decimal"/>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1"/>
      <w:numFmt w:val="upperLetter"/>
      <w:start w:val="35"/>
    </w:lvl>
  </w:abstractNum>
  <w:abstractNum w:abstractNumId="4">
    <w:nsid w:val="B03E0C6"/>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5">
    <w:nsid w:val="189A769B"/>
    <w:multiLevelType w:val="hybridMultilevel"/>
    <w:lvl w:ilvl="0">
      <w:lvlJc w:val="left"/>
      <w:lvlText w:val="%1"/>
      <w:numFmt w:val="lowerLetter"/>
      <w:start w:val="1"/>
    </w:lvl>
    <w:lvl w:ilvl="1">
      <w:lvlJc w:val="left"/>
      <w:lvlText w:val="%2."/>
      <w:numFmt w:val="decimal"/>
      <w:start w:val="2"/>
    </w:lvl>
  </w:abstractNum>
  <w:abstractNum w:abstractNumId="6">
    <w:nsid w:val="54E49EB4"/>
    <w:multiLevelType w:val="hybridMultilevel"/>
    <w:lvl w:ilvl="0">
      <w:lvlJc w:val="left"/>
      <w:lvlText w:val="(%1)"/>
      <w:numFmt w:val="upperLetter"/>
      <w:start w:val="1"/>
    </w:lvl>
  </w:abstractNum>
  <w:abstractNum w:abstractNumId="7">
    <w:nsid w:val="71F32454"/>
    <w:multiLevelType w:val="hybridMultilevel"/>
    <w:lvl w:ilvl="0">
      <w:lvlJc w:val="left"/>
      <w:lvlText w:val="(%1)"/>
      <w:numFmt w:val="upperLetter"/>
      <w:start w:val="2"/>
    </w:lvl>
  </w:abstractNum>
  <w:abstractNum w:abstractNumId="8">
    <w:nsid w:val="2CA88611"/>
    <w:multiLevelType w:val="hybridMultilevel"/>
    <w:lvl w:ilvl="0">
      <w:lvlJc w:val="left"/>
      <w:lvlText w:val="(%1)"/>
      <w:numFmt w:val="upperLetter"/>
      <w:start w:val="3"/>
    </w:lvl>
  </w:abstractNum>
  <w:abstractNum w:abstractNumId="9">
    <w:nsid w:val="836C40E"/>
    <w:multiLevelType w:val="hybridMultilevel"/>
    <w:lvl w:ilvl="0">
      <w:lvlJc w:val="left"/>
      <w:lvlText w:val="%1"/>
      <w:numFmt w:val="lowerRoman"/>
      <w:start w:val="1"/>
    </w:lvl>
    <w:lvl w:ilvl="1">
      <w:lvlJc w:val="left"/>
      <w:lvlText w:val="(%2)"/>
      <w:numFmt w:val="upperLetter"/>
      <w:start w:val="4"/>
    </w:lvl>
  </w:abstractNum>
  <w:abstractNum w:abstractNumId="10">
    <w:nsid w:val="2901D82"/>
    <w:multiLevelType w:val="hybridMultilevel"/>
    <w:lvl w:ilvl="0">
      <w:lvlJc w:val="left"/>
      <w:lvlText w:val="%1."/>
      <w:numFmt w:val="lowerRoman"/>
      <w:start w:val="2"/>
    </w:lvl>
    <w:lvl w:ilvl="1">
      <w:lvlJc w:val="left"/>
      <w:lvlText w:val="%2"/>
      <w:numFmt w:val="upperLetter"/>
      <w:start w:val="1"/>
    </w:lvl>
  </w:abstractNum>
  <w:abstractNum w:abstractNumId="11">
    <w:nsid w:val="3A95F874"/>
    <w:multiLevelType w:val="hybridMultilevel"/>
    <w:lvl w:ilvl="0">
      <w:lvlJc w:val="left"/>
      <w:lvlText w:val="%1"/>
      <w:numFmt w:val="lowerLetter"/>
      <w:start w:val="1"/>
    </w:lvl>
    <w:lvl w:ilvl="1">
      <w:lvlJc w:val="left"/>
      <w:lvlText w:val="%2."/>
      <w:numFmt w:val="lowerLetter"/>
      <w:start w:val="61"/>
    </w:lvl>
  </w:abstractNum>
  <w:abstractNum w:abstractNumId="12">
    <w:nsid w:val="8138641"/>
    <w:multiLevelType w:val="hybridMultilevel"/>
    <w:lvl w:ilvl="0">
      <w:lvlJc w:val="left"/>
      <w:lvlText w:val="%1."/>
      <w:numFmt w:val="lowerLetter"/>
      <w:start w:val="2"/>
    </w:lvl>
    <w:lvl w:ilvl="1">
      <w:lvlJc w:val="left"/>
      <w:lvlText w:val="%2"/>
      <w:numFmt w:val="lowerLetter"/>
      <w:start w:val="1"/>
    </w:lvl>
  </w:abstractNum>
  <w:abstractNum w:abstractNumId="13">
    <w:nsid w:val="1E7FF521"/>
    <w:multiLevelType w:val="hybridMultilevel"/>
    <w:lvl w:ilvl="0">
      <w:lvlJc w:val="left"/>
      <w:lvlText w:val="%1"/>
      <w:numFmt w:val="lowerLetter"/>
      <w:start w:val="1"/>
    </w:lvl>
    <w:lvl w:ilvl="1">
      <w:lvlJc w:val="left"/>
      <w:lvlText w:val="%2."/>
      <w:numFmt w:val="lowerLetter"/>
      <w:start w:val="4"/>
    </w:lvl>
  </w:abstractNum>
  <w:abstractNum w:abstractNumId="14">
    <w:nsid w:val="7C3DBD3D"/>
    <w:multiLevelType w:val="hybridMultilevel"/>
    <w:lvl w:ilvl="0">
      <w:lvlJc w:val="left"/>
      <w:lvlText w:val="%1."/>
      <w:numFmt w:val="lowerRoman"/>
      <w:start w:val="2"/>
    </w:lvl>
  </w:abstractNum>
  <w:abstractNum w:abstractNumId="15">
    <w:nsid w:val="737B8DDC"/>
    <w:multiLevelType w:val="hybridMultilevel"/>
    <w:lvl w:ilvl="0">
      <w:lvlJc w:val="left"/>
      <w:lvlText w:val="%1."/>
      <w:numFmt w:val="lowerRoman"/>
      <w:start w:val="3"/>
    </w:lvl>
  </w:abstractNum>
  <w:abstractNum w:abstractNumId="16">
    <w:nsid w:val="6CEAF08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5"/>
    </w:lvl>
  </w:abstractNum>
  <w:abstractNum w:abstractNumId="17">
    <w:nsid w:val="22221A70"/>
    <w:multiLevelType w:val="hybridMultilevel"/>
    <w:lvl w:ilvl="0">
      <w:lvlJc w:val="left"/>
      <w:lvlText w:val="%1"/>
      <w:numFmt w:val="lowerLetter"/>
      <w:start w:val="1"/>
    </w:lvl>
    <w:lvl w:ilvl="1">
      <w:lvlJc w:val="left"/>
      <w:lvlText w:val="%2."/>
      <w:numFmt w:val="lowerLetter"/>
      <w:start w:val="35"/>
    </w:lvl>
  </w:abstractNum>
  <w:abstractNum w:abstractNumId="18">
    <w:nsid w:val="4516DDE9"/>
    <w:multiLevelType w:val="hybridMultilevel"/>
    <w:lvl w:ilvl="0">
      <w:lvlJc w:val="left"/>
      <w:lvlText w:val="%1."/>
      <w:numFmt w:val="lowerLetter"/>
      <w:start w:val="6"/>
    </w:lvl>
    <w:lvl w:ilvl="1">
      <w:lvlJc w:val="left"/>
      <w:lvlText w:val="%2"/>
      <w:numFmt w:val="lowerLetter"/>
      <w:start w:val="1"/>
    </w:lvl>
  </w:abstractNum>
  <w:abstractNum w:abstractNumId="19">
    <w:nsid w:val="3006C83E"/>
    <w:multiLevelType w:val="hybridMultilevel"/>
    <w:lvl w:ilvl="0">
      <w:lvlJc w:val="left"/>
      <w:lvlText w:val="%1."/>
      <w:numFmt w:val="lowerRoman"/>
      <w:start w:val="2"/>
    </w:lvl>
  </w:abstractNum>
  <w:abstractNum w:abstractNumId="20">
    <w:nsid w:val="614FD4A1"/>
    <w:multiLevelType w:val="hybridMultilevel"/>
    <w:lvl w:ilvl="0">
      <w:lvlJc w:val="left"/>
      <w:lvlText w:val="%1."/>
      <w:numFmt w:val="lowerRoman"/>
      <w:start w:val="3"/>
    </w:lvl>
  </w:abstractNum>
  <w:abstractNum w:abstractNumId="21">
    <w:nsid w:val="419AC241"/>
    <w:multiLevelType w:val="hybridMultilevel"/>
    <w:lvl w:ilvl="0">
      <w:lvlJc w:val="left"/>
      <w:lvlText w:val="%1"/>
      <w:numFmt w:val="decimal"/>
      <w:start w:val="1"/>
    </w:lvl>
    <w:lvl w:ilvl="1">
      <w:lvlJc w:val="left"/>
      <w:lvlText w:val="%2."/>
      <w:numFmt w:val="lowerRoman"/>
      <w:start w:val="4"/>
    </w:lvl>
  </w:abstractNum>
  <w:abstractNum w:abstractNumId="22">
    <w:nsid w:val="5577F8E1"/>
    <w:multiLevelType w:val="hybridMultilevel"/>
    <w:lvl w:ilvl="0">
      <w:lvlJc w:val="left"/>
      <w:lvlText w:val="%1."/>
      <w:numFmt w:val="decimal"/>
      <w:start w:val="3"/>
    </w:lvl>
    <w:lvl w:ilvl="1">
      <w:lvlJc w:val="left"/>
      <w:lvlText w:val="%2"/>
      <w:numFmt w:val="lowerRoman"/>
      <w:start w:val="1"/>
    </w:lvl>
  </w:abstractNum>
  <w:abstractNum w:abstractNumId="23">
    <w:nsid w:val="440BADFC"/>
    <w:multiLevelType w:val="hybridMultilevel"/>
    <w:lvl w:ilvl="0">
      <w:lvlJc w:val="left"/>
      <w:lvlText w:val="%1"/>
      <w:numFmt w:val="decimal"/>
      <w:start w:val="1"/>
    </w:lvl>
    <w:lvl w:ilvl="1">
      <w:lvlJc w:val="left"/>
      <w:lvlText w:val="%2"/>
      <w:numFmt w:val="decimal"/>
      <w:start w:val="1"/>
    </w:lvl>
    <w:lvl w:ilvl="2">
      <w:lvlJc w:val="left"/>
      <w:lvlText w:val="%3."/>
      <w:numFmt w:val="decimal"/>
      <w:start w:val="4"/>
    </w:lvl>
  </w:abstractNum>
  <w:abstractNum w:abstractNumId="24">
    <w:nsid w:val="5072367"/>
    <w:multiLevelType w:val="hybridMultilevel"/>
    <w:lvl w:ilvl="0">
      <w:lvlJc w:val="left"/>
      <w:lvlText w:val="%1."/>
      <w:numFmt w:val="decimal"/>
      <w:start w:val="5"/>
    </w:lvl>
    <w:lvl w:ilvl="1">
      <w:lvlJc w:val="left"/>
      <w:lvlText w:val="%2."/>
      <w:numFmt w:val="decimal"/>
      <w:start w:val="6"/>
    </w:lvl>
    <w:lvl w:ilvl="2">
      <w:lvlJc w:val="left"/>
      <w:lvlText w:val="%3"/>
      <w:numFmt w:val="decimal"/>
      <w:start w:val="1"/>
    </w:lvl>
  </w:abstractNum>
  <w:abstractNum w:abstractNumId="25">
    <w:nsid w:val="3804823E"/>
    <w:multiLevelType w:val="hybridMultilevel"/>
    <w:lvl w:ilvl="0">
      <w:lvlJc w:val="left"/>
      <w:lvlText w:val="%1."/>
      <w:numFmt w:val="decimal"/>
      <w:start w:val="7"/>
    </w:lvl>
  </w:abstractNum>
  <w:abstractNum w:abstractNumId="26">
    <w:nsid w:val="77465F01"/>
    <w:multiLevelType w:val="hybridMultilevel"/>
    <w:lvl w:ilvl="0">
      <w:lvlJc w:val="left"/>
      <w:lvlText w:val="%1."/>
      <w:numFmt w:val="decimal"/>
      <w:start w:val="8"/>
    </w:lvl>
  </w:abstractNum>
  <w:abstractNum w:abstractNumId="27">
    <w:nsid w:val="7724C67E"/>
    <w:multiLevelType w:val="hybridMultilevel"/>
    <w:lvl w:ilvl="0">
      <w:lvlJc w:val="left"/>
      <w:lvlText w:val="%1."/>
      <w:numFmt w:val="decimal"/>
      <w:start w:val="9"/>
    </w:lvl>
  </w:abstractNum>
  <w:abstractNum w:abstractNumId="28">
    <w:nsid w:val="5C482A97"/>
    <w:multiLevelType w:val="hybridMultilevel"/>
    <w:lvl w:ilvl="0">
      <w:lvlJc w:val="left"/>
      <w:lvlText w:val="%1."/>
      <w:numFmt w:val="decimal"/>
      <w:start w:val="10"/>
    </w:lvl>
  </w:abstractNum>
  <w:abstractNum w:abstractNumId="29">
    <w:nsid w:val="2463B9EA"/>
    <w:multiLevelType w:val="hybridMultilevel"/>
    <w:lvl w:ilvl="0">
      <w:lvlJc w:val="left"/>
      <w:lvlText w:val="%1."/>
      <w:numFmt w:val="decimal"/>
      <w:start w:val="11"/>
    </w:lvl>
  </w:abstractNum>
  <w:abstractNum w:abstractNumId="30">
    <w:nsid w:val="5E884ADC"/>
    <w:multiLevelType w:val="hybridMultilevel"/>
    <w:lvl w:ilvl="0">
      <w:lvlJc w:val="left"/>
      <w:lvlText w:val="(%1)"/>
      <w:numFmt w:val="decimal"/>
      <w:start w:val="1"/>
    </w:lvl>
  </w:abstractNum>
  <w:abstractNum w:abstractNumId="31">
    <w:nsid w:val="51EAD36B"/>
    <w:multiLevelType w:val="hybridMultilevel"/>
    <w:lvl w:ilvl="0">
      <w:lvlJc w:val="left"/>
      <w:lvlText w:val="o"/>
      <w:numFmt w:val="bullet"/>
      <w:start w:val="1"/>
    </w:lvl>
  </w:abstractNum>
  <w:abstractNum w:abstractNumId="32">
    <w:nsid w:val="2D517796"/>
    <w:multiLevelType w:val="hybridMultilevel"/>
    <w:lvl w:ilvl="0">
      <w:lvlJc w:val="left"/>
      <w:lvlText w:val="o"/>
      <w:numFmt w:val="bullet"/>
      <w:start w:val="1"/>
    </w:lvl>
  </w:abstractNum>
  <w:abstractNum w:abstractNumId="33">
    <w:nsid w:val="580BD78F"/>
    <w:multiLevelType w:val="hybridMultilevel"/>
    <w:lvl w:ilvl="0">
      <w:lvlJc w:val="left"/>
      <w:lvlText w:val="(%1)"/>
      <w:numFmt w:val="decimal"/>
      <w:start w:val="2"/>
    </w:lvl>
    <w:lvl w:ilvl="1">
      <w:lvlJc w:val="left"/>
      <w:lvlText w:val="(%2)"/>
      <w:numFmt w:val="decimal"/>
      <w:start w:val="3"/>
    </w:lvl>
  </w:abstractNum>
  <w:abstractNum w:abstractNumId="34">
    <w:nsid w:val="153EA438"/>
    <w:multiLevelType w:val="hybridMultilevel"/>
    <w:lvl w:ilvl="0">
      <w:lvlJc w:val="left"/>
      <w:lvlText w:val="o"/>
      <w:numFmt w:val="bullet"/>
      <w:start w:val="1"/>
    </w:lvl>
  </w:abstractNum>
  <w:abstractNum w:abstractNumId="35">
    <w:nsid w:val="3855585C"/>
    <w:multiLevelType w:val="hybridMultilevel"/>
    <w:lvl w:ilvl="0">
      <w:lvlJc w:val="left"/>
      <w:lvlText w:val="o"/>
      <w:numFmt w:val="bullet"/>
      <w:start w:val="1"/>
    </w:lvl>
  </w:abstractNum>
  <w:abstractNum w:abstractNumId="36">
    <w:nsid w:val="70A64E2A"/>
    <w:multiLevelType w:val="hybridMultilevel"/>
    <w:lvl w:ilvl="0">
      <w:lvlJc w:val="left"/>
      <w:lvlText w:val="o"/>
      <w:numFmt w:val="bullet"/>
      <w:start w:val="1"/>
    </w:lvl>
  </w:abstractNum>
  <w:abstractNum w:abstractNumId="37">
    <w:nsid w:val="6A2342EC"/>
    <w:multiLevelType w:val="hybridMultilevel"/>
    <w:lvl w:ilvl="0">
      <w:lvlJc w:val="left"/>
      <w:lvlText w:val="(%1)"/>
      <w:numFmt w:val="decimal"/>
      <w:start w:val="1"/>
    </w:lvl>
  </w:abstractNum>
  <w:abstractNum w:abstractNumId="38">
    <w:nsid w:val="2A487CB0"/>
    <w:multiLevelType w:val="hybridMultilevel"/>
    <w:lvl w:ilvl="0">
      <w:lvlJc w:val="left"/>
      <w:lvlText w:val="o"/>
      <w:numFmt w:val="bullet"/>
      <w:start w:val="1"/>
    </w:lvl>
  </w:abstractNum>
  <w:abstractNum w:abstractNumId="39">
    <w:nsid w:val="1D4ED43B"/>
    <w:multiLevelType w:val="hybridMultilevel"/>
    <w:lvl w:ilvl="0">
      <w:lvlJc w:val="left"/>
      <w:lvlText w:val="o"/>
      <w:numFmt w:val="bullet"/>
      <w:start w:val="1"/>
    </w:lvl>
  </w:abstractNum>
  <w:abstractNum w:abstractNumId="40">
    <w:nsid w:val="725A06FB"/>
    <w:multiLevelType w:val="hybridMultilevel"/>
    <w:lvl w:ilvl="0">
      <w:lvlJc w:val="left"/>
      <w:lvlText w:val="(%1)"/>
      <w:numFmt w:val="decimal"/>
      <w:start w:val="2"/>
    </w:lvl>
    <w:lvl w:ilvl="1">
      <w:lvlJc w:val="left"/>
      <w:lvlText w:val="(%2)"/>
      <w:numFmt w:val="decimal"/>
      <w:start w:val="3"/>
    </w:lvl>
  </w:abstractNum>
  <w:abstractNum w:abstractNumId="41">
    <w:nsid w:val="2CD89A32"/>
    <w:multiLevelType w:val="hybridMultilevel"/>
    <w:lvl w:ilvl="0">
      <w:lvlJc w:val="left"/>
      <w:lvlText w:val="o"/>
      <w:numFmt w:val="bullet"/>
      <w:start w:val="1"/>
    </w:lvl>
  </w:abstractNum>
  <w:abstractNum w:abstractNumId="42">
    <w:nsid w:val="57E4CCAF"/>
    <w:multiLevelType w:val="hybridMultilevel"/>
    <w:lvl w:ilvl="0">
      <w:lvlJc w:val="left"/>
      <w:lvlText w:val="o"/>
      <w:numFmt w:val="bullet"/>
      <w:start w:val="1"/>
    </w:lvl>
  </w:abstractNum>
  <w:abstractNum w:abstractNumId="43">
    <w:nsid w:val="7A6D8D3C"/>
    <w:multiLevelType w:val="hybridMultilevel"/>
    <w:lvl w:ilvl="0">
      <w:lvlJc w:val="left"/>
      <w:lvlText w:val="o"/>
      <w:numFmt w:val="bullet"/>
      <w:start w:val="1"/>
    </w:lvl>
  </w:abstractNum>
  <w:abstractNum w:abstractNumId="44">
    <w:nsid w:val="4B588F54"/>
    <w:multiLevelType w:val="hybridMultilevel"/>
    <w:lvl w:ilvl="0">
      <w:lvlJc w:val="left"/>
      <w:lvlText w:val="(%1)"/>
      <w:numFmt w:val="decimal"/>
      <w:start w:val="1"/>
    </w:lvl>
    <w:lvl w:ilvl="1">
      <w:lvlJc w:val="left"/>
      <w:lvlText w:val="(%2)"/>
      <w:numFmt w:val="decimal"/>
      <w:start w:val="2"/>
    </w:lvl>
  </w:abstractNum>
  <w:abstractNum w:abstractNumId="45">
    <w:nsid w:val="542289EC"/>
    <w:multiLevelType w:val="hybridMultilevel"/>
    <w:lvl w:ilvl="0">
      <w:lvlJc w:val="left"/>
      <w:lvlText w:val="-"/>
      <w:numFmt w:val="bullet"/>
      <w:start w:val="1"/>
    </w:lvl>
  </w:abstractNum>
  <w:abstractNum w:abstractNumId="46">
    <w:nsid w:val="6DE91B18"/>
    <w:multiLevelType w:val="hybridMultilevel"/>
    <w:lvl w:ilvl="0">
      <w:lvlJc w:val="left"/>
      <w:lvlText w:val="(%1)"/>
      <w:numFmt w:val="decimal"/>
      <w:start w:val="1"/>
    </w:lvl>
    <w:lvl w:ilvl="1">
      <w:lvlJc w:val="left"/>
      <w:lvlText w:val="(%2)"/>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2019-12-11T20:38:24Z</dcterms:created>
  <dcterms:modified xsi:type="dcterms:W3CDTF">2019-12-11T20:38:24Z</dcterms:modified>
</cp:coreProperties>
</file>