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7660" w:type="dxa"/>
            <w:vAlign w:val="bottom"/>
            <w:gridSpan w:val="11"/>
          </w:tcPr>
          <w:p>
            <w:pPr>
              <w:jc w:val="center"/>
              <w:ind w:right="9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960" w:type="dxa"/>
            <w:vAlign w:val="bottom"/>
            <w:vMerge w:val="restart"/>
          </w:tcPr>
          <w:p>
            <w:pPr>
              <w:jc w:val="center"/>
              <w:ind w:right="129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808080"/>
            </w:tcBorders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60" w:type="dxa"/>
            <w:vAlign w:val="bottom"/>
            <w:gridSpan w:val="7"/>
            <w:vMerge w:val="restart"/>
          </w:tcPr>
          <w:p>
            <w:pPr>
              <w:jc w:val="center"/>
              <w:ind w:left="52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vMerge w:val="restart"/>
          </w:tcPr>
          <w:p>
            <w:pPr>
              <w:jc w:val="center"/>
              <w:ind w:right="1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restart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3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80" w:type="dxa"/>
            <w:vAlign w:val="bottom"/>
            <w:gridSpan w:val="5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10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>JAMES RANDY B</w:t>
              </w:r>
            </w:hyperlink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TORO CO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TTC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1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10/31/2003</w:t>
            </w: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Vice President &amp; Controller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8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8111 LYNDALE AVENUE SOUTH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-1786255</wp:posOffset>
            </wp:positionV>
            <wp:extent cx="7272020" cy="85413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8541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0" w:gutter="0" w:footer="0" w:header="0"/>
        </w:sectPr>
      </w:pPr>
    </w:p>
    <w:p>
      <w:pPr>
        <w:spacing w:after="0" w:line="33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4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5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5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4,664</w:t>
            </w:r>
          </w:p>
        </w:tc>
        <w:tc>
          <w:tcPr>
            <w:tcW w:w="9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2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0.001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MATCHING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STOCK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2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11,644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4,000</w:t>
            </w:r>
          </w:p>
        </w:tc>
        <w:tc>
          <w:tcPr>
            <w:tcW w:w="9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29" w:lineRule="exact"/>
        <w:rPr>
          <w:sz w:val="20"/>
          <w:szCs w:val="20"/>
          <w:color w:val="auto"/>
        </w:rPr>
      </w:pPr>
    </w:p>
    <w:p>
      <w:pPr>
        <w:ind w:left="10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The Toro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10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Company</w:t>
      </w:r>
    </w:p>
    <w:p>
      <w:pPr>
        <w:ind w:left="80"/>
        <w:spacing w:after="0"/>
        <w:tabs>
          <w:tab w:leader="none" w:pos="8380" w:val="left"/>
          <w:tab w:leader="none" w:pos="9860" w:val="left"/>
          <w:tab w:leader="none" w:pos="103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Common Stock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0000FF"/>
        </w:rPr>
        <w:t>11,102.226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(1)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0000FF"/>
        </w:rPr>
        <w:t>I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0000FF"/>
        </w:rPr>
        <w:t>Investment,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10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Savings &amp;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10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ESOP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 Units</w:t>
            </w:r>
          </w:p>
        </w:tc>
        <w:tc>
          <w:tcPr>
            <w:tcW w:w="4380" w:type="dxa"/>
            <w:vAlign w:val="bottom"/>
          </w:tcPr>
          <w:p>
            <w:pPr>
              <w:jc w:val="center"/>
              <w:ind w:lef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5,866.324</w:t>
            </w:r>
          </w:p>
        </w:tc>
        <w:tc>
          <w:tcPr>
            <w:tcW w:w="1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Matching Units</w:t>
            </w:r>
          </w:p>
        </w:tc>
        <w:tc>
          <w:tcPr>
            <w:tcW w:w="4380" w:type="dxa"/>
            <w:vAlign w:val="bottom"/>
          </w:tcPr>
          <w:p>
            <w:pPr>
              <w:jc w:val="center"/>
              <w:ind w:lef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2,933.066</w:t>
            </w:r>
          </w:p>
        </w:tc>
        <w:tc>
          <w:tcPr>
            <w:tcW w:w="1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Performance Share Units</w:t>
            </w:r>
          </w:p>
        </w:tc>
        <w:tc>
          <w:tcPr>
            <w:tcW w:w="4380" w:type="dxa"/>
            <w:vAlign w:val="bottom"/>
          </w:tcPr>
          <w:p>
            <w:pPr>
              <w:jc w:val="center"/>
              <w:ind w:lef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18,085.635</w:t>
            </w:r>
          </w:p>
        </w:tc>
        <w:tc>
          <w:tcPr>
            <w:tcW w:w="1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</w:tr>
      <w:tr>
        <w:trPr>
          <w:trHeight w:val="13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Ongoing acquisition on account under Investment, Savings and Employee Stock Ownership Plan, exempt from Section 16(a) under Rule 16a-3(f)(1)(i)(B) and from Section 16(b) under Rule 16b-3(c).</w:t>
      </w:r>
    </w:p>
    <w:p>
      <w:pPr>
        <w:spacing w:after="0" w:line="71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N. Jeanne Ryan, Attorney-In-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12/05/2003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7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167148" TargetMode="External"/><Relationship Id="rId9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2019-12-16T03:49:49Z</dcterms:created>
  <dcterms:modified xsi:type="dcterms:W3CDTF">2019-12-16T03:49:49Z</dcterms:modified>
</cp:coreProperties>
</file>