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840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400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BUXTON WINSLOW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10/24/2008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jc w:val="center"/>
              <w:ind w:left="568"/>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800" w:type="dxa"/>
            <w:vAlign w:val="bottom"/>
            <w:gridSpan w:val="2"/>
          </w:tcPr>
          <w:p>
            <w:pPr>
              <w:jc w:val="center"/>
              <w:ind w:left="568"/>
              <w:spacing w:after="0"/>
              <w:rPr>
                <w:sz w:val="20"/>
                <w:szCs w:val="20"/>
                <w:color w:val="auto"/>
              </w:rPr>
            </w:pPr>
            <w:r>
              <w:rPr>
                <w:rFonts w:ascii="Arial" w:cs="Arial" w:eastAsia="Arial" w:hAnsi="Arial"/>
                <w:sz w:val="18"/>
                <w:szCs w:val="18"/>
                <w:color w:val="0000FF"/>
                <w:w w:val="88"/>
              </w:rPr>
              <w:t>10/24/2008</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5"/>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86"/>
              <w:spacing w:after="0"/>
              <w:rPr>
                <w:sz w:val="20"/>
                <w:szCs w:val="20"/>
                <w:color w:val="auto"/>
              </w:rPr>
            </w:pPr>
            <w:r>
              <w:rPr>
                <w:rFonts w:ascii="Arial" w:cs="Arial" w:eastAsia="Arial" w:hAnsi="Arial"/>
                <w:sz w:val="18"/>
                <w:szCs w:val="18"/>
                <w:color w:val="0000FF"/>
                <w:w w:val="88"/>
              </w:rPr>
              <w:t>4,000</w:t>
            </w:r>
          </w:p>
        </w:tc>
        <w:tc>
          <w:tcPr>
            <w:tcW w:w="660" w:type="dxa"/>
            <w:vAlign w:val="bottom"/>
          </w:tcPr>
          <w:p>
            <w:pPr>
              <w:ind w:left="400"/>
              <w:spacing w:after="0"/>
              <w:rPr>
                <w:sz w:val="20"/>
                <w:szCs w:val="20"/>
                <w:color w:val="auto"/>
              </w:rPr>
            </w:pPr>
            <w:r>
              <w:rPr>
                <w:rFonts w:ascii="Arial" w:cs="Arial" w:eastAsia="Arial" w:hAnsi="Arial"/>
                <w:sz w:val="18"/>
                <w:szCs w:val="18"/>
                <w:color w:val="0000FF"/>
              </w:rPr>
              <w:t>A</w:t>
            </w:r>
          </w:p>
        </w:tc>
        <w:tc>
          <w:tcPr>
            <w:tcW w:w="700" w:type="dxa"/>
            <w:vAlign w:val="bottom"/>
            <w:gridSpan w:val="3"/>
          </w:tcPr>
          <w:p>
            <w:pPr>
              <w:jc w:val="center"/>
              <w:ind w:left="47"/>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25.35</w:t>
            </w:r>
          </w:p>
        </w:tc>
        <w:tc>
          <w:tcPr>
            <w:tcW w:w="1260" w:type="dxa"/>
            <w:vAlign w:val="bottom"/>
            <w:gridSpan w:val="3"/>
          </w:tcPr>
          <w:p>
            <w:pPr>
              <w:jc w:val="center"/>
              <w:spacing w:after="0"/>
              <w:rPr>
                <w:sz w:val="20"/>
                <w:szCs w:val="20"/>
                <w:color w:val="auto"/>
              </w:rPr>
            </w:pPr>
            <w:r>
              <w:rPr>
                <w:rFonts w:ascii="Arial" w:cs="Arial" w:eastAsia="Arial" w:hAnsi="Arial"/>
                <w:sz w:val="18"/>
                <w:szCs w:val="18"/>
                <w:color w:val="0000FF"/>
                <w:w w:val="88"/>
              </w:rPr>
              <w:t>4,000</w:t>
            </w:r>
          </w:p>
        </w:tc>
        <w:tc>
          <w:tcPr>
            <w:tcW w:w="300" w:type="dxa"/>
            <w:vAlign w:val="bottom"/>
          </w:tcPr>
          <w:p>
            <w:pPr>
              <w:spacing w:after="0"/>
              <w:rPr>
                <w:sz w:val="23"/>
                <w:szCs w:val="23"/>
                <w:color w:val="auto"/>
              </w:rPr>
            </w:pPr>
          </w:p>
        </w:tc>
        <w:tc>
          <w:tcPr>
            <w:tcW w:w="700" w:type="dxa"/>
            <w:vAlign w:val="bottom"/>
          </w:tcPr>
          <w:p>
            <w:pPr>
              <w:jc w:val="center"/>
              <w:ind w:right="327"/>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800" w:type="dxa"/>
            <w:vAlign w:val="bottom"/>
            <w:gridSpan w:val="2"/>
          </w:tcPr>
          <w:p>
            <w:pPr>
              <w:jc w:val="center"/>
              <w:ind w:left="568"/>
              <w:spacing w:after="0"/>
              <w:rPr>
                <w:sz w:val="20"/>
                <w:szCs w:val="20"/>
                <w:color w:val="auto"/>
              </w:rPr>
            </w:pPr>
            <w:r>
              <w:rPr>
                <w:rFonts w:ascii="Arial" w:cs="Arial" w:eastAsia="Arial" w:hAnsi="Arial"/>
                <w:sz w:val="18"/>
                <w:szCs w:val="18"/>
                <w:color w:val="0000FF"/>
                <w:w w:val="88"/>
              </w:rPr>
              <w:t>10/24/2008</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5"/>
              <w:spacing w:after="0"/>
              <w:rPr>
                <w:sz w:val="20"/>
                <w:szCs w:val="20"/>
                <w:color w:val="auto"/>
              </w:rPr>
            </w:pPr>
            <w:r>
              <w:rPr>
                <w:rFonts w:ascii="Arial" w:cs="Arial" w:eastAsia="Arial" w:hAnsi="Arial"/>
                <w:sz w:val="14"/>
                <w:szCs w:val="14"/>
                <w:color w:val="0000FF"/>
                <w:w w:val="91"/>
              </w:rPr>
              <w:t>G</w:t>
            </w:r>
          </w:p>
        </w:tc>
        <w:tc>
          <w:tcPr>
            <w:tcW w:w="220" w:type="dxa"/>
            <w:vAlign w:val="bottom"/>
          </w:tcPr>
          <w:p>
            <w:pPr>
              <w:spacing w:after="0"/>
              <w:rPr>
                <w:sz w:val="23"/>
                <w:szCs w:val="23"/>
                <w:color w:val="auto"/>
              </w:rPr>
            </w:pPr>
          </w:p>
        </w:tc>
        <w:tc>
          <w:tcPr>
            <w:tcW w:w="560" w:type="dxa"/>
            <w:vAlign w:val="bottom"/>
          </w:tcPr>
          <w:p>
            <w:pPr>
              <w:jc w:val="center"/>
              <w:ind w:left="66"/>
              <w:spacing w:after="0"/>
              <w:rPr>
                <w:sz w:val="20"/>
                <w:szCs w:val="20"/>
                <w:color w:val="auto"/>
              </w:rPr>
            </w:pPr>
            <w:r>
              <w:rPr>
                <w:rFonts w:ascii="Arial" w:cs="Arial" w:eastAsia="Arial" w:hAnsi="Arial"/>
                <w:sz w:val="18"/>
                <w:szCs w:val="18"/>
                <w:color w:val="0000FF"/>
                <w:w w:val="86"/>
              </w:rPr>
              <w:t>631</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560" w:type="dxa"/>
            <w:vAlign w:val="bottom"/>
          </w:tcPr>
          <w:p>
            <w:pPr>
              <w:jc w:val="center"/>
              <w:ind w:left="18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Arial" w:cs="Arial" w:eastAsia="Arial" w:hAnsi="Arial"/>
                <w:sz w:val="18"/>
                <w:szCs w:val="18"/>
                <w:color w:val="0000FF"/>
                <w:w w:val="88"/>
              </w:rPr>
              <w:t>3,369</w:t>
            </w:r>
          </w:p>
        </w:tc>
        <w:tc>
          <w:tcPr>
            <w:tcW w:w="300" w:type="dxa"/>
            <w:vAlign w:val="bottom"/>
          </w:tcPr>
          <w:p>
            <w:pPr>
              <w:spacing w:after="0"/>
              <w:rPr>
                <w:sz w:val="23"/>
                <w:szCs w:val="23"/>
                <w:color w:val="auto"/>
              </w:rPr>
            </w:pPr>
          </w:p>
        </w:tc>
        <w:tc>
          <w:tcPr>
            <w:tcW w:w="700" w:type="dxa"/>
            <w:vAlign w:val="bottom"/>
          </w:tcPr>
          <w:p>
            <w:pPr>
              <w:jc w:val="center"/>
              <w:ind w:right="327"/>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800" w:type="dxa"/>
            <w:vAlign w:val="bottom"/>
            <w:gridSpan w:val="2"/>
          </w:tcPr>
          <w:p>
            <w:pPr>
              <w:jc w:val="center"/>
              <w:ind w:left="568"/>
              <w:spacing w:after="0"/>
              <w:rPr>
                <w:sz w:val="20"/>
                <w:szCs w:val="20"/>
                <w:color w:val="auto"/>
              </w:rPr>
            </w:pPr>
            <w:r>
              <w:rPr>
                <w:rFonts w:ascii="Arial" w:cs="Arial" w:eastAsia="Arial" w:hAnsi="Arial"/>
                <w:sz w:val="18"/>
                <w:szCs w:val="18"/>
                <w:color w:val="0000FF"/>
                <w:w w:val="88"/>
              </w:rPr>
              <w:t>10/24/2008</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5"/>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jc w:val="center"/>
              <w:ind w:left="86"/>
              <w:spacing w:after="0"/>
              <w:rPr>
                <w:sz w:val="20"/>
                <w:szCs w:val="20"/>
                <w:color w:val="auto"/>
              </w:rPr>
            </w:pPr>
            <w:r>
              <w:rPr>
                <w:rFonts w:ascii="Arial" w:cs="Arial" w:eastAsia="Arial" w:hAnsi="Arial"/>
                <w:sz w:val="18"/>
                <w:szCs w:val="18"/>
                <w:color w:val="0000FF"/>
                <w:w w:val="88"/>
              </w:rPr>
              <w:t>3,369</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00" w:type="dxa"/>
            <w:vAlign w:val="bottom"/>
            <w:gridSpan w:val="3"/>
          </w:tcPr>
          <w:p>
            <w:pPr>
              <w:jc w:val="center"/>
              <w:ind w:left="47"/>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30.09</w:t>
            </w: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jc w:val="center"/>
              <w:ind w:right="476"/>
              <w:spacing w:after="0"/>
              <w:rPr>
                <w:sz w:val="20"/>
                <w:szCs w:val="20"/>
                <w:color w:val="auto"/>
              </w:rPr>
            </w:pPr>
            <w:r>
              <w:rPr>
                <w:rFonts w:ascii="Arial" w:cs="Arial" w:eastAsia="Arial" w:hAnsi="Arial"/>
                <w:sz w:val="18"/>
                <w:szCs w:val="18"/>
                <w:color w:val="0000FF"/>
                <w:w w:val="79"/>
              </w:rPr>
              <w:t>0</w:t>
            </w:r>
          </w:p>
        </w:tc>
        <w:tc>
          <w:tcPr>
            <w:tcW w:w="300" w:type="dxa"/>
            <w:vAlign w:val="bottom"/>
          </w:tcPr>
          <w:p>
            <w:pPr>
              <w:spacing w:after="0"/>
              <w:rPr>
                <w:sz w:val="23"/>
                <w:szCs w:val="23"/>
                <w:color w:val="auto"/>
              </w:rPr>
            </w:pPr>
          </w:p>
        </w:tc>
        <w:tc>
          <w:tcPr>
            <w:tcW w:w="700" w:type="dxa"/>
            <w:vAlign w:val="bottom"/>
          </w:tcPr>
          <w:p>
            <w:pPr>
              <w:jc w:val="center"/>
              <w:ind w:right="327"/>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9"/>
              </w:rPr>
              <w:t>Common Stock Units</w:t>
            </w:r>
          </w:p>
        </w:tc>
        <w:tc>
          <w:tcPr>
            <w:tcW w:w="10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2,144.701</w:t>
            </w:r>
            <w:r>
              <w:rPr>
                <w:rFonts w:ascii="Arial" w:cs="Arial" w:eastAsia="Arial" w:hAnsi="Arial"/>
                <w:sz w:val="22"/>
                <w:szCs w:val="22"/>
                <w:color w:val="008000"/>
                <w:w w:val="85"/>
                <w:vertAlign w:val="superscript"/>
              </w:rPr>
              <w:t>(1)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800" w:type="dxa"/>
            <w:vAlign w:val="bottom"/>
            <w:gridSpan w:val="2"/>
          </w:tcPr>
          <w:p>
            <w:pPr>
              <w:jc w:val="center"/>
              <w:ind w:left="568"/>
              <w:spacing w:after="0"/>
              <w:rPr>
                <w:sz w:val="20"/>
                <w:szCs w:val="20"/>
                <w:color w:val="auto"/>
              </w:rPr>
            </w:pPr>
            <w:r>
              <w:rPr>
                <w:rFonts w:ascii="Arial" w:cs="Arial" w:eastAsia="Arial" w:hAnsi="Arial"/>
                <w:sz w:val="18"/>
                <w:szCs w:val="18"/>
                <w:color w:val="0000FF"/>
                <w:w w:val="88"/>
              </w:rPr>
              <w:t>10/24/2008</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5"/>
              <w:spacing w:after="0"/>
              <w:rPr>
                <w:sz w:val="20"/>
                <w:szCs w:val="20"/>
                <w:color w:val="auto"/>
              </w:rPr>
            </w:pPr>
            <w:r>
              <w:rPr>
                <w:rFonts w:ascii="Arial" w:cs="Arial" w:eastAsia="Arial" w:hAnsi="Arial"/>
                <w:sz w:val="14"/>
                <w:szCs w:val="14"/>
                <w:color w:val="0000FF"/>
                <w:w w:val="91"/>
              </w:rPr>
              <w:t>G</w:t>
            </w:r>
          </w:p>
        </w:tc>
        <w:tc>
          <w:tcPr>
            <w:tcW w:w="220" w:type="dxa"/>
            <w:vAlign w:val="bottom"/>
          </w:tcPr>
          <w:p>
            <w:pPr>
              <w:spacing w:after="0"/>
              <w:rPr>
                <w:sz w:val="23"/>
                <w:szCs w:val="23"/>
                <w:color w:val="auto"/>
              </w:rPr>
            </w:pPr>
          </w:p>
        </w:tc>
        <w:tc>
          <w:tcPr>
            <w:tcW w:w="560" w:type="dxa"/>
            <w:vAlign w:val="bottom"/>
          </w:tcPr>
          <w:p>
            <w:pPr>
              <w:jc w:val="center"/>
              <w:ind w:left="66"/>
              <w:spacing w:after="0"/>
              <w:rPr>
                <w:sz w:val="20"/>
                <w:szCs w:val="20"/>
                <w:color w:val="auto"/>
              </w:rPr>
            </w:pPr>
            <w:r>
              <w:rPr>
                <w:rFonts w:ascii="Arial" w:cs="Arial" w:eastAsia="Arial" w:hAnsi="Arial"/>
                <w:sz w:val="18"/>
                <w:szCs w:val="18"/>
                <w:color w:val="0000FF"/>
                <w:w w:val="86"/>
              </w:rPr>
              <w:t>631</w:t>
            </w:r>
          </w:p>
        </w:tc>
        <w:tc>
          <w:tcPr>
            <w:tcW w:w="660" w:type="dxa"/>
            <w:vAlign w:val="bottom"/>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Pr>
          <w:p>
            <w:pPr>
              <w:jc w:val="center"/>
              <w:ind w:left="18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Arial" w:cs="Arial" w:eastAsia="Arial" w:hAnsi="Arial"/>
                <w:sz w:val="18"/>
                <w:szCs w:val="18"/>
                <w:color w:val="0000FF"/>
                <w:w w:val="87"/>
              </w:rPr>
              <w:t>48,145</w:t>
            </w:r>
          </w:p>
        </w:tc>
        <w:tc>
          <w:tcPr>
            <w:tcW w:w="300" w:type="dxa"/>
            <w:vAlign w:val="bottom"/>
          </w:tcPr>
          <w:p>
            <w:pPr>
              <w:spacing w:after="0"/>
              <w:rPr>
                <w:sz w:val="23"/>
                <w:szCs w:val="23"/>
                <w:color w:val="auto"/>
              </w:rPr>
            </w:pPr>
          </w:p>
        </w:tc>
        <w:tc>
          <w:tcPr>
            <w:tcW w:w="700" w:type="dxa"/>
            <w:vAlign w:val="bottom"/>
          </w:tcPr>
          <w:p>
            <w:pPr>
              <w:jc w:val="center"/>
              <w:ind w:right="327"/>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3"/>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25.35</w:t>
            </w:r>
          </w:p>
        </w:tc>
        <w:tc>
          <w:tcPr>
            <w:tcW w:w="1080" w:type="dxa"/>
            <w:vAlign w:val="bottom"/>
            <w:vMerge w:val="restart"/>
          </w:tcPr>
          <w:p>
            <w:pPr>
              <w:ind w:left="200"/>
              <w:spacing w:after="0"/>
              <w:rPr>
                <w:sz w:val="20"/>
                <w:szCs w:val="20"/>
                <w:color w:val="auto"/>
              </w:rPr>
            </w:pPr>
            <w:r>
              <w:rPr>
                <w:rFonts w:ascii="Arial" w:cs="Arial" w:eastAsia="Arial" w:hAnsi="Arial"/>
                <w:sz w:val="14"/>
                <w:szCs w:val="14"/>
                <w:color w:val="0000FF"/>
              </w:rPr>
              <w:t>10/24/2008</w:t>
            </w:r>
          </w:p>
        </w:tc>
        <w:tc>
          <w:tcPr>
            <w:tcW w:w="1140" w:type="dxa"/>
            <w:vAlign w:val="bottom"/>
          </w:tcPr>
          <w:p>
            <w:pPr>
              <w:spacing w:after="0"/>
              <w:rPr>
                <w:sz w:val="16"/>
                <w:szCs w:val="16"/>
                <w:color w:val="auto"/>
              </w:rPr>
            </w:pPr>
          </w:p>
        </w:tc>
        <w:tc>
          <w:tcPr>
            <w:tcW w:w="66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160" w:type="dxa"/>
            <w:vAlign w:val="bottom"/>
          </w:tcPr>
          <w:p>
            <w:pPr>
              <w:spacing w:after="0"/>
              <w:rPr>
                <w:sz w:val="16"/>
                <w:szCs w:val="16"/>
                <w:color w:val="auto"/>
              </w:rPr>
            </w:pPr>
          </w:p>
        </w:tc>
        <w:tc>
          <w:tcPr>
            <w:tcW w:w="820" w:type="dxa"/>
            <w:vAlign w:val="bottom"/>
            <w:vMerge w:val="restart"/>
          </w:tcPr>
          <w:p>
            <w:pPr>
              <w:ind w:left="400"/>
              <w:spacing w:after="0"/>
              <w:rPr>
                <w:sz w:val="20"/>
                <w:szCs w:val="20"/>
                <w:color w:val="auto"/>
              </w:rPr>
            </w:pPr>
            <w:r>
              <w:rPr>
                <w:rFonts w:ascii="Arial" w:cs="Arial" w:eastAsia="Arial" w:hAnsi="Arial"/>
                <w:sz w:val="14"/>
                <w:szCs w:val="14"/>
                <w:color w:val="0000FF"/>
              </w:rPr>
              <w:t>4,000</w:t>
            </w: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8"/>
              </w:rPr>
              <w:t>05/01/2004</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color w:val="0000FF"/>
                <w:w w:val="99"/>
              </w:rPr>
              <w:t>11/01/2008</w:t>
            </w:r>
          </w:p>
        </w:tc>
        <w:tc>
          <w:tcPr>
            <w:tcW w:w="660" w:type="dxa"/>
            <w:vAlign w:val="bottom"/>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4,000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vMerge w:val="restart"/>
          </w:tcPr>
          <w:p>
            <w:pPr>
              <w:jc w:val="right"/>
              <w:ind w:right="99"/>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25.35</w:t>
            </w:r>
          </w:p>
        </w:tc>
        <w:tc>
          <w:tcPr>
            <w:tcW w:w="700" w:type="dxa"/>
            <w:vAlign w:val="bottom"/>
            <w:vMerge w:val="restart"/>
          </w:tcPr>
          <w:p>
            <w:pPr>
              <w:ind w:left="48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6.734 shares acquired on January 11, 2008; 7.643 shares acquired on April 11, 2008; 10.496 shares acquired on July 11, 2008; and 9.889 shares acquired on October 17, 2008 under the dividend reinvestment feature of The Toro Company 2000 Directors Stock Plan. Also includes an account adjustment of 0.0186 shares of common stock.</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Arial" w:cs="Arial" w:eastAsia="Arial" w:hAnsi="Arial"/>
                <w:sz w:val="18"/>
                <w:szCs w:val="18"/>
                <w:color w:val="0000FF"/>
                <w:w w:val="95"/>
              </w:rPr>
              <w:t>Stacy L. Bogart, Atty-In-Fact</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10/28/2008</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36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2019-12-17T07:23:35Z</dcterms:created>
  <dcterms:modified xsi:type="dcterms:W3CDTF">2019-12-17T07:23:35Z</dcterms:modified>
</cp:coreProperties>
</file>