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VP, Irrig. &amp; Lighting Business</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12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03/15/2017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20"/>
              <w:spacing w:after="0"/>
              <w:rPr>
                <w:sz w:val="20"/>
                <w:szCs w:val="20"/>
                <w:color w:val="auto"/>
              </w:rPr>
            </w:pPr>
            <w:r>
              <w:rPr>
                <w:rFonts w:ascii="Arial" w:cs="Arial" w:eastAsia="Arial" w:hAnsi="Arial"/>
                <w:sz w:val="14"/>
                <w:szCs w:val="14"/>
                <w:color w:val="0000FF"/>
              </w:rPr>
              <w:t>V</w:t>
            </w:r>
          </w:p>
        </w:tc>
        <w:tc>
          <w:tcPr>
            <w:tcW w:w="720" w:type="dxa"/>
            <w:vAlign w:val="bottom"/>
          </w:tcPr>
          <w:p>
            <w:pPr>
              <w:ind w:left="300"/>
              <w:spacing w:after="0"/>
              <w:rPr>
                <w:sz w:val="20"/>
                <w:szCs w:val="20"/>
                <w:color w:val="auto"/>
              </w:rPr>
            </w:pPr>
            <w:r>
              <w:rPr>
                <w:rFonts w:ascii="Arial" w:cs="Arial" w:eastAsia="Arial" w:hAnsi="Arial"/>
                <w:sz w:val="18"/>
                <w:szCs w:val="18"/>
                <w:color w:val="0000FF"/>
              </w:rPr>
              <w:t>185</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9"/>
              </w:rPr>
              <w:t>167,391</w:t>
            </w:r>
          </w:p>
        </w:tc>
        <w:tc>
          <w:tcPr>
            <w:tcW w:w="340" w:type="dxa"/>
            <w:vAlign w:val="bottom"/>
          </w:tcPr>
          <w:p>
            <w:pPr>
              <w:spacing w:after="0"/>
              <w:rPr>
                <w:sz w:val="23"/>
                <w:szCs w:val="23"/>
                <w:color w:val="auto"/>
              </w:rPr>
            </w:pPr>
          </w:p>
        </w:tc>
        <w:tc>
          <w:tcPr>
            <w:tcW w:w="56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03/24/2017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32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0000FF"/>
              </w:rPr>
              <w:t>100</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7.155</w:t>
            </w:r>
          </w:p>
        </w:tc>
        <w:tc>
          <w:tcPr>
            <w:tcW w:w="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9"/>
              </w:rPr>
              <w:t>167,491</w:t>
            </w:r>
          </w:p>
        </w:tc>
        <w:tc>
          <w:tcPr>
            <w:tcW w:w="340" w:type="dxa"/>
            <w:vAlign w:val="bottom"/>
          </w:tcPr>
          <w:p>
            <w:pPr>
              <w:spacing w:after="0"/>
              <w:rPr>
                <w:sz w:val="23"/>
                <w:szCs w:val="23"/>
                <w:color w:val="auto"/>
              </w:rPr>
            </w:pPr>
          </w:p>
        </w:tc>
        <w:tc>
          <w:tcPr>
            <w:tcW w:w="56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03/24/2017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2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0000FF"/>
              </w:rPr>
              <w:t>100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61.5</w:t>
            </w:r>
          </w:p>
        </w:tc>
        <w:tc>
          <w:tcPr>
            <w:tcW w:w="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9"/>
              </w:rPr>
              <w:t>167,391</w:t>
            </w:r>
          </w:p>
        </w:tc>
        <w:tc>
          <w:tcPr>
            <w:tcW w:w="340" w:type="dxa"/>
            <w:vAlign w:val="bottom"/>
          </w:tcPr>
          <w:p>
            <w:pPr>
              <w:spacing w:after="0"/>
              <w:rPr>
                <w:sz w:val="23"/>
                <w:szCs w:val="23"/>
                <w:color w:val="auto"/>
              </w:rPr>
            </w:pPr>
          </w:p>
        </w:tc>
        <w:tc>
          <w:tcPr>
            <w:tcW w:w="56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The Toro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Company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79,730.938</w:t>
            </w:r>
            <w:r>
              <w:rPr>
                <w:rFonts w:ascii="Arial" w:cs="Arial" w:eastAsia="Arial" w:hAnsi="Arial"/>
                <w:sz w:val="22"/>
                <w:szCs w:val="22"/>
                <w:color w:val="008000"/>
                <w:w w:val="85"/>
                <w:vertAlign w:val="superscript"/>
              </w:rPr>
              <w:t>(1)</w:t>
            </w:r>
          </w:p>
        </w:tc>
        <w:tc>
          <w:tcPr>
            <w:tcW w:w="340" w:type="dxa"/>
            <w:vAlign w:val="bottom"/>
          </w:tcPr>
          <w:p>
            <w:pPr>
              <w:spacing w:after="0"/>
              <w:rPr>
                <w:sz w:val="18"/>
                <w:szCs w:val="18"/>
                <w:color w:val="auto"/>
              </w:rPr>
            </w:pPr>
          </w:p>
        </w:tc>
        <w:tc>
          <w:tcPr>
            <w:tcW w:w="56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w w:val="96"/>
              </w:rPr>
              <w:t>Investment,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Savings &amp;</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ESOP</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34,933.098</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7.155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03/24/2017</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Arial" w:cs="Arial" w:eastAsia="Arial" w:hAnsi="Arial"/>
                <w:sz w:val="14"/>
                <w:szCs w:val="14"/>
                <w:color w:val="0000FF"/>
              </w:rPr>
              <w:t>100</w:t>
            </w:r>
          </w:p>
        </w:tc>
        <w:tc>
          <w:tcPr>
            <w:tcW w:w="5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color w:val="0000FF"/>
                <w:w w:val="94"/>
              </w:rPr>
              <w:t>12/03/2018</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4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color w:val="0000FF"/>
              </w:rPr>
              <w:t>29,900</w:t>
            </w:r>
          </w:p>
        </w:tc>
        <w:tc>
          <w:tcPr>
            <w:tcW w:w="560" w:type="dxa"/>
            <w:vAlign w:val="bottom"/>
            <w:vMerge w:val="restart"/>
          </w:tcPr>
          <w:p>
            <w:pPr>
              <w:ind w:left="40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247.207 net shares acquired under the dividend reinvestment feature of The Toro Company Investment, Savings &amp; ESOP (the "IS&amp;ESOP") less quarterly non-discretionary administrative fees; and 65.429 shares acquired through issuer annual investment fund contributions to the IS&amp;ESOP.</w:t>
      </w: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108.192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3, 2008.</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03/28/2017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2019-12-23T21:05:07Z</dcterms:created>
  <dcterms:modified xsi:type="dcterms:W3CDTF">2019-12-23T21:05:07Z</dcterms:modified>
</cp:coreProperties>
</file>