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12/18/2019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rPr>
              <w:t>7,079</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7,079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80" w:type="dxa"/>
            <w:vAlign w:val="bottom"/>
            <w:gridSpan w:val="2"/>
          </w:tcPr>
          <w:p>
            <w:pPr>
              <w:ind w:left="620"/>
              <w:spacing w:after="0"/>
              <w:rPr>
                <w:sz w:val="20"/>
                <w:szCs w:val="20"/>
                <w:color w:val="auto"/>
              </w:rPr>
            </w:pPr>
            <w:r>
              <w:rPr>
                <w:rFonts w:ascii="Arial" w:cs="Arial" w:eastAsia="Arial" w:hAnsi="Arial"/>
                <w:sz w:val="18"/>
                <w:szCs w:val="18"/>
                <w:color w:val="0000FF"/>
              </w:rPr>
              <w:t>12/18/2019</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Pr>
          <w:p>
            <w:pPr>
              <w:jc w:val="right"/>
              <w:ind w:right="112"/>
              <w:spacing w:after="0"/>
              <w:rPr>
                <w:sz w:val="20"/>
                <w:szCs w:val="20"/>
                <w:color w:val="auto"/>
              </w:rPr>
            </w:pPr>
            <w:r>
              <w:rPr>
                <w:rFonts w:ascii="Arial" w:cs="Arial" w:eastAsia="Arial" w:hAnsi="Arial"/>
                <w:sz w:val="18"/>
                <w:szCs w:val="18"/>
                <w:color w:val="0000FF"/>
              </w:rPr>
              <w:t>2,167</w:t>
            </w: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75.75</w:t>
            </w:r>
          </w:p>
        </w:tc>
        <w:tc>
          <w:tcPr>
            <w:tcW w:w="1340" w:type="dxa"/>
            <w:vAlign w:val="bottom"/>
            <w:gridSpan w:val="3"/>
          </w:tcPr>
          <w:p>
            <w:pPr>
              <w:jc w:val="center"/>
              <w:spacing w:after="0"/>
              <w:rPr>
                <w:sz w:val="20"/>
                <w:szCs w:val="20"/>
                <w:color w:val="auto"/>
              </w:rPr>
            </w:pPr>
            <w:r>
              <w:rPr>
                <w:rFonts w:ascii="Arial" w:cs="Arial" w:eastAsia="Arial" w:hAnsi="Arial"/>
                <w:sz w:val="18"/>
                <w:szCs w:val="18"/>
                <w:color w:val="0000FF"/>
                <w:w w:val="88"/>
              </w:rPr>
              <w:t>4,912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2"/>
              </w:rPr>
              <w:t>309.63</w:t>
            </w:r>
            <w:r>
              <w:rPr>
                <w:rFonts w:ascii="Arial" w:cs="Arial" w:eastAsia="Arial" w:hAnsi="Arial"/>
                <w:sz w:val="22"/>
                <w:szCs w:val="22"/>
                <w:color w:val="008000"/>
                <w:w w:val="82"/>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line="217" w:lineRule="exact"/>
              <w:rPr>
                <w:sz w:val="20"/>
                <w:szCs w:val="20"/>
                <w:color w:val="auto"/>
              </w:rPr>
            </w:pPr>
            <w:r>
              <w:rPr>
                <w:rFonts w:ascii="Arial" w:cs="Arial" w:eastAsia="Arial" w:hAnsi="Arial"/>
                <w:sz w:val="18"/>
                <w:szCs w:val="18"/>
                <w:color w:val="0000FF"/>
                <w:w w:val="82"/>
              </w:rPr>
              <w:t>53.567</w:t>
            </w:r>
            <w:r>
              <w:rPr>
                <w:rFonts w:ascii="Arial" w:cs="Arial" w:eastAsia="Arial" w:hAnsi="Arial"/>
                <w:sz w:val="22"/>
                <w:szCs w:val="22"/>
                <w:color w:val="008000"/>
                <w:w w:val="82"/>
                <w:vertAlign w:val="superscript"/>
              </w:rPr>
              <w:t>(3)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109,805.537</w:t>
            </w:r>
            <w:r>
              <w:rPr>
                <w:rFonts w:ascii="Arial" w:cs="Arial" w:eastAsia="Arial" w:hAnsi="Arial"/>
                <w:sz w:val="22"/>
                <w:szCs w:val="22"/>
                <w:color w:val="008000"/>
                <w:w w:val="84"/>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4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a Performance Share Award for the Fiscal 2017 to Fiscal 2019 Performance Period under The Toro Company Amended and Restated 2010 Equity and Incentive Plan, as amended and restated (the "Amended and Restated 2010 Plan"), as approved by the Issuer's Compensation &amp; Human Resources Committee of its Board of Directors on December 3, 2019, and which was conditioned upon and subject to confirmation by the Issuer's Fiscal 2019 financial results that were released on December 18, 2019.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4.134 shares of common stock acquired by the reporting person since the date of his last report under the dividend reinvestment feature of The Toro Company Direct Stock Purchase Plan.</w:t>
      </w:r>
    </w:p>
    <w:p>
      <w:pPr>
        <w:spacing w:after="0" w:line="64" w:lineRule="exact"/>
        <w:rPr>
          <w:rFonts w:ascii="Arial" w:cs="Arial" w:eastAsia="Arial" w:hAnsi="Arial"/>
          <w:sz w:val="12"/>
          <w:szCs w:val="12"/>
          <w:color w:val="008000"/>
        </w:rPr>
      </w:pPr>
    </w:p>
    <w:p>
      <w:pPr>
        <w:ind w:left="40" w:right="3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0.507 net shares acquired under the dividend reinvestment feature of The Toro Company Investment, Savings &amp; ESOP (the "IS&amp;ESOP") less quarterly non-discretionary administrative fees; and 53.06 shares acquired through Issuer annual investment fund contributions to the IS&amp;ESOP.</w:t>
      </w: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1,464.842 performance share units acquired by the reporting person since the date of his last report under the dividend reinvestment feature of The Toro Company Deferred Compensation Plan for Officers.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12/20/2019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2019-12-20T13:27:34Z</dcterms:created>
  <dcterms:modified xsi:type="dcterms:W3CDTF">2019-12-20T13:27:34Z</dcterms:modified>
</cp:coreProperties>
</file>