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VP, International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52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12/18/2019</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3,783</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92"/>
              </w:rPr>
              <w:t>14,796</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12/18/2019</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1,379</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580" w:type="dxa"/>
            <w:vAlign w:val="bottom"/>
            <w:gridSpan w:val="3"/>
          </w:tcPr>
          <w:p>
            <w:pPr>
              <w:jc w:val="center"/>
              <w:ind w:right="319"/>
              <w:spacing w:after="0"/>
              <w:rPr>
                <w:sz w:val="20"/>
                <w:szCs w:val="20"/>
                <w:color w:val="auto"/>
              </w:rPr>
            </w:pPr>
            <w:r>
              <w:rPr>
                <w:rFonts w:ascii="Arial" w:cs="Arial" w:eastAsia="Arial" w:hAnsi="Arial"/>
                <w:sz w:val="17"/>
                <w:szCs w:val="17"/>
                <w:color w:val="0000FF"/>
                <w:w w:val="92"/>
              </w:rPr>
              <w:t>13,417</w:t>
            </w: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8,376.16</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319"/>
              <w:spacing w:after="0" w:line="214" w:lineRule="exact"/>
              <w:rPr>
                <w:sz w:val="20"/>
                <w:szCs w:val="20"/>
                <w:color w:val="auto"/>
              </w:rPr>
            </w:pPr>
            <w:r>
              <w:rPr>
                <w:rFonts w:ascii="Arial" w:cs="Arial" w:eastAsia="Arial" w:hAnsi="Arial"/>
                <w:sz w:val="17"/>
                <w:szCs w:val="17"/>
                <w:color w:val="0000FF"/>
                <w:w w:val="89"/>
              </w:rPr>
              <w:t>33,557.972</w:t>
            </w:r>
            <w:r>
              <w:rPr>
                <w:rFonts w:ascii="Arial" w:cs="Arial" w:eastAsia="Arial" w:hAnsi="Arial"/>
                <w:sz w:val="22"/>
                <w:szCs w:val="22"/>
                <w:color w:val="008000"/>
                <w:w w:val="89"/>
                <w:vertAlign w:val="superscript"/>
              </w:rPr>
              <w:t>(3)</w:t>
            </w: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22,935.393</w:t>
            </w:r>
            <w:r>
              <w:rPr>
                <w:rFonts w:ascii="Arial" w:cs="Arial" w:eastAsia="Arial" w:hAnsi="Arial"/>
                <w:sz w:val="22"/>
                <w:szCs w:val="22"/>
                <w:color w:val="008000"/>
                <w:w w:val="89"/>
                <w:vertAlign w:val="superscript"/>
              </w:rPr>
              <w:t>(4)</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12/19/2019</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10,400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12/19/2029</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rPr>
                <w:sz w:val="20"/>
                <w:szCs w:val="20"/>
                <w:color w:val="auto"/>
              </w:rPr>
            </w:pPr>
            <w:r>
              <w:rPr>
                <w:rFonts w:ascii="Arial" w:cs="Arial" w:eastAsia="Arial" w:hAnsi="Arial"/>
                <w:sz w:val="17"/>
                <w:szCs w:val="17"/>
                <w:color w:val="0000FF"/>
                <w:w w:val="99"/>
              </w:rPr>
              <w:t>10,400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10,400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80.077 shares of common stock acquired by the reporting person since the date of his last report under a dividend reinvestment feature of the account in which the shares are held.</w:t>
      </w:r>
    </w:p>
    <w:p>
      <w:pPr>
        <w:spacing w:after="0" w:line="51" w:lineRule="exact"/>
        <w:rPr>
          <w:rFonts w:ascii="Arial" w:cs="Arial" w:eastAsia="Arial" w:hAnsi="Arial"/>
          <w:sz w:val="13"/>
          <w:szCs w:val="13"/>
          <w:color w:val="008000"/>
        </w:rPr>
      </w:pPr>
    </w:p>
    <w:p>
      <w:pPr>
        <w:ind w:left="40" w:right="38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319.222 net shares acquired under the dividend reinvestment feature of The Toro Company Investment, Savings &amp; ESOP (the "IS&amp;ESOP") less quarterly non-discretionary administrative fees; and 60.273 shares acquired through Issuer annual investment fund contributions to the IS&amp;ESOP.</w:t>
      </w: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218.286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2019-12-20T13:53:25Z</dcterms:created>
  <dcterms:modified xsi:type="dcterms:W3CDTF">2019-12-20T13:53:25Z</dcterms:modified>
</cp:coreProperties>
</file>