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Vice President, Consumer &amp; LCB</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01/18/2007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1,891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32,501.127</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12/19/2007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328</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1380" w:type="dxa"/>
            <w:vAlign w:val="bottom"/>
            <w:gridSpan w:val="3"/>
          </w:tcPr>
          <w:p>
            <w:pPr>
              <w:jc w:val="center"/>
              <w:spacing w:after="0"/>
              <w:rPr>
                <w:sz w:val="20"/>
                <w:szCs w:val="20"/>
                <w:color w:val="auto"/>
              </w:rPr>
            </w:pPr>
            <w:r>
              <w:rPr>
                <w:rFonts w:ascii="Arial" w:cs="Arial" w:eastAsia="Arial" w:hAnsi="Arial"/>
                <w:sz w:val="18"/>
                <w:szCs w:val="18"/>
                <w:color w:val="0000FF"/>
                <w:w w:val="86"/>
              </w:rPr>
              <w:t>32,173.127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12/20/2007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622.988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31,948.109</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6,387.616</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gift transaction not previously reported as the result of an administrative error. However, such gift was previously reflected in the reporting person's direct holdings of common stock on the reporting person's Forms 4 filed on each of December 7, 2007 and December 14, 2007.</w:t>
      </w:r>
    </w:p>
    <w:p>
      <w:pPr>
        <w:spacing w:after="0" w:line="30" w:lineRule="exact"/>
        <w:rPr>
          <w:rFonts w:ascii="Arial" w:cs="Arial" w:eastAsia="Arial" w:hAnsi="Arial"/>
          <w:sz w:val="14"/>
          <w:szCs w:val="14"/>
          <w:color w:val="008000"/>
        </w:rPr>
      </w:pPr>
    </w:p>
    <w:p>
      <w:pPr>
        <w:jc w:val="both"/>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under The Toro Company Dividend Reinvestment Plan since the date of his last report: 98.993 shares acquired on January 11, 2008, 114.614 shares acquired on April 11, 2008 and 156.363 shares acquired on July 11, 2008. Also includes 28 shares of common stock owned by, but not previously attributed to, the reporting person's direct holdings of common stock as the result of an administrative error.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4.3652 shares acquired on January 11, 2008, 23.081 shares acquired on April 11, 2008 and</w:t>
      </w:r>
    </w:p>
    <w:p>
      <w:pPr>
        <w:spacing w:after="0" w:line="22" w:lineRule="exact"/>
        <w:rPr>
          <w:rFonts w:ascii="Arial" w:cs="Arial" w:eastAsia="Arial" w:hAnsi="Arial"/>
          <w:sz w:val="12"/>
          <w:szCs w:val="12"/>
          <w:color w:val="008000"/>
        </w:rPr>
      </w:pPr>
    </w:p>
    <w:p>
      <w:pPr>
        <w:ind w:left="40" w:right="60"/>
        <w:spacing w:after="0" w:line="230" w:lineRule="auto"/>
        <w:rPr>
          <w:rFonts w:ascii="Arial" w:cs="Arial" w:eastAsia="Arial" w:hAnsi="Arial"/>
          <w:sz w:val="12"/>
          <w:szCs w:val="12"/>
          <w:color w:val="008000"/>
        </w:rPr>
      </w:pPr>
      <w:r>
        <w:rPr>
          <w:rFonts w:ascii="Arial" w:cs="Arial" w:eastAsia="Arial" w:hAnsi="Arial"/>
          <w:sz w:val="14"/>
          <w:szCs w:val="14"/>
          <w:color w:val="008000"/>
        </w:rPr>
        <w:t>30.789 shares acquired on July 11, 2008 under the dividend reinvestment feature of The Toro Company Investment, Savings &amp; ESOP; and 68.091 shares acquired on February 25, 2008 through contributions to The Toro Company Investment, Savings &amp; 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07/29/2008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2019-12-16T21:46:34Z</dcterms:created>
  <dcterms:modified xsi:type="dcterms:W3CDTF">2019-12-16T21:46:34Z</dcterms:modified>
</cp:coreProperties>
</file>