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136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365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Vale Michael G.</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11/01/2019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89"/>
              </w:rPr>
              <w:t>Common Stock Units</w:t>
            </w: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center"/>
              <w:ind w:left="553"/>
              <w:spacing w:after="0"/>
              <w:rPr>
                <w:sz w:val="20"/>
                <w:szCs w:val="20"/>
                <w:color w:val="auto"/>
              </w:rPr>
            </w:pPr>
            <w:r>
              <w:rPr>
                <w:rFonts w:ascii="Arial" w:cs="Arial" w:eastAsia="Arial" w:hAnsi="Arial"/>
                <w:sz w:val="18"/>
                <w:szCs w:val="18"/>
                <w:color w:val="0000FF"/>
                <w:w w:val="86"/>
              </w:rPr>
              <w:t>11/01/2019</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892</w:t>
            </w:r>
            <w:r>
              <w:rPr>
                <w:rFonts w:ascii="Arial" w:cs="Arial" w:eastAsia="Arial" w:hAnsi="Arial"/>
                <w:sz w:val="22"/>
                <w:szCs w:val="22"/>
                <w:color w:val="008000"/>
                <w:vertAlign w:val="superscript"/>
              </w:rPr>
              <w:t>(1)</w:t>
            </w:r>
          </w:p>
        </w:tc>
        <w:tc>
          <w:tcPr>
            <w:tcW w:w="6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300"/>
              <w:spacing w:after="0"/>
              <w:rPr>
                <w:sz w:val="20"/>
                <w:szCs w:val="20"/>
                <w:color w:val="auto"/>
              </w:rPr>
            </w:pPr>
            <w:r>
              <w:rPr>
                <w:rFonts w:ascii="Arial" w:cs="Arial" w:eastAsia="Arial" w:hAnsi="Arial"/>
                <w:sz w:val="18"/>
                <w:szCs w:val="18"/>
                <w:color w:val="0000FF"/>
              </w:rPr>
              <w:t>1,914.619</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58"/>
              <w:spacing w:after="0"/>
              <w:rPr>
                <w:sz w:val="20"/>
                <w:szCs w:val="20"/>
                <w:color w:val="auto"/>
              </w:rPr>
            </w:pPr>
            <w:r>
              <w:rPr>
                <w:rFonts w:ascii="Arial" w:cs="Arial" w:eastAsia="Arial" w:hAnsi="Arial"/>
                <w:sz w:val="12"/>
                <w:szCs w:val="12"/>
                <w:b w:val="1"/>
                <w:bCs w:val="1"/>
                <w:color w:val="auto"/>
                <w:w w:val="99"/>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58"/>
              <w:spacing w:after="0" w:line="135" w:lineRule="exact"/>
              <w:rPr>
                <w:sz w:val="20"/>
                <w:szCs w:val="20"/>
                <w:color w:val="auto"/>
              </w:rPr>
            </w:pPr>
            <w:r>
              <w:rPr>
                <w:rFonts w:ascii="Arial" w:cs="Arial" w:eastAsia="Arial" w:hAnsi="Arial"/>
                <w:sz w:val="12"/>
                <w:szCs w:val="12"/>
                <w:b w:val="1"/>
                <w:bCs w:val="1"/>
                <w:color w:val="auto"/>
                <w:w w:val="93"/>
              </w:rPr>
              <w:t>8)</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Qualified</w:t>
            </w:r>
          </w:p>
        </w:tc>
        <w:tc>
          <w:tcPr>
            <w:tcW w:w="8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77.64</w:t>
            </w:r>
          </w:p>
        </w:tc>
        <w:tc>
          <w:tcPr>
            <w:tcW w:w="1080" w:type="dxa"/>
            <w:vAlign w:val="bottom"/>
            <w:vMerge w:val="restart"/>
          </w:tcPr>
          <w:p>
            <w:pPr>
              <w:ind w:left="200"/>
              <w:spacing w:after="0"/>
              <w:rPr>
                <w:sz w:val="20"/>
                <w:szCs w:val="20"/>
                <w:color w:val="auto"/>
              </w:rPr>
            </w:pPr>
            <w:r>
              <w:rPr>
                <w:rFonts w:ascii="Arial" w:cs="Arial" w:eastAsia="Arial" w:hAnsi="Arial"/>
                <w:sz w:val="14"/>
                <w:szCs w:val="14"/>
                <w:color w:val="0000FF"/>
              </w:rPr>
              <w:t>11/01/2019</w:t>
            </w:r>
          </w:p>
        </w:tc>
        <w:tc>
          <w:tcPr>
            <w:tcW w:w="114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580" w:type="dxa"/>
            <w:vAlign w:val="bottom"/>
            <w:vMerge w:val="restart"/>
          </w:tcPr>
          <w:p>
            <w:pPr>
              <w:ind w:left="180"/>
              <w:spacing w:after="0"/>
              <w:rPr>
                <w:sz w:val="20"/>
                <w:szCs w:val="20"/>
                <w:color w:val="auto"/>
              </w:rPr>
            </w:pPr>
            <w:r>
              <w:rPr>
                <w:rFonts w:ascii="Arial" w:cs="Arial" w:eastAsia="Arial" w:hAnsi="Arial"/>
                <w:sz w:val="14"/>
                <w:szCs w:val="14"/>
                <w:color w:val="0000FF"/>
              </w:rPr>
              <w:t>3,521</w:t>
            </w:r>
          </w:p>
        </w:tc>
        <w:tc>
          <w:tcPr>
            <w:tcW w:w="34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80" w:type="dxa"/>
            <w:vAlign w:val="bottom"/>
            <w:gridSpan w:val="2"/>
            <w:vMerge w:val="restart"/>
          </w:tcPr>
          <w:p>
            <w:pPr>
              <w:jc w:val="right"/>
              <w:ind w:right="74"/>
              <w:spacing w:after="0"/>
              <w:rPr>
                <w:sz w:val="20"/>
                <w:szCs w:val="20"/>
                <w:color w:val="auto"/>
              </w:rPr>
            </w:pPr>
            <w:r>
              <w:rPr>
                <w:rFonts w:ascii="Arial" w:cs="Arial" w:eastAsia="Arial" w:hAnsi="Arial"/>
                <w:sz w:val="14"/>
                <w:szCs w:val="14"/>
                <w:color w:val="0000FF"/>
                <w:w w:val="88"/>
              </w:rPr>
              <w:t>11/01/2029</w:t>
            </w:r>
          </w:p>
        </w:tc>
        <w:tc>
          <w:tcPr>
            <w:tcW w:w="640" w:type="dxa"/>
            <w:vAlign w:val="bottom"/>
          </w:tcPr>
          <w:p>
            <w:pPr>
              <w:ind w:left="2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3,521</w:t>
            </w:r>
          </w:p>
        </w:tc>
        <w:tc>
          <w:tcPr>
            <w:tcW w:w="40" w:type="dxa"/>
            <w:vAlign w:val="bottom"/>
          </w:tcPr>
          <w:p>
            <w:pPr>
              <w:spacing w:after="0"/>
              <w:rPr>
                <w:sz w:val="12"/>
                <w:szCs w:val="12"/>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80"/>
              <w:spacing w:after="0"/>
              <w:rPr>
                <w:sz w:val="20"/>
                <w:szCs w:val="20"/>
                <w:color w:val="auto"/>
              </w:rPr>
            </w:pPr>
            <w:r>
              <w:rPr>
                <w:rFonts w:ascii="Arial" w:cs="Arial" w:eastAsia="Arial" w:hAnsi="Arial"/>
                <w:sz w:val="14"/>
                <w:szCs w:val="14"/>
                <w:color w:val="0000FF"/>
                <w:w w:val="91"/>
              </w:rPr>
              <w:t>3,521</w:t>
            </w:r>
          </w:p>
        </w:tc>
        <w:tc>
          <w:tcPr>
            <w:tcW w:w="3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40" w:type="dxa"/>
            <w:vAlign w:val="bottom"/>
            <w:vMerge w:val="restart"/>
          </w:tcPr>
          <w:p>
            <w:pPr>
              <w:ind w:left="10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Annual common stock award for service as a non-employee director issued under The Toro Company Amended and Restated 2010 Equity and Incentive Plan, as amended and restated (the "Amended and Restated 2010 Plan"). The reporting person has deferred the payout of his stock award under The Toro Company Deferred Compensation Plan for Non-Employee Directors (the "Deferred Plan") and, accordingly, the reporting person's stock award is paid in common stock units under the Deferred Plan.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13.619 common stock units acquired by the reporting person since the date of his last report under the dividend reinvestment feature of the Deferred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11/05/2019</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27527"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2019-12-23T21:32:33Z</dcterms:created>
  <dcterms:modified xsi:type="dcterms:W3CDTF">2019-12-23T21:32:33Z</dcterms:modified>
</cp:coreProperties>
</file>