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188595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3" w:lineRule="exact"/>
        <w:rPr>
          <w:sz w:val="24"/>
          <w:szCs w:val="24"/>
          <w:color w:val="auto"/>
        </w:rPr>
      </w:pPr>
    </w:p>
    <w:tbl>
      <w:tblPr>
        <w:tblLayout w:type="fixed"/>
        <w:tblInd w:w="700" w:type="dxa"/>
        <w:tblCellMar>
          <w:top w:w="0" w:type="dxa"/>
          <w:left w:w="0" w:type="dxa"/>
          <w:bottom w:w="0" w:type="dxa"/>
          <w:right w:w="0" w:type="dxa"/>
        </w:tblCellMar>
      </w:tblPr>
      <w:tr>
        <w:trPr>
          <w:trHeight w:val="242"/>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91"/>
              </w:rPr>
              <w:t>Delaware</w:t>
            </w:r>
          </w:p>
        </w:tc>
        <w:tc>
          <w:tcPr>
            <w:tcW w:w="4320" w:type="dxa"/>
            <w:vAlign w:val="bottom"/>
          </w:tcPr>
          <w:p>
            <w:pPr>
              <w:jc w:val="center"/>
              <w:spacing w:after="0"/>
              <w:rPr>
                <w:sz w:val="20"/>
                <w:szCs w:val="20"/>
                <w:color w:val="auto"/>
              </w:rPr>
            </w:pPr>
            <w:r>
              <w:rPr>
                <w:rFonts w:ascii="Arial" w:cs="Arial" w:eastAsia="Arial" w:hAnsi="Arial"/>
                <w:sz w:val="20"/>
                <w:szCs w:val="20"/>
                <w:b w:val="1"/>
                <w:bCs w:val="1"/>
                <w:color w:val="auto"/>
                <w:w w:val="89"/>
              </w:rPr>
              <w:t>1-8649</w:t>
            </w:r>
          </w:p>
        </w:tc>
        <w:tc>
          <w:tcPr>
            <w:tcW w:w="2580" w:type="dxa"/>
            <w:vAlign w:val="bottom"/>
          </w:tcPr>
          <w:p>
            <w:pPr>
              <w:jc w:val="right"/>
              <w:ind w:right="550"/>
              <w:spacing w:after="0"/>
              <w:rPr>
                <w:sz w:val="20"/>
                <w:szCs w:val="20"/>
                <w:color w:val="auto"/>
              </w:rPr>
            </w:pPr>
            <w:r>
              <w:rPr>
                <w:rFonts w:ascii="Arial" w:cs="Arial" w:eastAsia="Arial" w:hAnsi="Arial"/>
                <w:sz w:val="20"/>
                <w:szCs w:val="20"/>
                <w:b w:val="1"/>
                <w:bCs w:val="1"/>
                <w:color w:val="auto"/>
              </w:rPr>
              <w:t>41-0580470</w:t>
            </w:r>
          </w:p>
        </w:tc>
      </w:tr>
      <w:tr>
        <w:trPr>
          <w:trHeight w:val="203"/>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4"/>
              </w:rPr>
              <w:t>(State or other jurisdiction</w:t>
            </w:r>
          </w:p>
        </w:tc>
        <w:tc>
          <w:tcPr>
            <w:tcW w:w="4320" w:type="dxa"/>
            <w:vAlign w:val="bottom"/>
          </w:tcPr>
          <w:p>
            <w:pPr>
              <w:jc w:val="center"/>
              <w:spacing w:after="0"/>
              <w:rPr>
                <w:sz w:val="20"/>
                <w:szCs w:val="20"/>
                <w:color w:val="auto"/>
              </w:rPr>
            </w:pPr>
            <w:r>
              <w:rPr>
                <w:rFonts w:ascii="Arial" w:cs="Arial" w:eastAsia="Arial" w:hAnsi="Arial"/>
                <w:sz w:val="16"/>
                <w:szCs w:val="16"/>
                <w:color w:val="auto"/>
                <w:w w:val="93"/>
              </w:rPr>
              <w:t>(Commission File Number)</w:t>
            </w: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6"/>
              </w:rPr>
              <w:t>(IRS Employer Identification No.)</w:t>
            </w:r>
          </w:p>
        </w:tc>
      </w:tr>
      <w:tr>
        <w:trPr>
          <w:trHeight w:val="206"/>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6"/>
              </w:rPr>
              <w:t>of incorporation)</w:t>
            </w:r>
          </w:p>
        </w:tc>
        <w:tc>
          <w:tcPr>
            <w:tcW w:w="4320" w:type="dxa"/>
            <w:vAlign w:val="bottom"/>
          </w:tcPr>
          <w:p>
            <w:pPr>
              <w:spacing w:after="0"/>
              <w:rPr>
                <w:sz w:val="17"/>
                <w:szCs w:val="17"/>
                <w:color w:val="auto"/>
              </w:rPr>
            </w:pPr>
          </w:p>
        </w:tc>
        <w:tc>
          <w:tcPr>
            <w:tcW w:w="2580" w:type="dxa"/>
            <w:vAlign w:val="bottom"/>
          </w:tcPr>
          <w:p>
            <w:pPr>
              <w:spacing w:after="0"/>
              <w:rPr>
                <w:sz w:val="17"/>
                <w:szCs w:val="17"/>
                <w:color w:val="auto"/>
              </w:rPr>
            </w:pPr>
          </w:p>
        </w:tc>
      </w:tr>
      <w:tr>
        <w:trPr>
          <w:trHeight w:val="429"/>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87"/>
              </w:rPr>
              <w:t>8111 Lyndale Avenue South</w:t>
            </w:r>
          </w:p>
        </w:tc>
        <w:tc>
          <w:tcPr>
            <w:tcW w:w="4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42"/>
        </w:trPr>
        <w:tc>
          <w:tcPr>
            <w:tcW w:w="2800" w:type="dxa"/>
            <w:vAlign w:val="bottom"/>
          </w:tcPr>
          <w:p>
            <w:pPr>
              <w:jc w:val="center"/>
              <w:ind w:right="150"/>
              <w:spacing w:after="0"/>
              <w:rPr>
                <w:sz w:val="20"/>
                <w:szCs w:val="20"/>
                <w:color w:val="auto"/>
              </w:rPr>
            </w:pPr>
            <w:r>
              <w:rPr>
                <w:rFonts w:ascii="Arial" w:cs="Arial" w:eastAsia="Arial" w:hAnsi="Arial"/>
                <w:sz w:val="20"/>
                <w:szCs w:val="20"/>
                <w:b w:val="1"/>
                <w:bCs w:val="1"/>
                <w:color w:val="auto"/>
                <w:w w:val="89"/>
              </w:rPr>
              <w:t>Bloomington, Minnesota</w:t>
            </w:r>
          </w:p>
        </w:tc>
        <w:tc>
          <w:tcPr>
            <w:tcW w:w="4320" w:type="dxa"/>
            <w:vAlign w:val="bottom"/>
          </w:tcPr>
          <w:p>
            <w:pPr>
              <w:spacing w:after="0"/>
              <w:rPr>
                <w:sz w:val="21"/>
                <w:szCs w:val="21"/>
                <w:color w:val="auto"/>
              </w:rPr>
            </w:pPr>
          </w:p>
        </w:tc>
        <w:tc>
          <w:tcPr>
            <w:tcW w:w="2580" w:type="dxa"/>
            <w:vAlign w:val="bottom"/>
          </w:tcPr>
          <w:p>
            <w:pPr>
              <w:jc w:val="right"/>
              <w:ind w:right="790"/>
              <w:spacing w:after="0"/>
              <w:rPr>
                <w:sz w:val="20"/>
                <w:szCs w:val="20"/>
                <w:color w:val="auto"/>
              </w:rPr>
            </w:pPr>
            <w:r>
              <w:rPr>
                <w:rFonts w:ascii="Arial" w:cs="Arial" w:eastAsia="Arial" w:hAnsi="Arial"/>
                <w:sz w:val="20"/>
                <w:szCs w:val="20"/>
                <w:b w:val="1"/>
                <w:bCs w:val="1"/>
                <w:color w:val="auto"/>
              </w:rPr>
              <w:t>55420</w:t>
            </w:r>
          </w:p>
        </w:tc>
      </w:tr>
      <w:tr>
        <w:trPr>
          <w:trHeight w:val="206"/>
        </w:trPr>
        <w:tc>
          <w:tcPr>
            <w:tcW w:w="2800" w:type="dxa"/>
            <w:vAlign w:val="bottom"/>
          </w:tcPr>
          <w:p>
            <w:pPr>
              <w:jc w:val="center"/>
              <w:ind w:right="150"/>
              <w:spacing w:after="0"/>
              <w:rPr>
                <w:sz w:val="20"/>
                <w:szCs w:val="20"/>
                <w:color w:val="auto"/>
              </w:rPr>
            </w:pPr>
            <w:r>
              <w:rPr>
                <w:rFonts w:ascii="Arial" w:cs="Arial" w:eastAsia="Arial" w:hAnsi="Arial"/>
                <w:sz w:val="16"/>
                <w:szCs w:val="16"/>
                <w:color w:val="auto"/>
                <w:w w:val="93"/>
              </w:rPr>
              <w:t>(Address of principal executive offices)</w:t>
            </w:r>
          </w:p>
        </w:tc>
        <w:tc>
          <w:tcPr>
            <w:tcW w:w="4320" w:type="dxa"/>
            <w:vAlign w:val="bottom"/>
          </w:tcPr>
          <w:p>
            <w:pPr>
              <w:spacing w:after="0"/>
              <w:rPr>
                <w:sz w:val="17"/>
                <w:szCs w:val="17"/>
                <w:color w:val="auto"/>
              </w:rPr>
            </w:pPr>
          </w:p>
        </w:tc>
        <w:tc>
          <w:tcPr>
            <w:tcW w:w="2580" w:type="dxa"/>
            <w:vAlign w:val="bottom"/>
          </w:tcPr>
          <w:p>
            <w:pPr>
              <w:jc w:val="center"/>
              <w:ind w:left="250"/>
              <w:spacing w:after="0"/>
              <w:rPr>
                <w:sz w:val="20"/>
                <w:szCs w:val="20"/>
                <w:color w:val="auto"/>
              </w:rPr>
            </w:pPr>
            <w:r>
              <w:rPr>
                <w:rFonts w:ascii="Arial" w:cs="Arial" w:eastAsia="Arial" w:hAnsi="Arial"/>
                <w:sz w:val="16"/>
                <w:szCs w:val="16"/>
                <w:color w:val="auto"/>
                <w:w w:val="95"/>
              </w:rPr>
              <w:t>(Zip Code)</w:t>
            </w:r>
          </w:p>
        </w:tc>
      </w:tr>
      <w:tr>
        <w:trPr>
          <w:trHeight w:val="356"/>
        </w:trPr>
        <w:tc>
          <w:tcPr>
            <w:tcW w:w="280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Arial" w:cs="Arial" w:eastAsia="Arial" w:hAnsi="Arial"/>
                <w:sz w:val="20"/>
                <w:szCs w:val="20"/>
                <w:b w:val="1"/>
                <w:bCs w:val="1"/>
                <w:color w:val="auto"/>
                <w:w w:val="90"/>
              </w:rPr>
              <w:t>(952) 888-8801</w:t>
            </w:r>
          </w:p>
        </w:tc>
        <w:tc>
          <w:tcPr>
            <w:tcW w:w="2580" w:type="dxa"/>
            <w:vAlign w:val="bottom"/>
          </w:tcPr>
          <w:p>
            <w:pPr>
              <w:spacing w:after="0"/>
              <w:rPr>
                <w:sz w:val="24"/>
                <w:szCs w:val="24"/>
                <w:color w:val="auto"/>
              </w:rPr>
            </w:pPr>
          </w:p>
        </w:tc>
      </w:tr>
      <w:tr>
        <w:trPr>
          <w:trHeight w:val="230"/>
        </w:trPr>
        <w:tc>
          <w:tcPr>
            <w:tcW w:w="280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2580" w:type="dxa"/>
            <w:vAlign w:val="bottom"/>
          </w:tcPr>
          <w:p>
            <w:pPr>
              <w:spacing w:after="0"/>
              <w:rPr>
                <w:sz w:val="20"/>
                <w:szCs w:val="20"/>
                <w:color w:val="auto"/>
              </w:rPr>
            </w:pPr>
          </w:p>
        </w:tc>
      </w:tr>
    </w:tbl>
    <w:p>
      <w:pPr>
        <w:spacing w:after="0" w:line="9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40" w:firstLine="8"/>
        <w:spacing w:after="0" w:line="415"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80" w:type="dxa"/>
            <w:vAlign w:val="bottom"/>
            <w:tcBorders>
              <w:bottom w:val="single" w:sz="8" w:color="auto"/>
              <w:right w:val="single" w:sz="8" w:color="auto"/>
            </w:tcBorders>
          </w:tcPr>
          <w:p>
            <w:pPr>
              <w:spacing w:after="0"/>
              <w:rPr>
                <w:sz w:val="2"/>
                <w:szCs w:val="2"/>
                <w:color w:val="auto"/>
              </w:rPr>
            </w:pPr>
          </w:p>
        </w:tc>
      </w:tr>
      <w:tr>
        <w:trPr>
          <w:trHeight w:val="228"/>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4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22"/>
        </w:trPr>
        <w:tc>
          <w:tcPr>
            <w:tcW w:w="4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4480" w:type="dxa"/>
            <w:vAlign w:val="bottom"/>
            <w:tcBorders>
              <w:bottom w:val="single" w:sz="8" w:color="auto"/>
              <w:right w:val="single" w:sz="8" w:color="auto"/>
            </w:tcBorders>
          </w:tcPr>
          <w:p>
            <w:pPr>
              <w:spacing w:after="0" w:line="20" w:lineRule="exact"/>
              <w:rPr>
                <w:sz w:val="1"/>
                <w:szCs w:val="1"/>
                <w:color w:val="auto"/>
              </w:rPr>
            </w:pPr>
          </w:p>
        </w:tc>
      </w:tr>
    </w:tbl>
    <w:p>
      <w:pPr>
        <w:spacing w:after="0" w:line="121"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7"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5 – Corporate Governance and Management</w:t>
      </w:r>
    </w:p>
    <w:p>
      <w:pPr>
        <w:spacing w:after="0" w:line="229" w:lineRule="exact"/>
        <w:rPr>
          <w:sz w:val="20"/>
          <w:szCs w:val="20"/>
          <w:color w:val="auto"/>
        </w:rPr>
      </w:pPr>
    </w:p>
    <w:p>
      <w:pPr>
        <w:spacing w:after="0"/>
        <w:tabs>
          <w:tab w:leader="none" w:pos="1480" w:val="left"/>
        </w:tabs>
        <w:rPr>
          <w:sz w:val="20"/>
          <w:szCs w:val="20"/>
          <w:color w:val="auto"/>
        </w:rPr>
      </w:pPr>
      <w:r>
        <w:rPr>
          <w:rFonts w:ascii="Arial" w:cs="Arial" w:eastAsia="Arial" w:hAnsi="Arial"/>
          <w:sz w:val="20"/>
          <w:szCs w:val="20"/>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35" w:lineRule="exact"/>
        <w:rPr>
          <w:sz w:val="20"/>
          <w:szCs w:val="20"/>
          <w:color w:val="auto"/>
        </w:rPr>
      </w:pPr>
    </w:p>
    <w:p>
      <w:pPr>
        <w:ind w:right="40" w:firstLine="749"/>
        <w:spacing w:after="0" w:line="260" w:lineRule="auto"/>
        <w:rPr>
          <w:sz w:val="20"/>
          <w:szCs w:val="20"/>
          <w:color w:val="auto"/>
        </w:rPr>
      </w:pPr>
      <w:r>
        <w:rPr>
          <w:rFonts w:ascii="Arial" w:cs="Arial" w:eastAsia="Arial" w:hAnsi="Arial"/>
          <w:sz w:val="20"/>
          <w:szCs w:val="20"/>
          <w:color w:val="auto"/>
        </w:rPr>
        <w:t>The Toro Company (“Toro”) held its 2020 Annual Meeting of Shareholders on March 17, 2020. The final results of the shareholder vote on the business brought before the meeting were as follows:</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tcPr>
          <w:p>
            <w:pPr>
              <w:jc w:val="right"/>
              <w:ind w:right="161"/>
              <w:spacing w:after="0"/>
              <w:rPr>
                <w:sz w:val="20"/>
                <w:szCs w:val="20"/>
                <w:color w:val="auto"/>
              </w:rPr>
            </w:pPr>
            <w:r>
              <w:rPr>
                <w:rFonts w:ascii="Arial" w:cs="Arial" w:eastAsia="Arial" w:hAnsi="Arial"/>
                <w:sz w:val="20"/>
                <w:szCs w:val="20"/>
                <w:color w:val="auto"/>
              </w:rPr>
              <w:t>Against/</w:t>
            </w:r>
          </w:p>
        </w:tc>
        <w:tc>
          <w:tcPr>
            <w:tcW w:w="1240" w:type="dxa"/>
            <w:vAlign w:val="bottom"/>
          </w:tcPr>
          <w:p>
            <w:pPr>
              <w:spacing w:after="0"/>
              <w:rPr>
                <w:sz w:val="19"/>
                <w:szCs w:val="19"/>
                <w:color w:val="auto"/>
              </w:rPr>
            </w:pPr>
          </w:p>
        </w:tc>
        <w:tc>
          <w:tcPr>
            <w:tcW w:w="1060" w:type="dxa"/>
            <w:vAlign w:val="bottom"/>
          </w:tcPr>
          <w:p>
            <w:pPr>
              <w:jc w:val="right"/>
              <w:ind w:right="61"/>
              <w:spacing w:after="0"/>
              <w:rPr>
                <w:sz w:val="20"/>
                <w:szCs w:val="20"/>
                <w:color w:val="auto"/>
              </w:rPr>
            </w:pPr>
            <w:r>
              <w:rPr>
                <w:rFonts w:ascii="Arial" w:cs="Arial" w:eastAsia="Arial" w:hAnsi="Arial"/>
                <w:sz w:val="20"/>
                <w:szCs w:val="20"/>
                <w:color w:val="auto"/>
              </w:rPr>
              <w:t>Broker</w:t>
            </w:r>
          </w:p>
        </w:tc>
        <w:tc>
          <w:tcPr>
            <w:tcW w:w="0" w:type="dxa"/>
            <w:vAlign w:val="bottom"/>
          </w:tcPr>
          <w:p>
            <w:pPr>
              <w:spacing w:after="0"/>
              <w:rPr>
                <w:sz w:val="1"/>
                <w:szCs w:val="1"/>
                <w:color w:val="auto"/>
              </w:rPr>
            </w:pPr>
          </w:p>
        </w:tc>
      </w:tr>
      <w:tr>
        <w:trPr>
          <w:trHeight w:val="250"/>
        </w:trPr>
        <w:tc>
          <w:tcPr>
            <w:tcW w:w="4860" w:type="dxa"/>
            <w:vAlign w:val="bottom"/>
            <w:vMerge w:val="restart"/>
          </w:tcPr>
          <w:p>
            <w:pPr>
              <w:spacing w:after="0"/>
              <w:rPr>
                <w:sz w:val="20"/>
                <w:szCs w:val="20"/>
                <w:color w:val="auto"/>
              </w:rPr>
            </w:pPr>
            <w:r>
              <w:rPr>
                <w:rFonts w:ascii="Arial" w:cs="Arial" w:eastAsia="Arial" w:hAnsi="Arial"/>
                <w:sz w:val="20"/>
                <w:szCs w:val="20"/>
                <w:b w:val="1"/>
                <w:bCs w:val="1"/>
                <w:color w:val="auto"/>
                <w:w w:val="91"/>
              </w:rPr>
              <w:t>Proposal One—Election of four directors, each to serve</w:t>
            </w:r>
          </w:p>
        </w:tc>
        <w:tc>
          <w:tcPr>
            <w:tcW w:w="1260" w:type="dxa"/>
            <w:vAlign w:val="bottom"/>
          </w:tcPr>
          <w:p>
            <w:pPr>
              <w:jc w:val="right"/>
              <w:ind w:right="381"/>
              <w:spacing w:after="0"/>
              <w:rPr>
                <w:sz w:val="20"/>
                <w:szCs w:val="20"/>
                <w:color w:val="auto"/>
              </w:rPr>
            </w:pPr>
            <w:r>
              <w:rPr>
                <w:rFonts w:ascii="Arial" w:cs="Arial" w:eastAsia="Arial" w:hAnsi="Arial"/>
                <w:sz w:val="20"/>
                <w:szCs w:val="20"/>
                <w:color w:val="auto"/>
              </w:rPr>
              <w:t>For</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Withheld</w:t>
            </w:r>
          </w:p>
        </w:tc>
        <w:tc>
          <w:tcPr>
            <w:tcW w:w="1240" w:type="dxa"/>
            <w:vAlign w:val="bottom"/>
          </w:tcPr>
          <w:p>
            <w:pPr>
              <w:jc w:val="right"/>
              <w:ind w:right="221"/>
              <w:spacing w:after="0"/>
              <w:rPr>
                <w:sz w:val="20"/>
                <w:szCs w:val="20"/>
                <w:color w:val="auto"/>
              </w:rPr>
            </w:pPr>
            <w:r>
              <w:rPr>
                <w:rFonts w:ascii="Arial" w:cs="Arial" w:eastAsia="Arial" w:hAnsi="Arial"/>
                <w:sz w:val="20"/>
                <w:szCs w:val="20"/>
                <w:color w:val="auto"/>
              </w:rPr>
              <w:t>Abstain</w:t>
            </w:r>
          </w:p>
        </w:tc>
        <w:tc>
          <w:tcPr>
            <w:tcW w:w="1060" w:type="dxa"/>
            <w:vAlign w:val="bottom"/>
          </w:tcPr>
          <w:p>
            <w:pPr>
              <w:jc w:val="right"/>
              <w:spacing w:after="0"/>
              <w:rPr>
                <w:sz w:val="20"/>
                <w:szCs w:val="20"/>
                <w:color w:val="auto"/>
              </w:rPr>
            </w:pPr>
            <w:r>
              <w:rPr>
                <w:rFonts w:ascii="Arial" w:cs="Arial" w:eastAsia="Arial" w:hAnsi="Arial"/>
                <w:sz w:val="20"/>
                <w:szCs w:val="20"/>
                <w:color w:val="auto"/>
              </w:rPr>
              <w:t>Non-Votes</w:t>
            </w:r>
          </w:p>
        </w:tc>
        <w:tc>
          <w:tcPr>
            <w:tcW w:w="0" w:type="dxa"/>
            <w:vAlign w:val="bottom"/>
          </w:tcPr>
          <w:p>
            <w:pPr>
              <w:spacing w:after="0"/>
              <w:rPr>
                <w:sz w:val="1"/>
                <w:szCs w:val="1"/>
                <w:color w:val="auto"/>
              </w:rPr>
            </w:pPr>
          </w:p>
        </w:tc>
      </w:tr>
      <w:tr>
        <w:trPr>
          <w:trHeight w:val="216"/>
        </w:trPr>
        <w:tc>
          <w:tcPr>
            <w:tcW w:w="486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300"/>
              <w:spacing w:after="0"/>
              <w:rPr>
                <w:sz w:val="20"/>
                <w:szCs w:val="20"/>
                <w:color w:val="auto"/>
              </w:rPr>
            </w:pPr>
            <w:r>
              <w:rPr>
                <w:rFonts w:ascii="Arial" w:cs="Arial" w:eastAsia="Arial" w:hAnsi="Arial"/>
                <w:sz w:val="20"/>
                <w:szCs w:val="20"/>
                <w:b w:val="1"/>
                <w:bCs w:val="1"/>
                <w:color w:val="auto"/>
              </w:rPr>
              <w:t>for a term of three years ending at Toro’s 2023</w:t>
            </w: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60" w:type="dxa"/>
            <w:vAlign w:val="bottom"/>
          </w:tcPr>
          <w:p>
            <w:pPr>
              <w:ind w:left="300"/>
              <w:spacing w:after="0"/>
              <w:rPr>
                <w:sz w:val="20"/>
                <w:szCs w:val="20"/>
                <w:color w:val="auto"/>
              </w:rPr>
            </w:pPr>
            <w:r>
              <w:rPr>
                <w:rFonts w:ascii="Arial" w:cs="Arial" w:eastAsia="Arial" w:hAnsi="Arial"/>
                <w:sz w:val="20"/>
                <w:szCs w:val="20"/>
                <w:b w:val="1"/>
                <w:bCs w:val="1"/>
                <w:color w:val="auto"/>
              </w:rPr>
              <w:t>Annual Meeting of Shareholders</w:t>
            </w: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vMerge w:val="restart"/>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860" w:type="dxa"/>
            <w:vAlign w:val="bottom"/>
          </w:tcPr>
          <w:p>
            <w:pPr>
              <w:ind w:left="300"/>
              <w:spacing w:after="0"/>
              <w:rPr>
                <w:sz w:val="20"/>
                <w:szCs w:val="20"/>
                <w:color w:val="auto"/>
              </w:rPr>
            </w:pPr>
            <w:r>
              <w:rPr>
                <w:rFonts w:ascii="Arial" w:cs="Arial" w:eastAsia="Arial" w:hAnsi="Arial"/>
                <w:sz w:val="20"/>
                <w:szCs w:val="20"/>
                <w:color w:val="auto"/>
              </w:rPr>
              <w:t>Jeffrey E. Ettinger</w:t>
            </w: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87,114,090</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3,828,447</w:t>
            </w:r>
          </w:p>
        </w:tc>
        <w:tc>
          <w:tcPr>
            <w:tcW w:w="1240" w:type="dxa"/>
            <w:vAlign w:val="bottom"/>
            <w:vMerge w:val="continue"/>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color w:val="auto"/>
              </w:rPr>
              <w:t>7,486,272</w:t>
            </w:r>
          </w:p>
        </w:tc>
        <w:tc>
          <w:tcPr>
            <w:tcW w:w="0" w:type="dxa"/>
            <w:vAlign w:val="bottom"/>
          </w:tcPr>
          <w:p>
            <w:pPr>
              <w:spacing w:after="0"/>
              <w:rPr>
                <w:sz w:val="1"/>
                <w:szCs w:val="1"/>
                <w:color w:val="auto"/>
              </w:rPr>
            </w:pPr>
          </w:p>
        </w:tc>
      </w:tr>
      <w:tr>
        <w:trPr>
          <w:trHeight w:val="257"/>
        </w:trPr>
        <w:tc>
          <w:tcPr>
            <w:tcW w:w="4860" w:type="dxa"/>
            <w:vAlign w:val="bottom"/>
          </w:tcPr>
          <w:p>
            <w:pPr>
              <w:ind w:left="300"/>
              <w:spacing w:after="0"/>
              <w:rPr>
                <w:sz w:val="20"/>
                <w:szCs w:val="20"/>
                <w:color w:val="auto"/>
              </w:rPr>
            </w:pPr>
            <w:r>
              <w:rPr>
                <w:rFonts w:ascii="Arial" w:cs="Arial" w:eastAsia="Arial" w:hAnsi="Arial"/>
                <w:sz w:val="20"/>
                <w:szCs w:val="20"/>
                <w:color w:val="auto"/>
              </w:rPr>
              <w:t>Katherine J. Harless</w:t>
            </w: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88,623,666</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2,318,871</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7,486,272</w:t>
            </w:r>
          </w:p>
        </w:tc>
        <w:tc>
          <w:tcPr>
            <w:tcW w:w="0" w:type="dxa"/>
            <w:vAlign w:val="bottom"/>
          </w:tcPr>
          <w:p>
            <w:pPr>
              <w:spacing w:after="0"/>
              <w:rPr>
                <w:sz w:val="1"/>
                <w:szCs w:val="1"/>
                <w:color w:val="auto"/>
              </w:rPr>
            </w:pPr>
          </w:p>
        </w:tc>
      </w:tr>
      <w:tr>
        <w:trPr>
          <w:trHeight w:val="277"/>
        </w:trPr>
        <w:tc>
          <w:tcPr>
            <w:tcW w:w="4860" w:type="dxa"/>
            <w:vAlign w:val="bottom"/>
          </w:tcPr>
          <w:p>
            <w:pPr>
              <w:ind w:left="300"/>
              <w:spacing w:after="0"/>
              <w:rPr>
                <w:sz w:val="20"/>
                <w:szCs w:val="20"/>
                <w:color w:val="auto"/>
              </w:rPr>
            </w:pPr>
            <w:r>
              <w:rPr>
                <w:rFonts w:ascii="Arial" w:cs="Arial" w:eastAsia="Arial" w:hAnsi="Arial"/>
                <w:sz w:val="20"/>
                <w:szCs w:val="20"/>
                <w:color w:val="auto"/>
              </w:rPr>
              <w:t>D. Christian Koch</w:t>
            </w: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89,180,699</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1,761,838</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7,486,272</w:t>
            </w:r>
          </w:p>
        </w:tc>
        <w:tc>
          <w:tcPr>
            <w:tcW w:w="0" w:type="dxa"/>
            <w:vAlign w:val="bottom"/>
          </w:tcPr>
          <w:p>
            <w:pPr>
              <w:spacing w:after="0"/>
              <w:rPr>
                <w:sz w:val="1"/>
                <w:szCs w:val="1"/>
                <w:color w:val="auto"/>
              </w:rPr>
            </w:pPr>
          </w:p>
        </w:tc>
      </w:tr>
      <w:tr>
        <w:trPr>
          <w:trHeight w:val="473"/>
        </w:trPr>
        <w:tc>
          <w:tcPr>
            <w:tcW w:w="4860" w:type="dxa"/>
            <w:vAlign w:val="bottom"/>
          </w:tcPr>
          <w:p>
            <w:pPr>
              <w:spacing w:after="0"/>
              <w:rPr>
                <w:sz w:val="20"/>
                <w:szCs w:val="20"/>
                <w:color w:val="auto"/>
              </w:rPr>
            </w:pPr>
            <w:r>
              <w:rPr>
                <w:rFonts w:ascii="Arial" w:cs="Arial" w:eastAsia="Arial" w:hAnsi="Arial"/>
                <w:sz w:val="20"/>
                <w:szCs w:val="20"/>
                <w:b w:val="1"/>
                <w:bCs w:val="1"/>
                <w:color w:val="auto"/>
                <w:w w:val="96"/>
              </w:rPr>
              <w:t>Proposal Two—Ratification of the selection of KPMG</w:t>
            </w: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95,571,374</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2,448,369</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409,066</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300"/>
              <w:spacing w:after="0"/>
              <w:rPr>
                <w:sz w:val="20"/>
                <w:szCs w:val="20"/>
                <w:color w:val="auto"/>
              </w:rPr>
            </w:pPr>
            <w:r>
              <w:rPr>
                <w:rFonts w:ascii="Arial" w:cs="Arial" w:eastAsia="Arial" w:hAnsi="Arial"/>
                <w:sz w:val="20"/>
                <w:szCs w:val="20"/>
                <w:b w:val="1"/>
                <w:bCs w:val="1"/>
                <w:color w:val="auto"/>
              </w:rPr>
              <w:t>LLP as Toro’s independent registered public</w:t>
            </w: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300"/>
              <w:spacing w:after="0"/>
              <w:rPr>
                <w:sz w:val="20"/>
                <w:szCs w:val="20"/>
                <w:color w:val="auto"/>
              </w:rPr>
            </w:pPr>
            <w:r>
              <w:rPr>
                <w:rFonts w:ascii="Arial" w:cs="Arial" w:eastAsia="Arial" w:hAnsi="Arial"/>
                <w:sz w:val="20"/>
                <w:szCs w:val="20"/>
                <w:b w:val="1"/>
                <w:bCs w:val="1"/>
                <w:color w:val="auto"/>
              </w:rPr>
              <w:t>accounting firm for Toro’s fiscal year ending</w:t>
            </w: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60" w:type="dxa"/>
            <w:vAlign w:val="bottom"/>
          </w:tcPr>
          <w:p>
            <w:pPr>
              <w:ind w:left="300"/>
              <w:spacing w:after="0"/>
              <w:rPr>
                <w:sz w:val="20"/>
                <w:szCs w:val="20"/>
                <w:color w:val="auto"/>
              </w:rPr>
            </w:pPr>
            <w:r>
              <w:rPr>
                <w:rFonts w:ascii="Arial" w:cs="Arial" w:eastAsia="Arial" w:hAnsi="Arial"/>
                <w:sz w:val="20"/>
                <w:szCs w:val="20"/>
                <w:b w:val="1"/>
                <w:bCs w:val="1"/>
                <w:color w:val="auto"/>
              </w:rPr>
              <w:t>October 31, 2020</w:t>
            </w: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4860" w:type="dxa"/>
            <w:vAlign w:val="bottom"/>
          </w:tcPr>
          <w:p>
            <w:pPr>
              <w:spacing w:after="0"/>
              <w:rPr>
                <w:sz w:val="20"/>
                <w:szCs w:val="20"/>
                <w:color w:val="auto"/>
              </w:rPr>
            </w:pPr>
            <w:r>
              <w:rPr>
                <w:rFonts w:ascii="Arial" w:cs="Arial" w:eastAsia="Arial" w:hAnsi="Arial"/>
                <w:sz w:val="20"/>
                <w:szCs w:val="20"/>
                <w:b w:val="1"/>
                <w:bCs w:val="1"/>
                <w:color w:val="auto"/>
              </w:rPr>
              <w:t>Proposal Three—Advisory approval of executive</w:t>
            </w:r>
          </w:p>
        </w:tc>
        <w:tc>
          <w:tcPr>
            <w:tcW w:w="1260" w:type="dxa"/>
            <w:vAlign w:val="bottom"/>
          </w:tcPr>
          <w:p>
            <w:pPr>
              <w:jc w:val="right"/>
              <w:ind w:right="81"/>
              <w:spacing w:after="0"/>
              <w:rPr>
                <w:sz w:val="20"/>
                <w:szCs w:val="20"/>
                <w:color w:val="auto"/>
              </w:rPr>
            </w:pPr>
            <w:r>
              <w:rPr>
                <w:rFonts w:ascii="Arial" w:cs="Arial" w:eastAsia="Arial" w:hAnsi="Arial"/>
                <w:sz w:val="20"/>
                <w:szCs w:val="20"/>
                <w:color w:val="auto"/>
              </w:rPr>
              <w:t>85,294,753</w:t>
            </w:r>
          </w:p>
        </w:tc>
        <w:tc>
          <w:tcPr>
            <w:tcW w:w="1200" w:type="dxa"/>
            <w:vAlign w:val="bottom"/>
          </w:tcPr>
          <w:p>
            <w:pPr>
              <w:jc w:val="right"/>
              <w:ind w:right="141"/>
              <w:spacing w:after="0"/>
              <w:rPr>
                <w:sz w:val="20"/>
                <w:szCs w:val="20"/>
                <w:color w:val="auto"/>
              </w:rPr>
            </w:pPr>
            <w:r>
              <w:rPr>
                <w:rFonts w:ascii="Arial" w:cs="Arial" w:eastAsia="Arial" w:hAnsi="Arial"/>
                <w:sz w:val="20"/>
                <w:szCs w:val="20"/>
                <w:color w:val="auto"/>
              </w:rPr>
              <w:t>3,364,807</w:t>
            </w:r>
          </w:p>
        </w:tc>
        <w:tc>
          <w:tcPr>
            <w:tcW w:w="1240" w:type="dxa"/>
            <w:vAlign w:val="bottom"/>
          </w:tcPr>
          <w:p>
            <w:pPr>
              <w:jc w:val="right"/>
              <w:ind w:right="101"/>
              <w:spacing w:after="0"/>
              <w:rPr>
                <w:sz w:val="20"/>
                <w:szCs w:val="20"/>
                <w:color w:val="auto"/>
              </w:rPr>
            </w:pPr>
            <w:r>
              <w:rPr>
                <w:rFonts w:ascii="Arial" w:cs="Arial" w:eastAsia="Arial" w:hAnsi="Arial"/>
                <w:sz w:val="20"/>
                <w:szCs w:val="20"/>
                <w:color w:val="auto"/>
              </w:rPr>
              <w:t>2,282,977</w:t>
            </w:r>
          </w:p>
        </w:tc>
        <w:tc>
          <w:tcPr>
            <w:tcW w:w="1060" w:type="dxa"/>
            <w:vAlign w:val="bottom"/>
          </w:tcPr>
          <w:p>
            <w:pPr>
              <w:jc w:val="right"/>
              <w:spacing w:after="0"/>
              <w:rPr>
                <w:sz w:val="20"/>
                <w:szCs w:val="20"/>
                <w:color w:val="auto"/>
              </w:rPr>
            </w:pPr>
            <w:r>
              <w:rPr>
                <w:rFonts w:ascii="Arial" w:cs="Arial" w:eastAsia="Arial" w:hAnsi="Arial"/>
                <w:sz w:val="20"/>
                <w:szCs w:val="20"/>
                <w:color w:val="auto"/>
              </w:rPr>
              <w:t>7,486,272</w:t>
            </w:r>
          </w:p>
        </w:tc>
        <w:tc>
          <w:tcPr>
            <w:tcW w:w="0" w:type="dxa"/>
            <w:vAlign w:val="bottom"/>
          </w:tcPr>
          <w:p>
            <w:pPr>
              <w:spacing w:after="0"/>
              <w:rPr>
                <w:sz w:val="1"/>
                <w:szCs w:val="1"/>
                <w:color w:val="auto"/>
              </w:rPr>
            </w:pPr>
          </w:p>
        </w:tc>
      </w:tr>
      <w:tr>
        <w:trPr>
          <w:trHeight w:val="256"/>
        </w:trPr>
        <w:tc>
          <w:tcPr>
            <w:tcW w:w="4860" w:type="dxa"/>
            <w:vAlign w:val="bottom"/>
          </w:tcPr>
          <w:p>
            <w:pPr>
              <w:ind w:left="300"/>
              <w:spacing w:after="0"/>
              <w:rPr>
                <w:sz w:val="20"/>
                <w:szCs w:val="20"/>
                <w:color w:val="auto"/>
              </w:rPr>
            </w:pPr>
            <w:r>
              <w:rPr>
                <w:rFonts w:ascii="Arial" w:cs="Arial" w:eastAsia="Arial" w:hAnsi="Arial"/>
                <w:sz w:val="20"/>
                <w:szCs w:val="20"/>
                <w:b w:val="1"/>
                <w:bCs w:val="1"/>
                <w:color w:val="auto"/>
              </w:rPr>
              <w:t>compensation</w:t>
            </w:r>
          </w:p>
        </w:tc>
        <w:tc>
          <w:tcPr>
            <w:tcW w:w="1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firstLine="749"/>
        <w:spacing w:after="0" w:line="260" w:lineRule="auto"/>
        <w:rPr>
          <w:sz w:val="20"/>
          <w:szCs w:val="20"/>
          <w:color w:val="auto"/>
        </w:rPr>
      </w:pPr>
      <w:r>
        <w:rPr>
          <w:rFonts w:ascii="Arial" w:cs="Arial" w:eastAsia="Arial" w:hAnsi="Arial"/>
          <w:sz w:val="20"/>
          <w:szCs w:val="20"/>
          <w:color w:val="auto"/>
        </w:rPr>
        <w:t>Each of the directors in Proposal One was elected by Toro’s shareholders by the required vote and each of Proposals Two and Three was approved by Toro’s shareholders by the required vote.</w:t>
      </w:r>
    </w:p>
    <w:p>
      <w:pPr>
        <w:spacing w:after="0" w:line="190" w:lineRule="exact"/>
        <w:rPr>
          <w:sz w:val="20"/>
          <w:szCs w:val="20"/>
          <w:color w:val="auto"/>
        </w:rPr>
      </w:pPr>
    </w:p>
    <w:p>
      <w:pPr>
        <w:ind w:right="100" w:firstLine="749"/>
        <w:spacing w:after="0" w:line="246" w:lineRule="auto"/>
        <w:rPr>
          <w:sz w:val="20"/>
          <w:szCs w:val="20"/>
          <w:color w:val="auto"/>
        </w:rPr>
      </w:pPr>
      <w:r>
        <w:rPr>
          <w:rFonts w:ascii="Arial" w:cs="Arial" w:eastAsia="Arial" w:hAnsi="Arial"/>
          <w:sz w:val="20"/>
          <w:szCs w:val="20"/>
          <w:color w:val="auto"/>
        </w:rPr>
        <w:t>Regarding Toro’s other directors (i) each of Janet K. Cooper, Gary L. Ellis, Gregg W. Steinhafel, and Dr. Michael G. Vale continue to serve as a director for a term ending at Toro’s 2021 Annual Meeting of Shareholders, and (ii) each of Jeffrey L. Harmening, Joyce A. Mullen, Richard M. Olson and James C. O’Rourke continue to serve as a director for a term ending at Toro’s 2022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7640" w:type="dxa"/>
            <w:vAlign w:val="bottom"/>
            <w:gridSpan w:val="2"/>
          </w:tcPr>
          <w:p>
            <w:pPr>
              <w:ind w:left="2100"/>
              <w:spacing w:after="0"/>
              <w:rPr>
                <w:sz w:val="20"/>
                <w:szCs w:val="20"/>
                <w:color w:val="auto"/>
              </w:rPr>
            </w:pPr>
            <w:r>
              <w:rPr>
                <w:rFonts w:ascii="Arial" w:cs="Arial" w:eastAsia="Arial" w:hAnsi="Arial"/>
                <w:sz w:val="18"/>
                <w:szCs w:val="18"/>
                <w:b w:val="1"/>
                <w:bCs w:val="1"/>
                <w:color w:val="auto"/>
              </w:rPr>
              <w:t>THE TORO COMPANY</w:t>
            </w:r>
          </w:p>
        </w:tc>
      </w:tr>
      <w:tr>
        <w:trPr>
          <w:trHeight w:val="234"/>
        </w:trPr>
        <w:tc>
          <w:tcPr>
            <w:tcW w:w="3600" w:type="dxa"/>
            <w:vAlign w:val="bottom"/>
          </w:tcPr>
          <w:p>
            <w:pPr>
              <w:spacing w:after="0"/>
              <w:rPr>
                <w:sz w:val="20"/>
                <w:szCs w:val="20"/>
                <w:color w:val="auto"/>
              </w:rPr>
            </w:pPr>
          </w:p>
        </w:tc>
        <w:tc>
          <w:tcPr>
            <w:tcW w:w="7640" w:type="dxa"/>
            <w:vAlign w:val="bottom"/>
            <w:gridSpan w:val="2"/>
          </w:tcPr>
          <w:p>
            <w:pPr>
              <w:ind w:left="2100"/>
              <w:spacing w:after="0"/>
              <w:rPr>
                <w:sz w:val="20"/>
                <w:szCs w:val="20"/>
                <w:color w:val="auto"/>
              </w:rPr>
            </w:pPr>
            <w:r>
              <w:rPr>
                <w:rFonts w:ascii="Arial" w:cs="Arial" w:eastAsia="Arial" w:hAnsi="Arial"/>
                <w:sz w:val="18"/>
                <w:szCs w:val="18"/>
                <w:b w:val="1"/>
                <w:bCs w:val="1"/>
                <w:color w:val="auto"/>
              </w:rPr>
              <w:t>(Registrant)</w:t>
            </w:r>
          </w:p>
        </w:tc>
      </w:tr>
      <w:tr>
        <w:trPr>
          <w:trHeight w:val="688"/>
        </w:trPr>
        <w:tc>
          <w:tcPr>
            <w:tcW w:w="3600" w:type="dxa"/>
            <w:vAlign w:val="bottom"/>
          </w:tcPr>
          <w:p>
            <w:pPr>
              <w:spacing w:after="0"/>
              <w:rPr>
                <w:sz w:val="20"/>
                <w:szCs w:val="20"/>
                <w:color w:val="auto"/>
              </w:rPr>
            </w:pPr>
            <w:r>
              <w:rPr>
                <w:rFonts w:ascii="Arial" w:cs="Arial" w:eastAsia="Arial" w:hAnsi="Arial"/>
                <w:sz w:val="18"/>
                <w:szCs w:val="18"/>
                <w:color w:val="auto"/>
              </w:rPr>
              <w:t>Date: March 18, 2020</w:t>
            </w:r>
          </w:p>
        </w:tc>
        <w:tc>
          <w:tcPr>
            <w:tcW w:w="7640" w:type="dxa"/>
            <w:vAlign w:val="bottom"/>
            <w:gridSpan w:val="2"/>
          </w:tcPr>
          <w:p>
            <w:pPr>
              <w:ind w:left="2100"/>
              <w:spacing w:after="0"/>
              <w:rPr>
                <w:sz w:val="20"/>
                <w:szCs w:val="20"/>
                <w:color w:val="auto"/>
              </w:rPr>
            </w:pPr>
            <w:r>
              <w:rPr>
                <w:rFonts w:ascii="Arial" w:cs="Arial" w:eastAsia="Arial" w:hAnsi="Arial"/>
                <w:sz w:val="18"/>
                <w:szCs w:val="18"/>
                <w:color w:val="auto"/>
              </w:rPr>
              <w:t>By:  /s/ Amy E. Dahl</w:t>
            </w:r>
          </w:p>
        </w:tc>
      </w:tr>
      <w:tr>
        <w:trPr>
          <w:trHeight w:val="222"/>
        </w:trPr>
        <w:tc>
          <w:tcPr>
            <w:tcW w:w="36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Amy E. Dahl</w:t>
            </w:r>
          </w:p>
        </w:tc>
      </w:tr>
      <w:tr>
        <w:trPr>
          <w:trHeight w:val="216"/>
        </w:trPr>
        <w:tc>
          <w:tcPr>
            <w:tcW w:w="36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9"/>
              </w:rPr>
              <w:t>Vice President, Human Resources, Distributor Development and</w:t>
            </w:r>
          </w:p>
        </w:tc>
      </w:tr>
      <w:tr>
        <w:trPr>
          <w:trHeight w:val="230"/>
        </w:trPr>
        <w:tc>
          <w:tcPr>
            <w:tcW w:w="36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General Counsel</w:t>
            </w:r>
          </w:p>
        </w:tc>
      </w:tr>
      <w:tr>
        <w:trPr>
          <w:trHeight w:val="648"/>
        </w:trPr>
        <w:tc>
          <w:tcPr>
            <w:tcW w:w="3600" w:type="dxa"/>
            <w:vAlign w:val="bottom"/>
          </w:tcPr>
          <w:p>
            <w:pPr>
              <w:spacing w:after="0"/>
              <w:rPr>
                <w:sz w:val="24"/>
                <w:szCs w:val="24"/>
                <w:color w:val="auto"/>
              </w:rPr>
            </w:pPr>
          </w:p>
        </w:tc>
        <w:tc>
          <w:tcPr>
            <w:tcW w:w="2500" w:type="dxa"/>
            <w:vAlign w:val="bottom"/>
          </w:tcPr>
          <w:p>
            <w:pPr>
              <w:jc w:val="right"/>
              <w:ind w:right="350"/>
              <w:spacing w:after="0"/>
              <w:rPr>
                <w:sz w:val="20"/>
                <w:szCs w:val="20"/>
                <w:color w:val="auto"/>
              </w:rPr>
            </w:pPr>
            <w:r>
              <w:rPr>
                <w:rFonts w:ascii="Arial" w:cs="Arial" w:eastAsia="Arial" w:hAnsi="Arial"/>
                <w:sz w:val="18"/>
                <w:szCs w:val="18"/>
                <w:color w:val="auto"/>
              </w:rPr>
              <w:t>2</w:t>
            </w:r>
          </w:p>
        </w:tc>
        <w:tc>
          <w:tcPr>
            <w:tcW w:w="51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2020-03-18T15:13:09Z</dcterms:created>
  <dcterms:modified xsi:type="dcterms:W3CDTF">2020-03-18T15:13:09Z</dcterms:modified>
</cp:coreProperties>
</file>