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20, 2007</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February 20, 2007, The Toro Company announced its earnings for the three months ended February 2, 2007.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855345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February 19,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2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86"/>
              </w:rPr>
              <w:t>Other - Registrant's press release dated February 20, 2007 (furnished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The Toro Company</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8111 Lyndale Ave South</w:t>
      </w:r>
    </w:p>
    <w:p>
      <w:pPr>
        <w:spacing w:after="0"/>
        <w:rPr>
          <w:sz w:val="20"/>
          <w:szCs w:val="20"/>
          <w:color w:val="auto"/>
        </w:rPr>
      </w:pPr>
      <w:r>
        <w:rPr>
          <w:rFonts w:ascii="Arial" w:cs="Arial" w:eastAsia="Arial" w:hAnsi="Arial"/>
          <w:sz w:val="22"/>
          <w:szCs w:val="22"/>
          <w:b w:val="1"/>
          <w:bCs w:val="1"/>
          <w:color w:val="auto"/>
        </w:rPr>
        <w:t>Bloomington, MN 55420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 ,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887-8865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Connie Kotke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Corporate Communications</w:t>
      </w:r>
    </w:p>
    <w:p>
      <w:pPr>
        <w:spacing w:after="0" w:line="9" w:lineRule="exact"/>
        <w:rPr>
          <w:sz w:val="20"/>
          <w:szCs w:val="20"/>
          <w:color w:val="auto"/>
        </w:rPr>
      </w:pPr>
    </w:p>
    <w:p>
      <w:pPr>
        <w:ind w:right="92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887-8984,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Immediate Release</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TORO REPORTS RECORD FIRST QUARTER RESULTS DRIVEN BY STRONG INTERNATIONAL PERFORMANCE</w:t>
      </w:r>
    </w:p>
    <w:p>
      <w:pPr>
        <w:spacing w:after="0" w:line="228"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BLOOMINGTON, Minn. (Feb. 20, 2007) – The Toro Company (NYSE: TTC) today reported record net sales and net earnings for its fiscal 2007 first quarter ended February 2, 2007.</w:t>
      </w:r>
    </w:p>
    <w:p>
      <w:pPr>
        <w:spacing w:after="0" w:line="177"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color w:val="auto"/>
        </w:rPr>
        <w:t>Net earnings for the quarter totaled $18.5 million, or $0.44 per diluted share, on net sales of $379.1 million. In the comparable fiscal 2006 period, Toro reported net earnings of $14.3 million, or $0.32 per diluted share, on net sales of $369.6 million.</w:t>
      </w:r>
    </w:p>
    <w:p>
      <w:pPr>
        <w:spacing w:after="0" w:line="13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Michael J. Hoffman, The Toro Company’s chairman and chief executive officer, said the company’s first quarter performance benefited from improved gross margins and strong international sales growth—particularly in the Professional segment—which was somewhat offset by lower snowthrower sales worldwide. “Improvements in gross margin resulted primarily from a greater proportion of Professional product sales and our ongoing profitability improvement initiatives,” said Hoffman. “Additionally, consistent with our strategy to build Toro’s global presence, our international business posted another quarter of strong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Segment data are provided in the table following the “Condensed Consolidated Statements of Earnings.”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22" w:lineRule="exact"/>
        <w:rPr>
          <w:sz w:val="20"/>
          <w:szCs w:val="20"/>
          <w:color w:val="auto"/>
        </w:rPr>
      </w:pPr>
    </w:p>
    <w:p>
      <w:pPr>
        <w:ind w:left="440" w:right="100" w:hanging="177"/>
        <w:spacing w:after="0" w:line="250"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Professional segment net sales for the fiscal 2007 first quarter increased 7.3 percent to $272.1 million. Strong sales growth in most professional segment categories worldwide comprised the majority of the increase and more than offset declines in landscape contracting equipment.</w:t>
      </w:r>
    </w:p>
    <w:p>
      <w:pPr>
        <w:spacing w:after="0" w:line="186" w:lineRule="exact"/>
        <w:rPr>
          <w:rFonts w:ascii="Arial" w:cs="Arial" w:eastAsia="Arial" w:hAnsi="Arial"/>
          <w:sz w:val="20"/>
          <w:szCs w:val="20"/>
          <w:color w:val="auto"/>
        </w:rPr>
      </w:pPr>
    </w:p>
    <w:p>
      <w:pPr>
        <w:ind w:left="440" w:hanging="177"/>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Professional segment earnings for the fiscal 2007 first quarter increased 16.1 percent to $48.4 million.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22" w:lineRule="exact"/>
        <w:rPr>
          <w:sz w:val="20"/>
          <w:szCs w:val="20"/>
          <w:color w:val="auto"/>
        </w:rPr>
      </w:pPr>
    </w:p>
    <w:p>
      <w:pPr>
        <w:ind w:left="440" w:right="160" w:hanging="177"/>
        <w:spacing w:after="0" w:line="260"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Residential segment net sales for the fiscal 2007 first quarter declined 5.8 percent to $101.9 million. Strong first quarter growth in riding and walk power mower sales were offset by declines in snowthrowers.</w:t>
      </w:r>
    </w:p>
    <w:p>
      <w:pPr>
        <w:spacing w:after="0" w:line="176" w:lineRule="exact"/>
        <w:rPr>
          <w:rFonts w:ascii="Arial" w:cs="Arial" w:eastAsia="Arial" w:hAnsi="Arial"/>
          <w:sz w:val="20"/>
          <w:szCs w:val="20"/>
          <w:color w:val="auto"/>
        </w:rPr>
      </w:pPr>
    </w:p>
    <w:p>
      <w:pPr>
        <w:ind w:left="440" w:right="480" w:hanging="177"/>
        <w:spacing w:after="0" w:line="260" w:lineRule="auto"/>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Residential segment earnings for the fiscal 2007 first quarter were $4.4 million, down 15 percent compared with the fiscal 2006 first quarter.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REVIEW OF OPERATIONS</w:t>
      </w:r>
    </w:p>
    <w:p>
      <w:pPr>
        <w:spacing w:after="0" w:line="208"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Gross margin for the fiscal 2007 first quarter was 36.9 percent compared with 35.7 percent in the comparable fiscal 2006 period. The increase resulted primarily from a greater percentage of Professional products in the overall revenue mix and cost reduction efforts.</w:t>
      </w:r>
    </w:p>
    <w:p>
      <w:pPr>
        <w:spacing w:after="0" w:line="126"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Selling, general and administrative (SG&amp;A) expenses for the fiscal 2007 first quarter were 29.6 percent of net sales compared with 29 percent of net sales in the fiscal 2006 first quarter. The increase in SG&amp;A expenses is primarily attributable to retirement plan contributions and warranty expenses.</w:t>
      </w:r>
    </w:p>
    <w:p>
      <w:pPr>
        <w:spacing w:after="0" w:line="173"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effective tax rate for the first quarter of fiscal 2007 was 28.2 percent compared to 33 percent in the fiscal 2006 first quarter. The decline was primarily due to the reinstatement of the federal research and development tax credit.</w:t>
      </w:r>
    </w:p>
    <w:p>
      <w:pPr>
        <w:spacing w:after="0" w:line="163"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Accounts receivable at the end of the fiscal 2007 first quarter totaled $357.2 million, up $44 million, or 14.1 percent. The increase was primarily the result of shipment timing and terms mix in the quarter. Net inventories at the end of the fiscal 2007 first quarter totaled $307.4 million, up $11.7 million, or 4 percent, compared with the end of the fiscal 2006 first quarter.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BUSINESS OUTLOOK</w:t>
      </w:r>
    </w:p>
    <w:p>
      <w:pPr>
        <w:spacing w:after="0" w:line="208"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“Our GrowLean initiative is gaining momentum,” said Hoffman. “We believe we are well positioned for another solid year, armed with an industry-leading lineup of strong brands and new products. GrowLean will also keep us focused on continuing to improve profitability while delivering products and solutions our customers need faster than ever before.”</w:t>
      </w:r>
    </w:p>
    <w:p>
      <w:pPr>
        <w:spacing w:after="0" w:line="173"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company reaffirmed it expects to report a 10 to 12 percent increase in fiscal 2007 net earnings per diluted share on revised revenue growth of 5 to 6 percent.</w:t>
      </w:r>
    </w:p>
    <w:p>
      <w:pPr>
        <w:sectPr>
          <w:pgSz w:w="11900" w:h="16838" w:orient="portrait"/>
          <w:cols w:equalWidth="0" w:num="1">
            <w:col w:w="11400"/>
          </w:cols>
          <w:pgMar w:left="240" w:top="112" w:right="259" w:bottom="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For its fiscal second quarter, Toro currently expects to report net earnings per diluted share of $1.65 to $1.69.</w:t>
      </w:r>
    </w:p>
    <w:p>
      <w:pPr>
        <w:spacing w:after="0" w:line="20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Toro Company is a leading worldwide provider of outdoor maintenance and beautification products for home, recreation and commercial landscapes.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The Toro Company will conduct a conference call and webcast for investors beginning at 10:00 a.m. Central Time (CST) on February 20, 2007</w:t>
      </w:r>
      <w:r>
        <w:rPr>
          <w:rFonts w:ascii="Arial" w:cs="Arial" w:eastAsia="Arial" w:hAnsi="Arial"/>
          <w:sz w:val="20"/>
          <w:szCs w:val="20"/>
          <w:color w:val="auto"/>
        </w:rPr>
        <w:t>.</w:t>
      </w:r>
      <w:r>
        <w:rPr>
          <w:rFonts w:ascii="Arial" w:cs="Arial" w:eastAsia="Arial" w:hAnsi="Arial"/>
          <w:sz w:val="20"/>
          <w:szCs w:val="20"/>
          <w:i w:val="1"/>
          <w:iCs w:val="1"/>
          <w:color w:val="auto"/>
        </w:rPr>
        <w:t xml:space="preserve"> The webcast will be available at </w:t>
      </w:r>
      <w:r>
        <w:rPr>
          <w:rFonts w:ascii="Arial" w:cs="Arial" w:eastAsia="Arial" w:hAnsi="Arial"/>
          <w:sz w:val="20"/>
          <w:szCs w:val="20"/>
          <w:i w:val="1"/>
          <w:iCs w:val="1"/>
          <w:u w:val="single" w:color="auto"/>
          <w:color w:val="auto"/>
        </w:rPr>
        <w:t>www.streetevents.com</w:t>
      </w:r>
      <w:r>
        <w:rPr>
          <w:rFonts w:ascii="Arial" w:cs="Arial" w:eastAsia="Arial" w:hAnsi="Arial"/>
          <w:sz w:val="20"/>
          <w:szCs w:val="20"/>
          <w:i w:val="1"/>
          <w:iCs w:val="1"/>
          <w:color w:val="auto"/>
        </w:rPr>
        <w:t xml:space="preserve"> or at </w:t>
      </w:r>
      <w:r>
        <w:rPr>
          <w:rFonts w:ascii="Arial" w:cs="Arial" w:eastAsia="Arial" w:hAnsi="Arial"/>
          <w:sz w:val="20"/>
          <w:szCs w:val="20"/>
          <w:i w:val="1"/>
          <w:iCs w:val="1"/>
          <w:u w:val="single" w:color="auto"/>
          <w:color w:val="auto"/>
        </w:rPr>
        <w:t>www.thetorocompany.com/invest</w:t>
      </w:r>
      <w:r>
        <w:rPr>
          <w:rFonts w:ascii="Arial" w:cs="Arial" w:eastAsia="Arial" w:hAnsi="Arial"/>
          <w:sz w:val="20"/>
          <w:szCs w:val="20"/>
          <w:i w:val="1"/>
          <w:iCs w:val="1"/>
          <w:color w:val="auto"/>
        </w:rPr>
        <w: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and other commodities; rising costs of transportation; the impact of abnormal weather patterns and natural disasters; level of growth in the golf market; reduced government spending for grounds maintenance equipment due to reduced tax revenue and tighter government budgets; dependence on The Home Depot as a customer for the residential segment; elimination of shelf space for our products at retailers; unforeseen inventory adjustments or changes in purchasing patterns by our customers; market acceptance of existing and new products; increased competition; our ability to achieve the goals for the new three-year growth and profit improvement initiative which is intended to improve our revenue growth and after-tax return on sales; the company’s ability to achieve net sales and net earnings per diluted share growth in fiscal 2007; our increased dependence on international sales and the risks attendant to international operations; interest rates and currency movements including, in particular, our exposure to foreign currency risk;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ability of management to manage around unplanned events;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43"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(Financial tables follow)</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THE TORO COMPANY AND SUBSIDIARIES</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Condensed Consolidated Statements of Earnings (Unaudited)</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22"/>
          <w:szCs w:val="22"/>
          <w:b w:val="1"/>
          <w:bCs w:val="1"/>
          <w:color w:val="auto"/>
        </w:rPr>
        <w:t>(Dollars and shares in thousands, except per-share data)</w:t>
      </w:r>
    </w:p>
    <w:p>
      <w:pPr>
        <w:spacing w:after="0" w:line="200" w:lineRule="exact"/>
        <w:rPr>
          <w:sz w:val="20"/>
          <w:szCs w:val="20"/>
          <w:color w:val="auto"/>
        </w:rPr>
      </w:pP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1460" w:type="dxa"/>
            <w:vAlign w:val="bottom"/>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rPr>
              <w:t>February 2,</w:t>
            </w:r>
          </w:p>
        </w:tc>
        <w:tc>
          <w:tcPr>
            <w:tcW w:w="480" w:type="dxa"/>
            <w:vAlign w:val="bottom"/>
          </w:tcPr>
          <w:p>
            <w:pPr>
              <w:spacing w:after="0"/>
              <w:rPr>
                <w:sz w:val="16"/>
                <w:szCs w:val="16"/>
                <w:color w:val="auto"/>
              </w:rPr>
            </w:pPr>
          </w:p>
        </w:tc>
        <w:tc>
          <w:tcPr>
            <w:tcW w:w="1460" w:type="dxa"/>
            <w:vAlign w:val="bottom"/>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rPr>
              <w:t>February 3,</w:t>
            </w: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4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9"/>
              </w:rPr>
              <w:t>379,088</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9"/>
              </w:rPr>
              <w:t>369,640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140,065</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131,874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Gross profit percent</w:t>
            </w: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112,281</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107,205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Arial" w:cs="Arial" w:eastAsia="Arial" w:hAnsi="Arial"/>
                <w:sz w:val="18"/>
                <w:szCs w:val="18"/>
                <w:color w:val="auto"/>
              </w:rPr>
              <w:t>Earnings from operations</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27,784</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24,669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(4,487)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25,688</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w:t>
            </w: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4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4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 Basic</w:t>
            </w: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41,139</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43,608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Dilutive</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42,253</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44,959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Segment Data (Unaudited)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thousands)</w:t>
      </w:r>
    </w:p>
    <w:p>
      <w:pPr>
        <w:spacing w:after="0" w:line="37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Three Months Ended</w:t>
            </w:r>
          </w:p>
        </w:tc>
      </w:tr>
      <w:tr>
        <w:trPr>
          <w:trHeight w:val="191"/>
        </w:trPr>
        <w:tc>
          <w:tcPr>
            <w:tcW w:w="4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gridSpan w:val="3"/>
          </w:tcPr>
          <w:p>
            <w:pPr>
              <w:ind w:left="940"/>
              <w:spacing w:after="0" w:line="191" w:lineRule="exact"/>
              <w:rPr>
                <w:sz w:val="20"/>
                <w:szCs w:val="20"/>
                <w:color w:val="auto"/>
              </w:rPr>
            </w:pPr>
            <w:r>
              <w:rPr>
                <w:rFonts w:ascii="Arial" w:cs="Arial" w:eastAsia="Arial" w:hAnsi="Arial"/>
                <w:sz w:val="18"/>
                <w:szCs w:val="18"/>
                <w:b w:val="1"/>
                <w:bCs w:val="1"/>
                <w:color w:val="auto"/>
              </w:rPr>
              <w:t>February 2,</w:t>
            </w: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80" w:type="dxa"/>
            <w:vAlign w:val="bottom"/>
            <w:gridSpan w:val="3"/>
          </w:tcPr>
          <w:p>
            <w:pPr>
              <w:ind w:left="920"/>
              <w:spacing w:after="0" w:line="191" w:lineRule="exact"/>
              <w:rPr>
                <w:sz w:val="20"/>
                <w:szCs w:val="20"/>
                <w:color w:val="auto"/>
              </w:rPr>
            </w:pPr>
            <w:r>
              <w:rPr>
                <w:rFonts w:ascii="Arial" w:cs="Arial" w:eastAsia="Arial" w:hAnsi="Arial"/>
                <w:sz w:val="18"/>
                <w:szCs w:val="18"/>
                <w:b w:val="1"/>
                <w:bCs w:val="1"/>
                <w:color w:val="auto"/>
              </w:rPr>
              <w:t>February 3,</w:t>
            </w:r>
          </w:p>
        </w:tc>
      </w:t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Segment Net Sales</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29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1100" w:type="dxa"/>
            <w:vAlign w:val="bottom"/>
          </w:tcPr>
          <w:p>
            <w:pPr>
              <w:spacing w:after="0"/>
              <w:rPr>
                <w:sz w:val="20"/>
                <w:szCs w:val="20"/>
                <w:color w:val="auto"/>
              </w:rPr>
            </w:pPr>
          </w:p>
        </w:tc>
      </w:tr>
      <w:tr>
        <w:trPr>
          <w:trHeight w:val="195"/>
        </w:trPr>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480" w:type="dxa"/>
            <w:vAlign w:val="bottom"/>
          </w:tcPr>
          <w:p>
            <w:pPr>
              <w:spacing w:after="0"/>
              <w:rPr>
                <w:sz w:val="16"/>
                <w:szCs w:val="16"/>
                <w:color w:val="auto"/>
              </w:rPr>
            </w:pPr>
          </w:p>
        </w:tc>
        <w:tc>
          <w:tcPr>
            <w:tcW w:w="17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$272,142</w:t>
            </w: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$253,605</w:t>
            </w:r>
          </w:p>
        </w:tc>
        <w:tc>
          <w:tcPr>
            <w:tcW w:w="1100" w:type="dxa"/>
            <w:vAlign w:val="bottom"/>
            <w:tcBorders>
              <w:top w:val="single" w:sz="8" w:color="auto"/>
            </w:tcBorders>
          </w:tcPr>
          <w:p>
            <w:pPr>
              <w:spacing w:after="0"/>
              <w:rPr>
                <w:sz w:val="16"/>
                <w:szCs w:val="16"/>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101,858</w:t>
            </w:r>
          </w:p>
        </w:tc>
        <w:tc>
          <w:tcPr>
            <w:tcW w:w="36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color w:val="auto"/>
              </w:rPr>
              <w:t>108,185</w:t>
            </w:r>
          </w:p>
        </w:tc>
        <w:tc>
          <w:tcPr>
            <w:tcW w:w="1100" w:type="dxa"/>
            <w:vAlign w:val="bottom"/>
          </w:tcPr>
          <w:p>
            <w:pPr>
              <w:spacing w:after="0"/>
              <w:rPr>
                <w:sz w:val="18"/>
                <w:szCs w:val="18"/>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360" w:type="dxa"/>
            <w:vAlign w:val="bottom"/>
          </w:tcPr>
          <w:p>
            <w:pPr>
              <w:spacing w:after="0"/>
              <w:rPr>
                <w:sz w:val="20"/>
                <w:szCs w:val="20"/>
                <w:color w:val="auto"/>
              </w:rPr>
            </w:pPr>
          </w:p>
        </w:tc>
        <w:tc>
          <w:tcPr>
            <w:tcW w:w="2300" w:type="dxa"/>
            <w:vAlign w:val="bottom"/>
            <w:gridSpan w:val="3"/>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w:t>
            </w:r>
          </w:p>
        </w:tc>
        <w:tc>
          <w:tcPr>
            <w:tcW w:w="1100" w:type="dxa"/>
            <w:vAlign w:val="bottom"/>
          </w:tcPr>
          <w:p>
            <w:pPr>
              <w:spacing w:after="0"/>
              <w:rPr>
                <w:sz w:val="20"/>
                <w:szCs w:val="20"/>
                <w:color w:val="auto"/>
              </w:rPr>
            </w:pPr>
          </w:p>
        </w:tc>
      </w:tr>
    </w:tbl>
    <w:p>
      <w:pPr>
        <w:sectPr>
          <w:pgSz w:w="11900" w:h="16838" w:orient="portrait"/>
          <w:cols w:equalWidth="0" w:num="1">
            <w:col w:w="11420"/>
          </w:cols>
          <w:pgMar w:left="240" w:top="121" w:right="239" w:bottom="0" w:gutter="0" w:footer="0" w:header="0"/>
        </w:sectPr>
      </w:pPr>
    </w:p>
    <w:bookmarkStart w:id="6" w:name="page7"/>
    <w:bookmarkEnd w:id="6"/>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auto"/>
              </w:rPr>
              <w:t>$379,088</w:t>
            </w:r>
          </w:p>
        </w:tc>
        <w:tc>
          <w:tcPr>
            <w:tcW w:w="280" w:type="dxa"/>
            <w:vAlign w:val="bottom"/>
          </w:tcPr>
          <w:p>
            <w:pPr>
              <w:spacing w:after="0"/>
              <w:rPr>
                <w:sz w:val="20"/>
                <w:szCs w:val="20"/>
                <w:color w:val="auto"/>
              </w:rPr>
            </w:pPr>
          </w:p>
        </w:tc>
        <w:tc>
          <w:tcPr>
            <w:tcW w:w="2980" w:type="dxa"/>
            <w:vAlign w:val="bottom"/>
            <w:gridSpan w:val="6"/>
          </w:tcPr>
          <w:p>
            <w:pPr>
              <w:jc w:val="right"/>
              <w:spacing w:after="0"/>
              <w:rPr>
                <w:sz w:val="20"/>
                <w:szCs w:val="20"/>
                <w:color w:val="auto"/>
              </w:rPr>
            </w:pPr>
            <w:r>
              <w:rPr>
                <w:rFonts w:ascii="Arial" w:cs="Arial" w:eastAsia="Arial" w:hAnsi="Arial"/>
                <w:sz w:val="18"/>
                <w:szCs w:val="18"/>
                <w:color w:val="auto"/>
              </w:rPr>
              <w:t>$369,640</w:t>
            </w:r>
          </w:p>
        </w:tc>
        <w:tc>
          <w:tcPr>
            <w:tcW w:w="110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2280" w:type="dxa"/>
            <w:vAlign w:val="bottom"/>
            <w:gridSpan w:val="5"/>
          </w:tcPr>
          <w:p>
            <w:pPr>
              <w:jc w:val="right"/>
              <w:ind w:right="60"/>
              <w:spacing w:after="0"/>
              <w:rPr>
                <w:sz w:val="20"/>
                <w:szCs w:val="20"/>
                <w:color w:val="auto"/>
              </w:rPr>
            </w:pPr>
            <w:r>
              <w:rPr>
                <w:rFonts w:ascii="Arial" w:cs="Arial" w:eastAsia="Arial" w:hAnsi="Arial"/>
                <w:sz w:val="18"/>
                <w:szCs w:val="18"/>
                <w:color w:val="auto"/>
              </w:rPr>
              <w:t>$132,613</w:t>
            </w:r>
          </w:p>
        </w:tc>
        <w:tc>
          <w:tcPr>
            <w:tcW w:w="280" w:type="dxa"/>
            <w:vAlign w:val="bottom"/>
          </w:tcPr>
          <w:p>
            <w:pPr>
              <w:spacing w:after="0"/>
              <w:rPr>
                <w:sz w:val="24"/>
                <w:szCs w:val="24"/>
                <w:color w:val="auto"/>
              </w:rPr>
            </w:pPr>
          </w:p>
        </w:tc>
        <w:tc>
          <w:tcPr>
            <w:tcW w:w="2980" w:type="dxa"/>
            <w:vAlign w:val="bottom"/>
            <w:gridSpan w:val="6"/>
          </w:tcPr>
          <w:p>
            <w:pPr>
              <w:jc w:val="right"/>
              <w:spacing w:after="0"/>
              <w:rPr>
                <w:sz w:val="20"/>
                <w:szCs w:val="20"/>
                <w:color w:val="auto"/>
              </w:rPr>
            </w:pPr>
            <w:r>
              <w:rPr>
                <w:rFonts w:ascii="Arial" w:cs="Arial" w:eastAsia="Arial" w:hAnsi="Arial"/>
                <w:sz w:val="18"/>
                <w:szCs w:val="18"/>
                <w:color w:val="auto"/>
              </w:rPr>
              <w:t>$120,059</w:t>
            </w:r>
          </w:p>
        </w:tc>
        <w:tc>
          <w:tcPr>
            <w:tcW w:w="1100" w:type="dxa"/>
            <w:vAlign w:val="bottom"/>
          </w:tcPr>
          <w:p>
            <w:pPr>
              <w:spacing w:after="0"/>
              <w:rPr>
                <w:sz w:val="24"/>
                <w:szCs w:val="24"/>
                <w:color w:val="auto"/>
              </w:rPr>
            </w:pPr>
          </w:p>
        </w:tc>
      </w:tr>
      <w:tr>
        <w:trPr>
          <w:trHeight w:val="210"/>
        </w:trPr>
        <w:tc>
          <w:tcPr>
            <w:tcW w:w="42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Three</w:t>
            </w: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4"/>
              </w:rPr>
              <w:t>Months</w:t>
            </w:r>
          </w:p>
        </w:tc>
        <w:tc>
          <w:tcPr>
            <w:tcW w:w="2860" w:type="dxa"/>
            <w:vAlign w:val="bottom"/>
            <w:tcBorders>
              <w:top w:val="single" w:sz="8" w:color="auto"/>
              <w:bottom w:val="single" w:sz="8" w:color="auto"/>
            </w:tcBorders>
            <w:gridSpan w:val="5"/>
          </w:tcPr>
          <w:p>
            <w:pPr>
              <w:ind w:left="60"/>
              <w:spacing w:after="0"/>
              <w:rPr>
                <w:sz w:val="20"/>
                <w:szCs w:val="20"/>
                <w:color w:val="auto"/>
              </w:rPr>
            </w:pPr>
            <w:r>
              <w:rPr>
                <w:rFonts w:ascii="Arial" w:cs="Arial" w:eastAsia="Arial" w:hAnsi="Arial"/>
                <w:sz w:val="18"/>
                <w:szCs w:val="18"/>
                <w:color w:val="auto"/>
              </w:rPr>
              <w:t>Ended</w:t>
            </w:r>
          </w:p>
        </w:tc>
      </w:tr>
      <w:tr>
        <w:trPr>
          <w:trHeight w:val="191"/>
        </w:trPr>
        <w:tc>
          <w:tcPr>
            <w:tcW w:w="4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gridSpan w:val="5"/>
          </w:tcPr>
          <w:p>
            <w:pPr>
              <w:ind w:left="960"/>
              <w:spacing w:after="0" w:line="191" w:lineRule="exact"/>
              <w:rPr>
                <w:sz w:val="20"/>
                <w:szCs w:val="20"/>
                <w:color w:val="auto"/>
              </w:rPr>
            </w:pPr>
            <w:r>
              <w:rPr>
                <w:rFonts w:ascii="Arial" w:cs="Arial" w:eastAsia="Arial" w:hAnsi="Arial"/>
                <w:sz w:val="18"/>
                <w:szCs w:val="18"/>
                <w:b w:val="1"/>
                <w:bCs w:val="1"/>
                <w:color w:val="auto"/>
              </w:rPr>
              <w:t>February 2,</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gridSpan w:val="5"/>
          </w:tcPr>
          <w:p>
            <w:pPr>
              <w:ind w:left="960"/>
              <w:spacing w:after="0" w:line="191" w:lineRule="exact"/>
              <w:rPr>
                <w:sz w:val="20"/>
                <w:szCs w:val="20"/>
                <w:color w:val="auto"/>
              </w:rPr>
            </w:pPr>
            <w:r>
              <w:rPr>
                <w:rFonts w:ascii="Arial" w:cs="Arial" w:eastAsia="Arial" w:hAnsi="Arial"/>
                <w:sz w:val="18"/>
                <w:szCs w:val="18"/>
                <w:b w:val="1"/>
                <w:bCs w:val="1"/>
                <w:color w:val="auto"/>
              </w:rPr>
              <w:t>February 3,</w:t>
            </w: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Segment Earnings (Loss) Before Income Taxes</w:t>
            </w:r>
          </w:p>
        </w:tc>
        <w:tc>
          <w:tcPr>
            <w:tcW w:w="2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5"/>
        </w:trPr>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460" w:type="dxa"/>
            <w:vAlign w:val="bottom"/>
          </w:tcPr>
          <w:p>
            <w:pPr>
              <w:spacing w:after="0"/>
              <w:rPr>
                <w:sz w:val="16"/>
                <w:szCs w:val="16"/>
                <w:color w:val="auto"/>
              </w:rPr>
            </w:pPr>
          </w:p>
        </w:tc>
        <w:tc>
          <w:tcPr>
            <w:tcW w:w="170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$ 48,360</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$ 41,660</w:t>
            </w: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Residential</w:t>
            </w: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4,379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right"/>
              <w:spacing w:after="0"/>
              <w:rPr>
                <w:sz w:val="20"/>
                <w:szCs w:val="20"/>
                <w:color w:val="auto"/>
              </w:rPr>
            </w:pPr>
            <w:r>
              <w:rPr>
                <w:rFonts w:ascii="Arial" w:cs="Arial" w:eastAsia="Arial" w:hAnsi="Arial"/>
                <w:sz w:val="18"/>
                <w:szCs w:val="18"/>
                <w:color w:val="auto"/>
              </w:rPr>
              <w:t>5,149</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gridSpan w:val="5"/>
          </w:tcPr>
          <w:p>
            <w:pPr>
              <w:jc w:val="right"/>
              <w:ind w:right="60"/>
              <w:spacing w:after="0"/>
              <w:rPr>
                <w:sz w:val="20"/>
                <w:szCs w:val="20"/>
                <w:color w:val="auto"/>
              </w:rPr>
            </w:pPr>
            <w:r>
              <w:rPr>
                <w:rFonts w:ascii="Arial" w:cs="Arial" w:eastAsia="Arial" w:hAnsi="Arial"/>
                <w:sz w:val="18"/>
                <w:szCs w:val="18"/>
                <w:color w:val="auto"/>
              </w:rPr>
              <w:t>(27,051)</w:t>
            </w:r>
          </w:p>
        </w:tc>
        <w:tc>
          <w:tcPr>
            <w:tcW w:w="280" w:type="dxa"/>
            <w:vAlign w:val="bottom"/>
          </w:tcPr>
          <w:p>
            <w:pPr>
              <w:spacing w:after="0"/>
              <w:rPr>
                <w:sz w:val="20"/>
                <w:szCs w:val="20"/>
                <w:color w:val="auto"/>
              </w:rPr>
            </w:pPr>
          </w:p>
        </w:tc>
        <w:tc>
          <w:tcPr>
            <w:tcW w:w="2980" w:type="dxa"/>
            <w:vAlign w:val="bottom"/>
            <w:gridSpan w:val="6"/>
          </w:tcPr>
          <w:p>
            <w:pPr>
              <w:jc w:val="right"/>
              <w:spacing w:after="0"/>
              <w:rPr>
                <w:sz w:val="20"/>
                <w:szCs w:val="20"/>
                <w:color w:val="auto"/>
              </w:rPr>
            </w:pPr>
            <w:r>
              <w:rPr>
                <w:rFonts w:ascii="Arial" w:cs="Arial" w:eastAsia="Arial" w:hAnsi="Arial"/>
                <w:sz w:val="18"/>
                <w:szCs w:val="18"/>
                <w:color w:val="auto"/>
              </w:rPr>
              <w:t>(25,497)</w:t>
            </w:r>
          </w:p>
        </w:tc>
        <w:tc>
          <w:tcPr>
            <w:tcW w:w="1100" w:type="dxa"/>
            <w:vAlign w:val="bottom"/>
          </w:tcPr>
          <w:p>
            <w:pPr>
              <w:spacing w:after="0"/>
              <w:rPr>
                <w:sz w:val="20"/>
                <w:szCs w:val="20"/>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25,688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21,312</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Condensed Consolidated Balance Sheets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tcPr>
          <w:p>
            <w:pPr>
              <w:ind w:left="440"/>
              <w:spacing w:after="0"/>
              <w:rPr>
                <w:sz w:val="20"/>
                <w:szCs w:val="20"/>
                <w:color w:val="auto"/>
              </w:rPr>
            </w:pPr>
            <w:r>
              <w:rPr>
                <w:rFonts w:ascii="Arial" w:cs="Arial" w:eastAsia="Arial" w:hAnsi="Arial"/>
                <w:sz w:val="18"/>
                <w:szCs w:val="18"/>
                <w:b w:val="1"/>
                <w:bCs w:val="1"/>
                <w:color w:val="auto"/>
              </w:rPr>
              <w:t>February 2,</w:t>
            </w:r>
          </w:p>
        </w:tc>
        <w:tc>
          <w:tcPr>
            <w:tcW w:w="46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Arial" w:cs="Arial" w:eastAsia="Arial" w:hAnsi="Arial"/>
                <w:sz w:val="18"/>
                <w:szCs w:val="18"/>
                <w:b w:val="1"/>
                <w:bCs w:val="1"/>
                <w:color w:val="auto"/>
              </w:rPr>
              <w:t>February 3,</w:t>
            </w:r>
          </w:p>
        </w:tc>
        <w:tc>
          <w:tcPr>
            <w:tcW w:w="0" w:type="dxa"/>
            <w:vAlign w:val="bottom"/>
          </w:tcPr>
          <w:p>
            <w:pPr>
              <w:spacing w:after="0"/>
              <w:rPr>
                <w:sz w:val="1"/>
                <w:szCs w:val="1"/>
                <w:color w:val="auto"/>
              </w:rPr>
            </w:pPr>
          </w:p>
        </w:tc>
      </w:tr>
      <w:tr>
        <w:trPr>
          <w:trHeight w:val="234"/>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5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80" w:type="dxa"/>
            <w:vAlign w:val="bottom"/>
            <w:gridSpan w:val="3"/>
            <w:vMerge w:val="continue"/>
          </w:tcPr>
          <w:p>
            <w:pPr>
              <w:spacing w:after="0"/>
              <w:rPr>
                <w:sz w:val="18"/>
                <w:szCs w:val="18"/>
                <w:color w:val="auto"/>
              </w:rPr>
            </w:pPr>
          </w:p>
        </w:tc>
        <w:tc>
          <w:tcPr>
            <w:tcW w:w="540" w:type="dxa"/>
            <w:vAlign w:val="bottom"/>
            <w:vMerge w:val="restart"/>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30,051</w:t>
            </w:r>
          </w:p>
        </w:tc>
        <w:tc>
          <w:tcPr>
            <w:tcW w:w="540" w:type="dxa"/>
            <w:vAlign w:val="bottom"/>
          </w:tcPr>
          <w:p>
            <w:pPr>
              <w:spacing w:after="0"/>
              <w:rPr>
                <w:sz w:val="18"/>
                <w:szCs w:val="18"/>
                <w:color w:val="auto"/>
              </w:rPr>
            </w:pPr>
          </w:p>
        </w:tc>
        <w:tc>
          <w:tcPr>
            <w:tcW w:w="800" w:type="dxa"/>
            <w:vAlign w:val="bottom"/>
            <w:gridSpan w:val="2"/>
            <w:vMerge w:val="restart"/>
          </w:tcPr>
          <w:p>
            <w:pPr>
              <w:ind w:left="70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19,744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357,165</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313,157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307,415</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295,687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14,905</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18,049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55,801</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56,099</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765,337</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702,736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169,304</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165,078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5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115,224</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1,051,727</w:t>
            </w:r>
          </w:p>
        </w:tc>
        <w:tc>
          <w:tcPr>
            <w:tcW w:w="540" w:type="dxa"/>
            <w:vAlign w:val="bottom"/>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966,307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3"/>
            <w:vMerge w:val="continue"/>
          </w:tcPr>
          <w:p>
            <w:pPr>
              <w:spacing w:after="0"/>
              <w:rPr>
                <w:sz w:val="18"/>
                <w:szCs w:val="18"/>
                <w:color w:val="auto"/>
              </w:rPr>
            </w:pPr>
          </w:p>
        </w:tc>
        <w:tc>
          <w:tcPr>
            <w:tcW w:w="540" w:type="dxa"/>
            <w:vAlign w:val="bottom"/>
            <w:vMerge w:val="restart"/>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tcPr>
          <w:p>
            <w:pPr>
              <w:spacing w:after="0"/>
              <w:rPr>
                <w:sz w:val="18"/>
                <w:szCs w:val="18"/>
                <w:color w:val="auto"/>
              </w:rPr>
            </w:pPr>
          </w:p>
        </w:tc>
        <w:tc>
          <w:tcPr>
            <w:tcW w:w="800" w:type="dxa"/>
            <w:vAlign w:val="bottom"/>
            <w:gridSpan w:val="2"/>
            <w:vMerge w:val="restart"/>
          </w:tcPr>
          <w:p>
            <w:pPr>
              <w:ind w:left="70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127,100</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106,881</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95,213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247,776</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242,453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556,757</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389,601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8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5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Deferred revenue and other long-term liabilities</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9,142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385,828</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391,411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1,051,727</w:t>
            </w:r>
          </w:p>
        </w:tc>
        <w:tc>
          <w:tcPr>
            <w:tcW w:w="540" w:type="dxa"/>
            <w:vAlign w:val="bottom"/>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966,307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1"/>
        </w:trPr>
        <w:tc>
          <w:tcPr>
            <w:tcW w:w="7640" w:type="dxa"/>
            <w:vAlign w:val="bottom"/>
          </w:tcPr>
          <w:p>
            <w:pPr>
              <w:spacing w:after="0"/>
              <w:rPr>
                <w:sz w:val="16"/>
                <w:szCs w:val="16"/>
                <w:color w:val="auto"/>
              </w:rPr>
            </w:pPr>
          </w:p>
        </w:tc>
        <w:tc>
          <w:tcPr>
            <w:tcW w:w="146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92"/>
              </w:rPr>
              <w:t>February 2,</w:t>
            </w:r>
          </w:p>
        </w:tc>
        <w:tc>
          <w:tcPr>
            <w:tcW w:w="300" w:type="dxa"/>
            <w:vAlign w:val="bottom"/>
          </w:tcPr>
          <w:p>
            <w:pPr>
              <w:spacing w:after="0"/>
              <w:rPr>
                <w:sz w:val="16"/>
                <w:szCs w:val="16"/>
                <w:color w:val="auto"/>
              </w:rPr>
            </w:pPr>
          </w:p>
        </w:tc>
        <w:tc>
          <w:tcPr>
            <w:tcW w:w="1440" w:type="dxa"/>
            <w:vAlign w:val="bottom"/>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rPr>
              <w:t>February 3,</w:t>
            </w:r>
          </w:p>
        </w:tc>
        <w:tc>
          <w:tcPr>
            <w:tcW w:w="0" w:type="dxa"/>
            <w:vAlign w:val="bottom"/>
          </w:tcPr>
          <w:p>
            <w:pPr>
              <w:spacing w:after="0"/>
              <w:rPr>
                <w:sz w:val="1"/>
                <w:szCs w:val="1"/>
                <w:color w:val="auto"/>
              </w:rPr>
            </w:pPr>
          </w:p>
        </w:tc>
      </w:tr>
      <w:tr>
        <w:trPr>
          <w:trHeight w:val="234"/>
        </w:trPr>
        <w:tc>
          <w:tcPr>
            <w:tcW w:w="76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40" w:type="dxa"/>
            <w:vAlign w:val="bottom"/>
            <w:vMerge w:val="continue"/>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earnings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$ 18,450</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$ 14,279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Equity losses from investments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10,334</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10,534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Gain on disposal of property, plant, and equipment</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(46)</w:t>
            </w:r>
          </w:p>
        </w:tc>
        <w:tc>
          <w:tcPr>
            <w:tcW w:w="1740" w:type="dxa"/>
            <w:vAlign w:val="bottom"/>
            <w:gridSpan w:val="4"/>
          </w:tcPr>
          <w:p>
            <w:pPr>
              <w:jc w:val="right"/>
              <w:ind w:right="3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1,944</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2,510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Decrease in deferred income taxes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596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(62,588)</w:t>
            </w:r>
          </w:p>
        </w:tc>
        <w:tc>
          <w:tcPr>
            <w:tcW w:w="1740" w:type="dxa"/>
            <w:vAlign w:val="bottom"/>
            <w:gridSpan w:val="4"/>
          </w:tcPr>
          <w:p>
            <w:pPr>
              <w:jc w:val="right"/>
              <w:ind w:right="300"/>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(67,261)</w:t>
            </w:r>
          </w:p>
        </w:tc>
        <w:tc>
          <w:tcPr>
            <w:tcW w:w="1740" w:type="dxa"/>
            <w:vAlign w:val="bottom"/>
            <w:gridSpan w:val="4"/>
          </w:tcPr>
          <w:p>
            <w:pPr>
              <w:jc w:val="right"/>
              <w:ind w:right="300"/>
              <w:spacing w:after="0"/>
              <w:rPr>
                <w:sz w:val="20"/>
                <w:szCs w:val="20"/>
                <w:color w:val="auto"/>
              </w:rPr>
            </w:pPr>
            <w:r>
              <w:rPr>
                <w:rFonts w:ascii="Arial" w:cs="Arial" w:eastAsia="Arial" w:hAnsi="Arial"/>
                <w:sz w:val="18"/>
                <w:szCs w:val="18"/>
                <w:color w:val="auto"/>
              </w:rPr>
              <w:t>(60,085)</w:t>
            </w:r>
          </w:p>
        </w:tc>
        <w:tc>
          <w:tcPr>
            <w:tcW w:w="0" w:type="dxa"/>
            <w:vAlign w:val="bottom"/>
          </w:tcPr>
          <w:p>
            <w:pPr>
              <w:spacing w:after="0"/>
              <w:rPr>
                <w:sz w:val="1"/>
                <w:szCs w:val="1"/>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(5,737)</w:t>
            </w:r>
          </w:p>
        </w:tc>
        <w:tc>
          <w:tcPr>
            <w:tcW w:w="1740" w:type="dxa"/>
            <w:vAlign w:val="bottom"/>
            <w:gridSpan w:val="4"/>
          </w:tcPr>
          <w:p>
            <w:pPr>
              <w:jc w:val="right"/>
              <w:ind w:right="3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11,192</w:t>
            </w:r>
          </w:p>
        </w:tc>
        <w:tc>
          <w:tcPr>
            <w:tcW w:w="420" w:type="dxa"/>
            <w:vAlign w:val="bottom"/>
          </w:tcPr>
          <w:p>
            <w:pPr>
              <w:spacing w:after="0"/>
              <w:rPr>
                <w:sz w:val="20"/>
                <w:szCs w:val="20"/>
                <w:color w:val="auto"/>
              </w:rPr>
            </w:pPr>
          </w:p>
        </w:tc>
        <w:tc>
          <w:tcPr>
            <w:tcW w:w="1740" w:type="dxa"/>
            <w:vAlign w:val="bottom"/>
            <w:gridSpan w:val="4"/>
          </w:tcPr>
          <w:p>
            <w:pPr>
              <w:jc w:val="right"/>
              <w:ind w:right="3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23"/>
        </w:trPr>
        <w:tc>
          <w:tcPr>
            <w:tcW w:w="7640" w:type="dxa"/>
            <w:vAlign w:val="bottom"/>
          </w:tcPr>
          <w:p>
            <w:pPr>
              <w:ind w:left="40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(93,563</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740" w:type="dxa"/>
            <w:vAlign w:val="bottom"/>
            <w:gridSpan w:val="2"/>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(53,328</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(12,478)</w:t>
            </w:r>
          </w:p>
        </w:tc>
        <w:tc>
          <w:tcPr>
            <w:tcW w:w="1740" w:type="dxa"/>
            <w:vAlign w:val="bottom"/>
            <w:gridSpan w:val="4"/>
          </w:tcPr>
          <w:p>
            <w:pPr>
              <w:jc w:val="right"/>
              <w:ind w:right="30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Proceeds from disposal of property, plant, and equipment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(Increase) decrease in other assets</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(18,045)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3,118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Acquisition, net of cash acquired</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(1,088)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(31,564</w:t>
            </w:r>
          </w:p>
        </w:tc>
        <w:tc>
          <w:tcPr>
            <w:tcW w:w="44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740" w:type="dxa"/>
            <w:vAlign w:val="bottom"/>
            <w:gridSpan w:val="2"/>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(4,782)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Increase in short-term debt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126,780</w:t>
            </w:r>
          </w:p>
        </w:tc>
        <w:tc>
          <w:tcPr>
            <w:tcW w:w="4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51,575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57" w:orient="portrait"/>
          <w:cols w:equalWidth="0" w:num="1">
            <w:col w:w="10840"/>
          </w:cols>
          <w:pgMar w:left="540" w:top="125" w:right="5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17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340" w:type="dxa"/>
            <w:vAlign w:val="bottom"/>
          </w:tcPr>
          <w:p>
            <w:pPr>
              <w:ind w:left="140"/>
              <w:spacing w:after="0"/>
              <w:rPr>
                <w:sz w:val="20"/>
                <w:szCs w:val="20"/>
                <w:color w:val="auto"/>
              </w:rPr>
            </w:pPr>
            <w:r>
              <w:rPr>
                <w:rFonts w:ascii="Arial" w:cs="Arial" w:eastAsia="Arial" w:hAnsi="Arial"/>
                <w:sz w:val="18"/>
                <w:szCs w:val="18"/>
                <w:color w:val="auto"/>
              </w:rPr>
              <w:t>Excess tax benefits from stock-based awards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2,758</w:t>
            </w:r>
          </w:p>
        </w:tc>
        <w:tc>
          <w:tcPr>
            <w:tcW w:w="5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12,275</w:t>
            </w:r>
          </w:p>
        </w:tc>
        <w:tc>
          <w:tcPr>
            <w:tcW w:w="60" w:type="dxa"/>
            <w:vAlign w:val="bottom"/>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Arial" w:cs="Arial" w:eastAsia="Arial" w:hAnsi="Arial"/>
                <w:sz w:val="18"/>
                <w:szCs w:val="18"/>
                <w:color w:val="auto"/>
              </w:rPr>
              <w:t>Proceeds from exercise of stock-based awards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4,145</w:t>
            </w:r>
          </w:p>
        </w:tc>
        <w:tc>
          <w:tcPr>
            <w:tcW w:w="5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4,101</w:t>
            </w:r>
          </w:p>
        </w:tc>
        <w:tc>
          <w:tcPr>
            <w:tcW w:w="60" w:type="dxa"/>
            <w:vAlign w:val="bottom"/>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Arial" w:cs="Arial" w:eastAsia="Arial" w:hAnsi="Arial"/>
                <w:sz w:val="18"/>
                <w:szCs w:val="18"/>
                <w:color w:val="auto"/>
              </w:rPr>
              <w:t>Purchases of Toro common stock</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(29,029)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(27,587)</w:t>
            </w: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Dividends paid on Toro common stock</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(4,929)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(3,923)</w:t>
            </w:r>
          </w:p>
        </w:tc>
      </w:tr>
      <w:tr>
        <w:trPr>
          <w:trHeight w:val="223"/>
        </w:trPr>
        <w:tc>
          <w:tcPr>
            <w:tcW w:w="634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7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99,725</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36,430</w:t>
            </w:r>
          </w:p>
        </w:tc>
        <w:tc>
          <w:tcPr>
            <w:tcW w:w="60" w:type="dxa"/>
            <w:vAlign w:val="bottom"/>
          </w:tcPr>
          <w:p>
            <w:pPr>
              <w:spacing w:after="0"/>
              <w:rPr>
                <w:sz w:val="19"/>
                <w:szCs w:val="19"/>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209"/>
        </w:trPr>
        <w:tc>
          <w:tcPr>
            <w:tcW w:w="63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(25,472)</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(21,658)</w:t>
            </w:r>
          </w:p>
        </w:tc>
        <w:tc>
          <w:tcPr>
            <w:tcW w:w="60" w:type="dxa"/>
            <w:vAlign w:val="bottom"/>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55,523</w:t>
            </w: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41,402</w:t>
            </w:r>
          </w:p>
        </w:tc>
        <w:tc>
          <w:tcPr>
            <w:tcW w:w="60" w:type="dxa"/>
            <w:vAlign w:val="bottom"/>
          </w:tcPr>
          <w:p>
            <w:pPr>
              <w:spacing w:after="0"/>
              <w:rPr>
                <w:sz w:val="20"/>
                <w:szCs w:val="20"/>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30,051</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19,744</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460"/>
      </w:cols>
      <w:pgMar w:left="540" w:top="125"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5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2019-12-13T13:37:36Z</dcterms:created>
  <dcterms:modified xsi:type="dcterms:W3CDTF">2019-12-13T13:37:36Z</dcterms:modified>
</cp:coreProperties>
</file>