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6240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2401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Funk Edric C</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8111 LYNDALE AVENUE SOUTH</w:t>
            </w:r>
          </w:p>
        </w:tc>
        <w:tc>
          <w:tcPr>
            <w:tcW w:w="460" w:type="dxa"/>
            <w:vAlign w:val="bottom"/>
          </w:tcPr>
          <w:p>
            <w:pPr>
              <w:spacing w:after="0"/>
              <w:rPr>
                <w:sz w:val="23"/>
                <w:szCs w:val="23"/>
                <w:color w:val="auto"/>
              </w:rPr>
            </w:pPr>
          </w:p>
        </w:tc>
      </w:tr>
      <w:tr>
        <w:trPr>
          <w:trHeight w:val="476"/>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7"/>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BLOOMINGTON MN</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55420</w:t>
            </w:r>
          </w:p>
        </w:tc>
      </w:tr>
      <w:tr>
        <w:trPr>
          <w:trHeight w:val="463"/>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Group VP, Golf, Grounds &amp; Irr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03/15/2024</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22"/>
                <w:szCs w:val="22"/>
                <w:color w:val="auto"/>
              </w:rPr>
            </w:pPr>
          </w:p>
        </w:tc>
        <w:tc>
          <w:tcPr>
            <w:tcW w:w="580" w:type="dxa"/>
            <w:vAlign w:val="bottom"/>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9"/>
              </w:rPr>
              <w:t>0.924</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89.54</w:t>
            </w:r>
          </w:p>
        </w:tc>
        <w:tc>
          <w:tcPr>
            <w:tcW w:w="20" w:type="dxa"/>
            <w:vAlign w:val="bottom"/>
          </w:tcPr>
          <w:p>
            <w:pPr>
              <w:spacing w:after="0"/>
              <w:rPr>
                <w:sz w:val="22"/>
                <w:szCs w:val="22"/>
                <w:color w:val="auto"/>
              </w:rPr>
            </w:pPr>
          </w:p>
        </w:tc>
        <w:tc>
          <w:tcPr>
            <w:tcW w:w="72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0000FF"/>
                <w:w w:val="93"/>
              </w:rPr>
              <w:t>614</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81"/>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03/15/2024</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22"/>
                <w:szCs w:val="22"/>
                <w:color w:val="auto"/>
              </w:rPr>
            </w:pPr>
          </w:p>
        </w:tc>
        <w:tc>
          <w:tcPr>
            <w:tcW w:w="5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rPr>
              <w:t>500</w:t>
            </w:r>
          </w:p>
        </w:tc>
        <w:tc>
          <w:tcPr>
            <w:tcW w:w="8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89.56</w:t>
            </w:r>
          </w:p>
        </w:tc>
        <w:tc>
          <w:tcPr>
            <w:tcW w:w="20" w:type="dxa"/>
            <w:vAlign w:val="bottom"/>
          </w:tcPr>
          <w:p>
            <w:pPr>
              <w:spacing w:after="0"/>
              <w:rPr>
                <w:sz w:val="22"/>
                <w:szCs w:val="22"/>
                <w:color w:val="auto"/>
              </w:rPr>
            </w:pPr>
          </w:p>
        </w:tc>
        <w:tc>
          <w:tcPr>
            <w:tcW w:w="72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0000FF"/>
                <w:w w:val="93"/>
              </w:rPr>
              <w:t>114</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81"/>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03/15/2024</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22"/>
                <w:szCs w:val="22"/>
                <w:color w:val="auto"/>
              </w:rPr>
            </w:pPr>
          </w:p>
        </w:tc>
        <w:tc>
          <w:tcPr>
            <w:tcW w:w="500" w:type="dxa"/>
            <w:vAlign w:val="bottom"/>
          </w:tcPr>
          <w:p>
            <w:pPr>
              <w:jc w:val="center"/>
              <w:ind w:left="152"/>
              <w:spacing w:after="0"/>
              <w:rPr>
                <w:sz w:val="20"/>
                <w:szCs w:val="20"/>
                <w:color w:val="auto"/>
              </w:rPr>
            </w:pPr>
            <w:r>
              <w:rPr>
                <w:rFonts w:ascii="Times New Roman" w:cs="Times New Roman" w:eastAsia="Times New Roman" w:hAnsi="Times New Roman"/>
                <w:sz w:val="17"/>
                <w:szCs w:val="17"/>
                <w:color w:val="0000FF"/>
                <w:w w:val="93"/>
              </w:rPr>
              <w:t>114</w:t>
            </w:r>
          </w:p>
        </w:tc>
        <w:tc>
          <w:tcPr>
            <w:tcW w:w="8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89.61</w:t>
            </w:r>
          </w:p>
        </w:tc>
        <w:tc>
          <w:tcPr>
            <w:tcW w:w="20" w:type="dxa"/>
            <w:vAlign w:val="bottom"/>
          </w:tcPr>
          <w:p>
            <w:pPr>
              <w:spacing w:after="0"/>
              <w:rPr>
                <w:sz w:val="22"/>
                <w:szCs w:val="22"/>
                <w:color w:val="auto"/>
              </w:rPr>
            </w:pPr>
          </w:p>
        </w:tc>
        <w:tc>
          <w:tcPr>
            <w:tcW w:w="72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0000FF"/>
                <w:w w:val="93"/>
              </w:rPr>
              <w:t>0</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81"/>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820" w:type="dxa"/>
            <w:vAlign w:val="bottom"/>
            <w:gridSpan w:val="2"/>
            <w:vMerge w:val="restart"/>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03/15/2024</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320" w:type="dxa"/>
            <w:vAlign w:val="bottom"/>
          </w:tcPr>
          <w:p>
            <w:pPr>
              <w:spacing w:after="0"/>
              <w:rPr>
                <w:sz w:val="17"/>
                <w:szCs w:val="17"/>
                <w:color w:val="auto"/>
              </w:rPr>
            </w:pPr>
          </w:p>
        </w:tc>
        <w:tc>
          <w:tcPr>
            <w:tcW w:w="58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7"/>
                <w:szCs w:val="17"/>
                <w:color w:val="0000FF"/>
                <w:w w:val="99"/>
              </w:rPr>
              <w:t>1,255</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89.85</w:t>
            </w:r>
          </w:p>
        </w:tc>
        <w:tc>
          <w:tcPr>
            <w:tcW w:w="20" w:type="dxa"/>
            <w:vAlign w:val="bottom"/>
          </w:tcPr>
          <w:p>
            <w:pPr>
              <w:spacing w:after="0"/>
              <w:rPr>
                <w:sz w:val="17"/>
                <w:szCs w:val="17"/>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2"/>
              </w:rPr>
              <w:t>4,172.217</w:t>
            </w:r>
            <w:r>
              <w:rPr>
                <w:rFonts w:ascii="Times New Roman" w:cs="Times New Roman" w:eastAsia="Times New Roman" w:hAnsi="Times New Roman"/>
                <w:sz w:val="21"/>
                <w:szCs w:val="21"/>
                <w:color w:val="008000"/>
                <w:w w:val="92"/>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2"/>
              </w:rPr>
              <w:t>1,049.125</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7"/>
                <w:szCs w:val="17"/>
                <w:color w:val="0000FF"/>
                <w:w w:val="81"/>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1"/>
          </w:tcPr>
          <w:p>
            <w:pPr>
              <w:jc w:val="center"/>
              <w:ind w:left="49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3"/>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3"/>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1,486.859</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1,486.859</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11.541 net shares acquired by the reporting person since the date of his last report under the dividend reinvestment feature of The Toro Company Retirement Plan less non-discretionary quarterly administrative fees.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4.125 performance share units acquired by the reporting person since the date of his last report under the dividend reinvestment feature of The Toro Company Deferred Compensation Plan for Officers.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03/18/2024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209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2024-03-18T17:33:47Z</dcterms:created>
  <dcterms:modified xsi:type="dcterms:W3CDTF">2024-03-18T17:33:47Z</dcterms:modified>
</cp:coreProperties>
</file>