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21, 2009</w:t>
      </w: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1540"/>
        <w:spacing w:after="0"/>
        <w:tabs>
          <w:tab w:leader="none" w:pos="5440" w:val="left"/>
          <w:tab w:leader="none" w:pos="90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1-8649</w:t>
      </w:r>
      <w:r>
        <w:rPr>
          <w:sz w:val="20"/>
          <w:szCs w:val="20"/>
          <w:color w:val="auto"/>
        </w:rPr>
        <w:tab/>
      </w:r>
      <w:r>
        <w:rPr>
          <w:rFonts w:ascii="Arial" w:cs="Arial" w:eastAsia="Arial" w:hAnsi="Arial"/>
          <w:sz w:val="16"/>
          <w:szCs w:val="16"/>
          <w:b w:val="1"/>
          <w:bCs w:val="1"/>
          <w:color w:val="auto"/>
        </w:rPr>
        <w:t>41-0580470</w:t>
      </w:r>
    </w:p>
    <w:p>
      <w:pPr>
        <w:spacing w:after="0" w:line="27" w:lineRule="exact"/>
        <w:rPr>
          <w:sz w:val="24"/>
          <w:szCs w:val="24"/>
          <w:color w:val="auto"/>
        </w:rPr>
      </w:pPr>
    </w:p>
    <w:p>
      <w:pPr>
        <w:ind w:left="1060"/>
        <w:spacing w:after="0"/>
        <w:tabs>
          <w:tab w:leader="none" w:pos="4700" w:val="left"/>
          <w:tab w:leader="none" w:pos="8020" w:val="left"/>
        </w:tabs>
        <w:rPr>
          <w:sz w:val="20"/>
          <w:szCs w:val="20"/>
          <w:color w:val="auto"/>
        </w:rPr>
      </w:pPr>
      <w:r>
        <w:rPr>
          <w:rFonts w:ascii="Arial" w:cs="Arial" w:eastAsia="Arial" w:hAnsi="Arial"/>
          <w:sz w:val="18"/>
          <w:szCs w:val="18"/>
          <w:color w:val="auto"/>
        </w:rPr>
        <w:t>(State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Number)</w:t>
      </w:r>
    </w:p>
    <w:p>
      <w:pPr>
        <w:sectPr>
          <w:pgSz w:w="11900" w:h="16838" w:orient="portrait"/>
          <w:cols w:equalWidth="0" w:num="1">
            <w:col w:w="11400"/>
          </w:cols>
          <w:pgMar w:left="240" w:top="1030" w:right="25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Bloomington,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1071880</wp:posOffset>
            </wp:positionH>
            <wp:positionV relativeFrom="paragraph">
              <wp:posOffset>-19050</wp:posOffset>
            </wp:positionV>
            <wp:extent cx="1485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jc w:val="center"/>
        <w:ind w:right="1280"/>
        <w:spacing w:after="0"/>
        <w:rPr>
          <w:sz w:val="20"/>
          <w:szCs w:val="20"/>
          <w:color w:val="auto"/>
        </w:rPr>
      </w:pPr>
      <w:r>
        <w:rPr>
          <w:rFonts w:ascii="Arial" w:cs="Arial" w:eastAsia="Arial" w:hAnsi="Arial"/>
          <w:sz w:val="16"/>
          <w:szCs w:val="16"/>
          <w:color w:val="auto"/>
        </w:rPr>
        <w:t>(Address of principal executive offices)</w:t>
      </w:r>
    </w:p>
    <w:p>
      <w:pPr>
        <w:spacing w:after="0" w:line="28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726440</wp:posOffset>
            </wp:positionH>
            <wp:positionV relativeFrom="paragraph">
              <wp:posOffset>-7620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7"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(Zip Code)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80" w:space="80"/>
            <w:col w:w="4340"/>
          </w:cols>
          <w:pgMar w:left="240" w:top="1030"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913130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On May 21, 2009, The Toro Company announced its earnings for the three and six months ended May 1, 2009.</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2"/>
                <w:szCs w:val="22"/>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Press release dated May 21, 2009 (furnished herewith).</w:t>
            </w:r>
          </w:p>
        </w:tc>
      </w:tr>
      <w:tr>
        <w:trPr>
          <w:trHeight w:val="1145"/>
        </w:trPr>
        <w:tc>
          <w:tcPr>
            <w:tcW w:w="8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THE TORO COMPANY</w:t>
            </w:r>
          </w:p>
        </w:tc>
      </w:tr>
      <w:tr>
        <w:trPr>
          <w:trHeight w:val="230"/>
        </w:trPr>
        <w:tc>
          <w:tcPr>
            <w:tcW w:w="2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419"/>
        </w:trPr>
        <w:tc>
          <w:tcPr>
            <w:tcW w:w="2520" w:type="dxa"/>
            <w:vAlign w:val="bottom"/>
          </w:tcPr>
          <w:p>
            <w:pPr>
              <w:spacing w:after="0"/>
              <w:rPr>
                <w:sz w:val="20"/>
                <w:szCs w:val="20"/>
                <w:color w:val="auto"/>
              </w:rPr>
            </w:pPr>
            <w:r>
              <w:rPr>
                <w:rFonts w:ascii="Arial" w:cs="Arial" w:eastAsia="Arial" w:hAnsi="Arial"/>
                <w:sz w:val="18"/>
                <w:szCs w:val="18"/>
                <w:color w:val="auto"/>
              </w:rPr>
              <w:t>Date: May 21, 2009</w:t>
            </w: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By /s/ Stephen P. Wolfe</w:t>
            </w:r>
          </w:p>
        </w:tc>
      </w:tr>
      <w:tr>
        <w:trPr>
          <w:trHeight w:val="20"/>
        </w:trPr>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22"/>
        </w:trPr>
        <w:tc>
          <w:tcPr>
            <w:tcW w:w="2520" w:type="dxa"/>
            <w:vAlign w:val="bottom"/>
          </w:tcPr>
          <w:p>
            <w:pPr>
              <w:spacing w:after="0"/>
              <w:rPr>
                <w:sz w:val="19"/>
                <w:szCs w:val="19"/>
                <w:color w:val="auto"/>
              </w:rPr>
            </w:pP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Stephen P. Wolfe</w:t>
            </w:r>
          </w:p>
        </w:tc>
      </w:tr>
      <w:tr>
        <w:trPr>
          <w:trHeight w:val="230"/>
        </w:trPr>
        <w:tc>
          <w:tcPr>
            <w:tcW w:w="2520" w:type="dxa"/>
            <w:vAlign w:val="bottom"/>
          </w:tcPr>
          <w:p>
            <w:pPr>
              <w:spacing w:after="0"/>
              <w:rPr>
                <w:sz w:val="20"/>
                <w:szCs w:val="20"/>
                <w:color w:val="auto"/>
              </w:rPr>
            </w:pP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Vice President, Finance and Chief Financial Officer</w:t>
            </w:r>
          </w:p>
        </w:tc>
      </w:tr>
      <w:tr>
        <w:trPr>
          <w:trHeight w:val="902"/>
        </w:trPr>
        <w:tc>
          <w:tcPr>
            <w:tcW w:w="25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60" w:type="dxa"/>
            <w:vAlign w:val="bottom"/>
          </w:tcPr>
          <w:p>
            <w:pPr>
              <w:spacing w:after="0" w:line="170" w:lineRule="exact"/>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4"/>
                <w:szCs w:val="14"/>
                <w:color w:val="auto"/>
              </w:rPr>
            </w:pPr>
          </w:p>
        </w:tc>
        <w:tc>
          <w:tcPr>
            <w:tcW w:w="10620" w:type="dxa"/>
            <w:vAlign w:val="bottom"/>
            <w:gridSpan w:val="3"/>
          </w:tcPr>
          <w:p>
            <w:pPr>
              <w:ind w:left="700"/>
              <w:spacing w:after="0" w:line="17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8"/>
              </w:rPr>
              <w:t>NUMBER</w:t>
            </w: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gridSpan w:val="2"/>
          </w:tcPr>
          <w:p>
            <w:pPr>
              <w:spacing w:after="0"/>
              <w:rPr>
                <w:sz w:val="20"/>
                <w:szCs w:val="20"/>
                <w:color w:val="auto"/>
              </w:rPr>
            </w:pPr>
            <w:r>
              <w:rPr>
                <w:rFonts w:ascii="Arial" w:cs="Arial" w:eastAsia="Arial" w:hAnsi="Arial"/>
                <w:sz w:val="18"/>
                <w:szCs w:val="18"/>
                <w:color w:val="auto"/>
              </w:rPr>
              <w:t>99.1</w:t>
            </w:r>
          </w:p>
        </w:tc>
        <w:tc>
          <w:tcPr>
            <w:tcW w:w="20" w:type="dxa"/>
            <w:vAlign w:val="bottom"/>
          </w:tcPr>
          <w:p>
            <w:pPr>
              <w:spacing w:after="0"/>
              <w:rPr>
                <w:sz w:val="22"/>
                <w:szCs w:val="22"/>
                <w:color w:val="auto"/>
              </w:rPr>
            </w:pPr>
          </w:p>
        </w:tc>
        <w:tc>
          <w:tcPr>
            <w:tcW w:w="10620" w:type="dxa"/>
            <w:vAlign w:val="bottom"/>
            <w:gridSpan w:val="3"/>
          </w:tcPr>
          <w:p>
            <w:pPr>
              <w:ind w:left="700"/>
              <w:spacing w:after="0"/>
              <w:rPr>
                <w:sz w:val="20"/>
                <w:szCs w:val="20"/>
                <w:color w:val="auto"/>
              </w:rPr>
            </w:pPr>
            <w:r>
              <w:rPr>
                <w:rFonts w:ascii="Arial" w:cs="Arial" w:eastAsia="Arial" w:hAnsi="Arial"/>
                <w:sz w:val="18"/>
                <w:szCs w:val="18"/>
                <w:color w:val="auto"/>
              </w:rPr>
              <w:t>Press release dated May 21, 2009 (furnished herewith).</w:t>
            </w:r>
          </w:p>
        </w:tc>
        <w:tc>
          <w:tcPr>
            <w:tcW w:w="0" w:type="dxa"/>
            <w:vAlign w:val="bottom"/>
          </w:tcPr>
          <w:p>
            <w:pPr>
              <w:spacing w:after="0"/>
              <w:rPr>
                <w:sz w:val="1"/>
                <w:szCs w:val="1"/>
                <w:color w:val="auto"/>
              </w:rPr>
            </w:pPr>
          </w:p>
        </w:tc>
      </w:tr>
      <w:tr>
        <w:trPr>
          <w:trHeight w:val="686"/>
        </w:trPr>
        <w:tc>
          <w:tcPr>
            <w:tcW w:w="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929765" cy="1269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right="92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887-8930,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TORO REPORTS FISCAL 2009 SECOND QUARTER RESULTS</w:t>
      </w:r>
    </w:p>
    <w:p>
      <w:pPr>
        <w:spacing w:after="0" w:line="256" w:lineRule="exact"/>
        <w:rPr>
          <w:sz w:val="20"/>
          <w:szCs w:val="20"/>
          <w:color w:val="auto"/>
        </w:rPr>
      </w:pPr>
    </w:p>
    <w:p>
      <w:pPr>
        <w:ind w:left="340" w:hanging="143"/>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Solid performance drives net earnings per share of $1.00</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execution against working capital initiative enhances liquidity position</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improves $38 million from prior year</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BLOOMINGTON, Minn. (May 21, 2009) – The Toro Company (NYSE: TTC) today reported net earnings of $36.9 million, or $1.00 per share, on net sales of $499.9 million for its fiscal second quarter ended May 1, 2009. In the comparable fiscal 2008 period, the company posted net earnings of $62.8 million, or $1.60 per share, on net sales of $638.5 million.</w:t>
      </w:r>
    </w:p>
    <w:p>
      <w:pPr>
        <w:spacing w:after="0" w:line="20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fiscal year to date, Toro reported net earnings of $43.6 million, or $1.18 per share, on net sales of $840 million. The company’s net earnings for the first half of fiscal 2009 were reduced by $2.1 million, or $0.04 per share on an after-tax basis, to account for workforce adjustments. In the first half of fiscal 2008, the company posted net earnings of $81.4 million, or $2.07 per share, on net sales of $1,044.3 million.</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Michael J. Hoffman, Toro’s chairman and chief executive officer, stated that shipments to both the professional and residential markets declined due to the impact of the ongoing global recession resulting in lower golf equipment and project spending, continued weakness in commercial construction and housing, and soft consumer demand. “We believe our market share position continues to improve and our field inventory levels are down from the prior year,” said Hoffman. “To avoid building excess inventory, we remain focused on managing and aligning production with end market demand. At the same time, we are carefully controlling spending, and aggressively competing for our customers’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jc w:val="both"/>
        <w:ind w:left="340" w:hanging="143"/>
        <w:spacing w:after="0" w:line="25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net sales for the fiscal 2009 second quarter totaled $310.4 million, down 29.2 percent from the comparable fiscal 2008 period. Sales declined across nearly all product categories with worldwide demand for golf maintenance equipment and irrigation systems under significant pressure. Overall shipments for landscape contractor products were down, but somewhat offset by strong orders for the new GrandStand™ stand-on mowers and next generation zero-turn mowers. For the fiscal year to date, professional segment net sales declined 26.4 percent to $539.7 million.</w:t>
      </w:r>
    </w:p>
    <w:p>
      <w:pPr>
        <w:spacing w:after="0" w:line="215"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for the fiscal 2009 second quarter were $56.9 million, down 41.3 percent from last year’s second quarter. For the fiscal year to date, professional segment earnings totaled $87 million, down 41.4 percent from the prior 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jc w:val="both"/>
        <w:ind w:left="340" w:hanging="143"/>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net sales for the fiscal 2009 second quarter totaled $183.6 million, down 4.7 percent from the comparable fiscal 2008 period. Improved product placement for a new and broader line of walk power mowers drove healthy gains, while shipments of riding products were lower as consumers took a more cautionary approach to larger purchases. For the fiscal year to date, residential segment net sales declined 2.8 percent to $290.6 million.</w:t>
      </w:r>
    </w:p>
    <w:p>
      <w:pPr>
        <w:spacing w:after="0" w:line="213"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the fiscal 2009 second quarter were $16.6 million, down 20.2 percent from last year’s second quarter. For the fiscal year to date, residential segment earnings totaled $21.4 million, down 12.8 percent from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112"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margin for the fiscal 2009 second quarter was 32.3 percent compared with 35.7 percent in the comparable fiscal 2008 period. For the first half of fiscal 2009, gross margin was 33.3 percent, compared with 36.1 percent in the first half of 2008. The margin decline in both the second quarter and first half was primarily due to commodity costs versus last year, production cuts from lower sales volumes and efforts to reduce inventory levels, and unfavorable product mix.</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general and administrative (SG&amp;A) expenses for the fiscal 2009 second quarter declined $22.7 million, or 18.2 percent, but increased to 20.5 percent of net sales from 19.6 percent in the same period last year. For the fiscal year to date, SG&amp;A expenses were down $35.3 million, or 14.6 percent, but increased to 24.6 percent of net sales compared with 23.2 percent in the prior year’s first half. SG&amp;A expenses in both periods were lower as a result of reduced spending across most areas and lower incentive expenses.</w:t>
      </w:r>
    </w:p>
    <w:p>
      <w:pPr>
        <w:spacing w:after="0" w:line="21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Interest expense for the fiscal 2009 second quarter was $4.4 million compared with $5.4 million in the prior year’s second quarter. The decline in interest expense resulted from a reduction in average short-term debt compared with the fiscal 2008 second quarter, reflecting benefits of the company’s continued focus on working capital management and a more conservative approach to share repurchases. For the fiscal year to date, interest expense totaled $8.8 million, down from $10.3 million from the comparable 2008 period.</w:t>
      </w: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 tax rate for the fiscal 2009 second quarter was 34.2 percent compared with 35 percent in the comparable 2008 period primarily due to the reinstatement of the federal Research and Engineering Tax Credit.</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Accounts receivable at the end of the fiscal 2009 second quarter totaled $407.8 million, down 25.5 percent, on a 21.7 percent decline in second quarter net sales. Net inventories in the fiscal 2009 second quarter declined by nearly $50 million, or 18.7 percent, from the comparable 2008 period. The company’s ongoing efforts to improve asset management resulted in lower accounts receivable and inventory levels, and contributed to improved cash flow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“While there are forecasts of the economic environment improving by the end of 2009, we expect that would have little impact on our fiscal year which ends in October,” said Hoffman. “This has been a difficult year, but we remain focused on driving retail demand, managing production and inventory, reducing spending, and investing in innovation. Even though our new product sales cannot fully counter a recession, our investment in innovation is paying off now and should continue to do so as our markets improve.”</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Given the ongoing global recession, the company has adjusted its outlook for fiscal 2009 and now expects fiscal 2009 revenues to decline about 18 percent from fiscal 2008, and net earnings per share to be approximately $1.60 to $1.80.</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21,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color w:val="auto"/>
        </w:rPr>
        <w:t xml:space="preserve">The Toro Company will conduct a conference call and webcast for investors beginning at 10:00 a.m. Central Time (CST) on May 21, 2009.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i w:val="1"/>
          <w:iCs w:val="1"/>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i w:val="1"/>
          <w:iCs w:val="1"/>
          <w:color w:val="auto"/>
        </w:rPr>
        <w:t>. Webcast participants will need to complete a brief registration form and should allocate extra time before the webcast 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cartel-related violence, which may disrupt our production activities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markets, including the golf market;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8"/>
          </w:tcPr>
          <w:p>
            <w:pPr>
              <w:jc w:val="right"/>
              <w:ind w:right="78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7"/>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3"/>
          </w:tcPr>
          <w:p>
            <w:pPr>
              <w:jc w:val="right"/>
              <w:ind w:right="580"/>
              <w:spacing w:after="0" w:line="198" w:lineRule="exact"/>
              <w:rPr>
                <w:sz w:val="20"/>
                <w:szCs w:val="20"/>
                <w:color w:val="auto"/>
              </w:rPr>
            </w:pPr>
            <w:r>
              <w:rPr>
                <w:rFonts w:ascii="Arial" w:cs="Arial" w:eastAsia="Arial" w:hAnsi="Arial"/>
                <w:sz w:val="18"/>
                <w:szCs w:val="18"/>
                <w:b w:val="1"/>
                <w:bCs w:val="1"/>
                <w:color w:val="auto"/>
                <w:w w:val="98"/>
              </w:rPr>
              <w:t>May 1,</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w w:val="94"/>
              </w:rPr>
              <w:t>May 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right"/>
              <w:ind w:right="560"/>
              <w:spacing w:after="0" w:line="198" w:lineRule="exact"/>
              <w:rPr>
                <w:sz w:val="20"/>
                <w:szCs w:val="20"/>
                <w:color w:val="auto"/>
              </w:rPr>
            </w:pPr>
            <w:r>
              <w:rPr>
                <w:rFonts w:ascii="Arial" w:cs="Arial" w:eastAsia="Arial" w:hAnsi="Arial"/>
                <w:sz w:val="18"/>
                <w:szCs w:val="18"/>
                <w:b w:val="1"/>
                <w:bCs w:val="1"/>
                <w:color w:val="auto"/>
              </w:rPr>
              <w:t>May 1,</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1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499,852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1,044,309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161,225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279,485</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376,903</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480"/>
              <w:spacing w:after="0"/>
              <w:rPr>
                <w:sz w:val="20"/>
                <w:szCs w:val="20"/>
                <w:color w:val="auto"/>
              </w:rPr>
            </w:pPr>
            <w:r>
              <w:rPr>
                <w:rFonts w:ascii="Arial" w:cs="Arial" w:eastAsia="Arial" w:hAnsi="Arial"/>
                <w:sz w:val="18"/>
                <w:szCs w:val="18"/>
                <w:color w:val="auto"/>
              </w:rPr>
              <w:t>Gross profit percent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206,790</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242,060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ind w:left="480"/>
              <w:spacing w:after="0"/>
              <w:rPr>
                <w:sz w:val="20"/>
                <w:szCs w:val="20"/>
                <w:color w:val="auto"/>
              </w:rPr>
            </w:pPr>
            <w:r>
              <w:rPr>
                <w:rFonts w:ascii="Arial" w:cs="Arial" w:eastAsia="Arial" w:hAnsi="Arial"/>
                <w:sz w:val="18"/>
                <w:szCs w:val="18"/>
                <w:color w:val="auto"/>
              </w:rPr>
              <w:t>Earnings from operations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58,994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72,695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134,843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(8,778)</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Earnings before income taxes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66,210</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33,822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22,618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Net earnings</w:t>
            </w:r>
          </w:p>
        </w:tc>
        <w:tc>
          <w:tcPr>
            <w:tcW w:w="17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36,861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43,592</w:t>
            </w:r>
          </w:p>
        </w:tc>
        <w:tc>
          <w:tcPr>
            <w:tcW w:w="160" w:type="dxa"/>
            <w:vAlign w:val="bottom"/>
            <w:tcBorders>
              <w:righ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81,411</w:t>
            </w:r>
          </w:p>
        </w:tc>
        <w:tc>
          <w:tcPr>
            <w:tcW w:w="16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60" w:type="dxa"/>
            <w:vAlign w:val="bottom"/>
            <w:tcBorders>
              <w:righ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 net earnings per share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60" w:type="dxa"/>
            <w:vAlign w:val="bottom"/>
            <w:tcBorders>
              <w:righ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outstanding – Basic</w:t>
            </w: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36,397</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36,382</w:t>
            </w:r>
          </w:p>
        </w:tc>
        <w:tc>
          <w:tcPr>
            <w:tcW w:w="1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38,313</w:t>
            </w: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outstanding – Diluted</w:t>
            </w: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36,807</w:t>
            </w:r>
          </w:p>
        </w:tc>
        <w:tc>
          <w:tcPr>
            <w:tcW w:w="1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39,263</w:t>
            </w: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Segment Data (Unaudited)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May 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May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May 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194"/>
        </w:trPr>
        <w:tc>
          <w:tcPr>
            <w:tcW w:w="4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left="10"/>
              <w:spacing w:after="0" w:line="194" w:lineRule="exact"/>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140" w:type="dxa"/>
            <w:vAlign w:val="bottom"/>
            <w:gridSpan w:val="4"/>
            <w:vMerge w:val="restart"/>
          </w:tcPr>
          <w:p>
            <w:pPr>
              <w:spacing w:after="0"/>
              <w:rPr>
                <w:sz w:val="20"/>
                <w:szCs w:val="20"/>
                <w:color w:val="auto"/>
              </w:rPr>
            </w:pPr>
            <w:r>
              <w:rPr>
                <w:rFonts w:ascii="Arial" w:cs="Arial" w:eastAsia="Arial" w:hAnsi="Arial"/>
                <w:sz w:val="18"/>
                <w:szCs w:val="18"/>
                <w:color w:val="auto"/>
              </w:rPr>
              <w:t>Professional</w:t>
            </w: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gridSpan w:val="4"/>
            <w:vMerge w:val="continue"/>
          </w:tcPr>
          <w:p>
            <w:pPr>
              <w:spacing w:after="0"/>
              <w:rPr>
                <w:sz w:val="18"/>
                <w:szCs w:val="18"/>
                <w:color w:val="auto"/>
              </w:rPr>
            </w:pPr>
          </w:p>
        </w:tc>
        <w:tc>
          <w:tcPr>
            <w:tcW w:w="19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310,377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438,650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539,746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733,697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183,557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192,549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290,581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9,697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499,852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638,510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840,024</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1,044,309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148,756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197,770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279,147</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356,227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May 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May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May 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194"/>
        </w:trPr>
        <w:tc>
          <w:tcPr>
            <w:tcW w:w="41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Earnings (Loss) Before Income Taxes</w:t>
            </w: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left="10"/>
              <w:spacing w:after="0" w:line="194" w:lineRule="exact"/>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140" w:type="dxa"/>
            <w:vAlign w:val="bottom"/>
            <w:gridSpan w:val="4"/>
            <w:vMerge w:val="restart"/>
          </w:tcPr>
          <w:p>
            <w:pPr>
              <w:spacing w:after="0"/>
              <w:rPr>
                <w:sz w:val="20"/>
                <w:szCs w:val="20"/>
                <w:color w:val="auto"/>
              </w:rPr>
            </w:pPr>
            <w:r>
              <w:rPr>
                <w:rFonts w:ascii="Arial" w:cs="Arial" w:eastAsia="Arial" w:hAnsi="Arial"/>
                <w:sz w:val="18"/>
                <w:szCs w:val="18"/>
                <w:color w:val="auto"/>
              </w:rPr>
              <w:t>Professional</w:t>
            </w: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gridSpan w:val="4"/>
            <w:vMerge w:val="continue"/>
          </w:tcPr>
          <w:p>
            <w:pPr>
              <w:spacing w:after="0"/>
              <w:rPr>
                <w:sz w:val="18"/>
                <w:szCs w:val="18"/>
                <w:color w:val="auto"/>
              </w:rPr>
            </w:pPr>
          </w:p>
        </w:tc>
        <w:tc>
          <w:tcPr>
            <w:tcW w:w="19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96,907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86,988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16,581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21,421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(17,383)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(21,083)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(42,199)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(47,582)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56,057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96,606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66,210</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125,441</w:t>
            </w:r>
          </w:p>
        </w:tc>
        <w:tc>
          <w:tcPr>
            <w:tcW w:w="0" w:type="dxa"/>
            <w:vAlign w:val="bottom"/>
          </w:tcPr>
          <w:p>
            <w:pPr>
              <w:spacing w:after="0"/>
              <w:rPr>
                <w:sz w:val="1"/>
                <w:szCs w:val="1"/>
                <w:color w:val="auto"/>
              </w:rPr>
            </w:pPr>
          </w:p>
        </w:tc>
      </w:tr>
      <w:tr>
        <w:trPr>
          <w:trHeight w:val="1084"/>
        </w:trPr>
        <w:tc>
          <w:tcPr>
            <w:tcW w:w="20" w:type="dxa"/>
            <w:vAlign w:val="bottom"/>
          </w:tcPr>
          <w:p>
            <w:pPr>
              <w:spacing w:after="0"/>
              <w:rPr>
                <w:sz w:val="24"/>
                <w:szCs w:val="24"/>
                <w:color w:val="auto"/>
              </w:rPr>
            </w:pPr>
          </w:p>
        </w:tc>
        <w:tc>
          <w:tcPr>
            <w:tcW w:w="1400" w:type="dxa"/>
            <w:vAlign w:val="bottom"/>
            <w:tcBorders>
              <w:top w:val="single" w:sz="8" w:color="CCEEFF"/>
              <w:bottom w:val="single" w:sz="8" w:color="808080"/>
            </w:tcBorders>
          </w:tcPr>
          <w:p>
            <w:pPr>
              <w:spacing w:after="0"/>
              <w:rPr>
                <w:sz w:val="24"/>
                <w:szCs w:val="24"/>
                <w:color w:val="auto"/>
              </w:rPr>
            </w:pPr>
          </w:p>
        </w:tc>
        <w:tc>
          <w:tcPr>
            <w:tcW w:w="2160" w:type="dxa"/>
            <w:vAlign w:val="bottom"/>
            <w:tcBorders>
              <w:top w:val="single" w:sz="8" w:color="CCEEFF"/>
              <w:bottom w:val="single" w:sz="8" w:color="808080"/>
            </w:tcBorders>
          </w:tcPr>
          <w:p>
            <w:pPr>
              <w:spacing w:after="0"/>
              <w:rPr>
                <w:sz w:val="24"/>
                <w:szCs w:val="24"/>
                <w:color w:val="auto"/>
              </w:rPr>
            </w:pPr>
          </w:p>
        </w:tc>
        <w:tc>
          <w:tcPr>
            <w:tcW w:w="560" w:type="dxa"/>
            <w:vAlign w:val="bottom"/>
            <w:tcBorders>
              <w:top w:val="single" w:sz="8" w:color="CCEEFF"/>
              <w:bottom w:val="single" w:sz="8" w:color="808080"/>
            </w:tcBorders>
          </w:tcPr>
          <w:p>
            <w:pPr>
              <w:spacing w:after="0"/>
              <w:rPr>
                <w:sz w:val="24"/>
                <w:szCs w:val="24"/>
                <w:color w:val="auto"/>
              </w:rPr>
            </w:pPr>
          </w:p>
        </w:tc>
        <w:tc>
          <w:tcPr>
            <w:tcW w:w="176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860" w:type="dxa"/>
            <w:vAlign w:val="bottom"/>
            <w:tcBorders>
              <w:top w:val="single" w:sz="8" w:color="auto"/>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6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920" w:type="dxa"/>
            <w:vAlign w:val="bottom"/>
            <w:tcBorders>
              <w:top w:val="single" w:sz="8" w:color="auto"/>
              <w:bottom w:val="single" w:sz="8" w:color="808080"/>
            </w:tcBorders>
          </w:tcPr>
          <w:p>
            <w:pPr>
              <w:spacing w:after="0"/>
              <w:rPr>
                <w:sz w:val="24"/>
                <w:szCs w:val="24"/>
                <w:color w:val="auto"/>
              </w:rPr>
            </w:pPr>
          </w:p>
        </w:tc>
        <w:tc>
          <w:tcPr>
            <w:tcW w:w="16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May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00" w:type="dxa"/>
            <w:vAlign w:val="bottom"/>
            <w:gridSpan w:val="3"/>
          </w:tcPr>
          <w:p>
            <w:pPr>
              <w:spacing w:after="0" w:line="202" w:lineRule="exact"/>
              <w:rPr>
                <w:sz w:val="20"/>
                <w:szCs w:val="20"/>
                <w:color w:val="auto"/>
              </w:rPr>
            </w:pPr>
            <w:r>
              <w:rPr>
                <w:rFonts w:ascii="Arial" w:cs="Arial" w:eastAsia="Arial" w:hAnsi="Arial"/>
                <w:sz w:val="18"/>
                <w:szCs w:val="18"/>
                <w:color w:val="auto"/>
              </w:rPr>
              <w:t>ASSETS</w:t>
            </w:r>
          </w:p>
        </w:tc>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Receivables, net</w:t>
            </w: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407,801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727,358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915,004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165,564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Goodwill and other assets, net</w:t>
            </w: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111,952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5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1,011,344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1,203,887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8"/>
              </w:rPr>
              <w:t>LIABILITIES AND STOCKHOLDERS’ EQUITY</w:t>
            </w:r>
          </w:p>
        </w:tc>
        <w:tc>
          <w:tcPr>
            <w:tcW w:w="5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5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3,377</w:t>
            </w:r>
          </w:p>
        </w:tc>
        <w:tc>
          <w:tcPr>
            <w:tcW w:w="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98,592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373,791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547,177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Deferred revenue and other long-term liabilities</w:t>
            </w:r>
          </w:p>
        </w:tc>
        <w:tc>
          <w:tcPr>
            <w:tcW w:w="5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396,633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412,144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1,011,344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1,203,887</w:t>
            </w:r>
          </w:p>
        </w:tc>
        <w:tc>
          <w:tcPr>
            <w:tcW w:w="0" w:type="dxa"/>
            <w:vAlign w:val="bottom"/>
          </w:tcPr>
          <w:p>
            <w:pPr>
              <w:spacing w:after="0"/>
              <w:rPr>
                <w:sz w:val="1"/>
                <w:szCs w:val="1"/>
                <w:color w:val="auto"/>
              </w:rPr>
            </w:pPr>
          </w:p>
        </w:tc>
      </w:tr>
      <w:tr>
        <w:trPr>
          <w:trHeight w:val="1381"/>
        </w:trPr>
        <w:tc>
          <w:tcPr>
            <w:tcW w:w="20" w:type="dxa"/>
            <w:vAlign w:val="bottom"/>
          </w:tcPr>
          <w:p>
            <w:pPr>
              <w:spacing w:after="0"/>
              <w:rPr>
                <w:sz w:val="24"/>
                <w:szCs w:val="24"/>
                <w:color w:val="auto"/>
              </w:rPr>
            </w:pPr>
          </w:p>
        </w:tc>
        <w:tc>
          <w:tcPr>
            <w:tcW w:w="640" w:type="dxa"/>
            <w:vAlign w:val="bottom"/>
            <w:tcBorders>
              <w:top w:val="single" w:sz="8" w:color="CCEEFF"/>
              <w:bottom w:val="single" w:sz="8" w:color="808080"/>
            </w:tcBorders>
          </w:tcPr>
          <w:p>
            <w:pPr>
              <w:spacing w:after="0"/>
              <w:rPr>
                <w:sz w:val="24"/>
                <w:szCs w:val="24"/>
                <w:color w:val="auto"/>
              </w:rPr>
            </w:pPr>
          </w:p>
        </w:tc>
        <w:tc>
          <w:tcPr>
            <w:tcW w:w="3040" w:type="dxa"/>
            <w:vAlign w:val="bottom"/>
            <w:tcBorders>
              <w:top w:val="single" w:sz="8" w:color="CCEEFF"/>
              <w:bottom w:val="single" w:sz="8" w:color="808080"/>
            </w:tcBorders>
          </w:tcPr>
          <w:p>
            <w:pPr>
              <w:spacing w:after="0"/>
              <w:rPr>
                <w:sz w:val="24"/>
                <w:szCs w:val="24"/>
                <w:color w:val="auto"/>
              </w:rPr>
            </w:pPr>
          </w:p>
        </w:tc>
        <w:tc>
          <w:tcPr>
            <w:tcW w:w="51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8"/>
              </w:rPr>
              <w:t>May 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43,592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640"/>
              <w:spacing w:after="0"/>
              <w:rPr>
                <w:sz w:val="20"/>
                <w:szCs w:val="20"/>
                <w:color w:val="auto"/>
              </w:rPr>
            </w:pPr>
            <w:r>
              <w:rPr>
                <w:rFonts w:ascii="Arial" w:cs="Arial" w:eastAsia="Arial" w:hAnsi="Arial"/>
                <w:sz w:val="18"/>
                <w:szCs w:val="18"/>
                <w:color w:val="auto"/>
              </w:rPr>
              <w:t>used in operating activities:</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losses from investments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Provision for depreciation and amortization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21,576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Gain on sale of a business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Decrease (increase) in deferred income taxes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Receivables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(150,379)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96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(72,865)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(111,292)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Proceeds from asset disposals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investment in affiliates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Increase in other assets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a business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Acquisition, net of cash acquired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Increase in short-term debt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30,209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 net of costs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stock-based awards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20,062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(69,686)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(29,994)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29,673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52"/>
    </w:lvl>
  </w:abstractNum>
  <w:abstractNum w:abstractNumId="2">
    <w:nsid w:val="238E1F29"/>
    <w:multiLevelType w:val="hybridMultilevel"/>
    <w:lvl w:ilvl="0">
      <w:lvlJc w:val="left"/>
      <w:lvlText w:val="(%1)"/>
      <w:numFmt w:val="decimal"/>
      <w:start w:val="95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2019-12-10T05:30:32Z</dcterms:created>
  <dcterms:modified xsi:type="dcterms:W3CDTF">2019-12-10T05:30:32Z</dcterms:modified>
</cp:coreProperties>
</file>