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39"/>
        <w:spacing w:after="0"/>
        <w:rPr>
          <w:sz w:val="20"/>
          <w:szCs w:val="20"/>
          <w:color w:val="auto"/>
        </w:rPr>
      </w:pPr>
      <w:r>
        <w:rPr>
          <w:rFonts w:ascii="Courier New" w:cs="Courier New" w:eastAsia="Courier New" w:hAnsi="Courier New"/>
          <w:sz w:val="16"/>
          <w:szCs w:val="16"/>
          <w:color w:val="auto"/>
        </w:rPr>
        <w:t>FORM 11-K</w:t>
      </w:r>
    </w:p>
    <w:p>
      <w:pPr>
        <w:spacing w:after="0" w:line="198"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FOR ANNUAL REPORTS OF EMPLOYEE STOCK PURCHASE, SAVINGS</w:t>
      </w:r>
    </w:p>
    <w:p>
      <w:pPr>
        <w:spacing w:after="0" w:line="38"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AND SIMILAR PLANS PURSUANT TO SECTION 15(d) OF THE</w:t>
      </w:r>
    </w:p>
    <w:p>
      <w:pPr>
        <w:spacing w:after="0" w:line="8" w:lineRule="exact"/>
        <w:rPr>
          <w:sz w:val="24"/>
          <w:szCs w:val="24"/>
          <w:color w:val="auto"/>
        </w:rPr>
      </w:pPr>
    </w:p>
    <w:p>
      <w:pPr>
        <w:ind w:left="2460"/>
        <w:spacing w:after="0"/>
        <w:rPr>
          <w:sz w:val="20"/>
          <w:szCs w:val="20"/>
          <w:color w:val="auto"/>
        </w:rPr>
      </w:pPr>
      <w:r>
        <w:rPr>
          <w:rFonts w:ascii="Courier New" w:cs="Courier New" w:eastAsia="Courier New" w:hAnsi="Courier New"/>
          <w:sz w:val="16"/>
          <w:szCs w:val="16"/>
          <w:color w:val="auto"/>
        </w:rPr>
        <w:t>SECURITIES EXCHANGE ACT OF 1934</w:t>
      </w:r>
    </w:p>
    <w:p>
      <w:pPr>
        <w:spacing w:after="0" w:line="16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(Mark One)</w:t>
      </w:r>
    </w:p>
    <w:p>
      <w:pPr>
        <w:spacing w:after="0" w:line="38" w:lineRule="exact"/>
        <w:rPr>
          <w:sz w:val="24"/>
          <w:szCs w:val="24"/>
          <w:color w:val="auto"/>
        </w:rPr>
      </w:pPr>
    </w:p>
    <w:p>
      <w:pPr>
        <w:ind w:right="2619" w:firstLine="1"/>
        <w:spacing w:after="0" w:line="251" w:lineRule="auto"/>
        <w:tabs>
          <w:tab w:leader="none" w:pos="39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PURSUANT TO SECTION 15(d) OF THE SECURITIES EXCHANGE ACT OF 1934 (FEE REQUIRED)</w:t>
      </w:r>
    </w:p>
    <w:p>
      <w:pPr>
        <w:spacing w:after="0"/>
        <w:tabs>
          <w:tab w:leader="none" w:pos="4120" w:val="left"/>
        </w:tabs>
        <w:rPr>
          <w:sz w:val="20"/>
          <w:szCs w:val="20"/>
          <w:color w:val="auto"/>
        </w:rPr>
      </w:pPr>
      <w:r>
        <w:rPr>
          <w:rFonts w:ascii="Courier New" w:cs="Courier New" w:eastAsia="Courier New" w:hAnsi="Courier New"/>
          <w:sz w:val="16"/>
          <w:szCs w:val="16"/>
          <w:color w:val="auto"/>
        </w:rPr>
        <w:t>For the fiscal year ended</w:t>
      </w:r>
      <w:r>
        <w:rPr>
          <w:sz w:val="20"/>
          <w:szCs w:val="20"/>
          <w:color w:val="auto"/>
        </w:rPr>
        <w:tab/>
      </w:r>
      <w:r>
        <w:rPr>
          <w:rFonts w:ascii="Courier New" w:cs="Courier New" w:eastAsia="Courier New" w:hAnsi="Courier New"/>
          <w:sz w:val="16"/>
          <w:szCs w:val="16"/>
          <w:color w:val="auto"/>
        </w:rPr>
        <w:t>July 31, 1995</w:t>
      </w:r>
    </w:p>
    <w:p>
      <w:pPr>
        <w:spacing w:after="0" w:line="8" w:lineRule="exact"/>
        <w:rPr>
          <w:sz w:val="24"/>
          <w:szCs w:val="24"/>
          <w:color w:val="auto"/>
        </w:rPr>
      </w:pPr>
    </w:p>
    <w:p>
      <w:pPr>
        <w:ind w:left="24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3840"/>
        <w:spacing w:after="0"/>
        <w:rPr>
          <w:sz w:val="20"/>
          <w:szCs w:val="20"/>
          <w:color w:val="auto"/>
        </w:rPr>
      </w:pPr>
      <w:r>
        <w:rPr>
          <w:rFonts w:ascii="Courier New" w:cs="Courier New" w:eastAsia="Courier New" w:hAnsi="Courier New"/>
          <w:sz w:val="16"/>
          <w:szCs w:val="16"/>
          <w:color w:val="auto"/>
        </w:rPr>
        <w:t>OR</w:t>
      </w:r>
    </w:p>
    <w:p>
      <w:pPr>
        <w:spacing w:after="0" w:line="8" w:lineRule="exact"/>
        <w:rPr>
          <w:sz w:val="24"/>
          <w:szCs w:val="24"/>
          <w:color w:val="auto"/>
        </w:rPr>
      </w:pPr>
    </w:p>
    <w:p>
      <w:pPr>
        <w:ind w:right="2519" w:firstLine="1"/>
        <w:spacing w:after="0" w:line="251" w:lineRule="auto"/>
        <w:tabs>
          <w:tab w:leader="none" w:pos="29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15 (d) OF THE SECURITIES EXCHANGE ACT OF 1934 (NO FEE REQUIRED)</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 the transition period from ___________________________to___________________</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Commission file number_______________________________</w:t>
      </w:r>
    </w:p>
    <w:p>
      <w:pPr>
        <w:spacing w:after="0" w:line="8" w:lineRule="exact"/>
        <w:rPr>
          <w:rFonts w:ascii="Courier New" w:cs="Courier New" w:eastAsia="Courier New" w:hAnsi="Courier New"/>
          <w:sz w:val="16"/>
          <w:szCs w:val="16"/>
          <w:color w:val="auto"/>
        </w:rPr>
      </w:pPr>
    </w:p>
    <w:p>
      <w:pPr>
        <w:ind w:left="700" w:hanging="305"/>
        <w:spacing w:after="0"/>
        <w:tabs>
          <w:tab w:leader="none" w:pos="70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Toro Company Matching Stock Plan</w:t>
      </w:r>
    </w:p>
    <w:p>
      <w:pPr>
        <w:spacing w:after="0" w:line="8" w:lineRule="exact"/>
        <w:rPr>
          <w:rFonts w:ascii="Courier New" w:cs="Courier New" w:eastAsia="Courier New" w:hAnsi="Courier New"/>
          <w:sz w:val="16"/>
          <w:szCs w:val="16"/>
          <w:color w:val="auto"/>
        </w:rPr>
      </w:pPr>
    </w:p>
    <w:p>
      <w:pPr>
        <w:ind w:left="700" w:hanging="305"/>
        <w:spacing w:after="0"/>
        <w:tabs>
          <w:tab w:leader="none" w:pos="70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Toro Company</w:t>
      </w:r>
    </w:p>
    <w:p>
      <w:pPr>
        <w:spacing w:after="0" w:line="8" w:lineRule="exact"/>
        <w:rPr>
          <w:rFonts w:ascii="Courier New" w:cs="Courier New" w:eastAsia="Courier New" w:hAnsi="Courier New"/>
          <w:sz w:val="16"/>
          <w:szCs w:val="16"/>
          <w:color w:val="auto"/>
        </w:rPr>
      </w:pPr>
    </w:p>
    <w:p>
      <w:pPr>
        <w:ind w:left="700" w:right="7059"/>
        <w:spacing w:after="0" w:line="3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8111 Lyndale Avenue South Minneapolis, MN 55420</w:t>
      </w:r>
    </w:p>
    <w:p>
      <w:pPr>
        <w:spacing w:after="0" w:line="30" w:lineRule="exact"/>
        <w:rPr>
          <w:sz w:val="24"/>
          <w:szCs w:val="24"/>
          <w:color w:val="auto"/>
        </w:rPr>
      </w:pPr>
    </w:p>
    <w:p>
      <w:pPr>
        <w:ind w:left="2460"/>
        <w:spacing w:after="0"/>
        <w:rPr>
          <w:sz w:val="20"/>
          <w:szCs w:val="20"/>
          <w:color w:val="auto"/>
        </w:rPr>
      </w:pPr>
      <w:r>
        <w:rPr>
          <w:rFonts w:ascii="Courier New" w:cs="Courier New" w:eastAsia="Courier New" w:hAnsi="Courier New"/>
          <w:sz w:val="16"/>
          <w:szCs w:val="16"/>
          <w:color w:val="auto"/>
        </w:rPr>
        <w:t>REQUIRED INFORMATION</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 following financial statements are furnished for the plan:</w:t>
      </w:r>
    </w:p>
    <w:p>
      <w:pPr>
        <w:spacing w:after="0" w:line="38" w:lineRule="exact"/>
        <w:rPr>
          <w:sz w:val="24"/>
          <w:szCs w:val="24"/>
          <w:color w:val="auto"/>
        </w:rPr>
      </w:pPr>
    </w:p>
    <w:p>
      <w:pPr>
        <w:ind w:right="2439" w:firstLine="1"/>
        <w:spacing w:after="0" w:line="251" w:lineRule="auto"/>
        <w:tabs>
          <w:tab w:leader="none" w:pos="39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audited statement of financial condition as of the end of the latest two fiscal years of the plan (or such lesser period as the plan has been in existence).</w:t>
      </w:r>
    </w:p>
    <w:p>
      <w:pPr>
        <w:ind w:right="2619" w:firstLine="1"/>
        <w:spacing w:after="0" w:line="251" w:lineRule="auto"/>
        <w:tabs>
          <w:tab w:leader="none" w:pos="39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audited statement of income and changes in plan equity for each of the latest three fiscal years of the plan (or such lesser period as the plan has been in existence).</w:t>
      </w:r>
    </w:p>
    <w:p>
      <w:pPr>
        <w:ind w:right="2719" w:firstLine="1"/>
        <w:spacing w:after="0" w:line="251" w:lineRule="auto"/>
        <w:tabs>
          <w:tab w:leader="none" w:pos="39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required of Items 1 and 2 shall be prepared in accordance with the applicable provisions of Article 6A of Regulation S-X.</w:t>
      </w:r>
    </w:p>
    <w:p>
      <w:pPr>
        <w:ind w:right="2339" w:firstLine="1"/>
        <w:spacing w:after="0" w:line="268" w:lineRule="auto"/>
        <w:tabs>
          <w:tab w:leader="none" w:pos="39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lieu of the requirements of Items 1-3 above, plans subject to ERISA may file financial statements and schedules prepared in accordance with the financial reporting requirements of ERISA. To the extent required by ERISA, the plan financial statements shall be examined by an independent accountant, except that the "limited scope exemption" contained in Section 103(a)(3)(C) of ERISA shall not be available.</w:t>
      </w:r>
    </w:p>
    <w:p>
      <w:pPr>
        <w:spacing w:after="0" w:line="83" w:lineRule="exact"/>
        <w:rPr>
          <w:sz w:val="24"/>
          <w:szCs w:val="24"/>
          <w:color w:val="auto"/>
        </w:rPr>
      </w:pPr>
    </w:p>
    <w:p>
      <w:pPr>
        <w:ind w:right="2339"/>
        <w:spacing w:after="0" w:line="282" w:lineRule="auto"/>
        <w:rPr>
          <w:sz w:val="20"/>
          <w:szCs w:val="20"/>
          <w:color w:val="auto"/>
        </w:rPr>
      </w:pPr>
      <w:r>
        <w:rPr>
          <w:rFonts w:ascii="Courier New" w:cs="Courier New" w:eastAsia="Courier New" w:hAnsi="Courier New"/>
          <w:sz w:val="16"/>
          <w:szCs w:val="16"/>
          <w:color w:val="auto"/>
        </w:rPr>
        <w:t>NOTE: A written consent of the accountant is required with respect to the plan annual financial statements which have been incorporated by reference in a registration statement on Form S-8 under the Securities Act of 1933. The consent should be filed as an exhibit to this annual report. Such consent shall be currently dated and manually signed.</w:t>
      </w:r>
    </w:p>
    <w:p>
      <w:pPr>
        <w:spacing w:after="0" w:line="73"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SIGNATURES</w:t>
      </w:r>
    </w:p>
    <w:p>
      <w:pPr>
        <w:spacing w:after="0" w:line="198" w:lineRule="exact"/>
        <w:rPr>
          <w:sz w:val="24"/>
          <w:szCs w:val="24"/>
          <w:color w:val="auto"/>
        </w:rPr>
      </w:pPr>
    </w:p>
    <w:p>
      <w:pPr>
        <w:ind w:right="2519"/>
        <w:spacing w:after="0" w:line="293" w:lineRule="auto"/>
        <w:rPr>
          <w:sz w:val="20"/>
          <w:szCs w:val="20"/>
          <w:color w:val="auto"/>
        </w:rPr>
      </w:pPr>
      <w:r>
        <w:rPr>
          <w:rFonts w:ascii="Courier New" w:cs="Courier New" w:eastAsia="Courier New" w:hAnsi="Courier New"/>
          <w:sz w:val="16"/>
          <w:szCs w:val="16"/>
          <w:color w:val="auto"/>
        </w:rPr>
        <w:t>THE PLAN. 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63" w:lineRule="exact"/>
        <w:rPr>
          <w:sz w:val="24"/>
          <w:szCs w:val="24"/>
          <w:color w:val="auto"/>
        </w:rPr>
      </w:pPr>
    </w:p>
    <w:p>
      <w:pPr>
        <w:ind w:left="3940"/>
        <w:spacing w:after="0"/>
        <w:rPr>
          <w:sz w:val="20"/>
          <w:szCs w:val="20"/>
          <w:color w:val="auto"/>
        </w:rPr>
      </w:pPr>
      <w:r>
        <w:rPr>
          <w:rFonts w:ascii="Courier New" w:cs="Courier New" w:eastAsia="Courier New" w:hAnsi="Courier New"/>
          <w:sz w:val="16"/>
          <w:szCs w:val="16"/>
          <w:color w:val="auto"/>
        </w:rPr>
        <w:t>The Toro Company Matching Stock Plan</w:t>
      </w:r>
    </w:p>
    <w:p>
      <w:pPr>
        <w:spacing w:after="0" w:line="38" w:lineRule="exact"/>
        <w:rPr>
          <w:sz w:val="24"/>
          <w:szCs w:val="24"/>
          <w:color w:val="auto"/>
        </w:rPr>
      </w:pPr>
    </w:p>
    <w:p>
      <w:pPr>
        <w:ind w:left="39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4440"/>
        <w:spacing w:after="0"/>
        <w:rPr>
          <w:sz w:val="20"/>
          <w:szCs w:val="20"/>
          <w:color w:val="auto"/>
        </w:rPr>
      </w:pPr>
      <w:r>
        <w:rPr>
          <w:rFonts w:ascii="Courier New" w:cs="Courier New" w:eastAsia="Courier New" w:hAnsi="Courier New"/>
          <w:sz w:val="16"/>
          <w:szCs w:val="16"/>
          <w:color w:val="auto"/>
        </w:rPr>
        <w:t>(Name of Plan)</w:t>
      </w:r>
    </w:p>
    <w:p>
      <w:pPr>
        <w:sectPr>
          <w:pgSz w:w="11900" w:h="16838" w:orient="portrait"/>
          <w:cols w:equalWidth="0" w:num="1">
            <w:col w:w="10219"/>
          </w:cols>
          <w:pgMar w:left="240" w:top="402" w:right="1440" w:bottom="1440" w:gutter="0" w:footer="0" w:header="0"/>
        </w:sectPr>
      </w:pPr>
    </w:p>
    <w:p>
      <w:pPr>
        <w:spacing w:after="0" w:line="35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January 26, 1996</w:t>
      </w:r>
    </w:p>
    <w:p>
      <w:pPr>
        <w:spacing w:after="0" w:line="3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 Gerald T. Knight</w:t>
      </w:r>
    </w:p>
    <w:p>
      <w:pPr>
        <w:spacing w:after="0" w:line="3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Gerald T. Knight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Vice President - Finance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Chief Financial Officer</w:t>
      </w:r>
    </w:p>
    <w:p>
      <w:pPr>
        <w:sectPr>
          <w:pgSz w:w="11900" w:h="16838" w:orient="portrait"/>
          <w:cols w:equalWidth="0" w:num="3">
            <w:col w:w="400" w:space="200"/>
            <w:col w:w="2620" w:space="720"/>
            <w:col w:w="6279"/>
          </w:cols>
          <w:pgMar w:left="240" w:top="402" w:right="1440" w:bottom="1440" w:gutter="0" w:footer="0" w:header="0"/>
          <w:type w:val="continuous"/>
        </w:sectPr>
      </w:pPr>
    </w:p>
    <w:bookmarkStart w:id="1" w:name="page2"/>
    <w:bookmarkEnd w:id="1"/>
    <w:p>
      <w:pPr>
        <w:ind w:left="1360"/>
        <w:spacing w:after="0"/>
        <w:rPr>
          <w:sz w:val="20"/>
          <w:szCs w:val="20"/>
          <w:color w:val="auto"/>
        </w:rPr>
      </w:pPr>
      <w:r>
        <w:rPr>
          <w:rFonts w:ascii="Courier New" w:cs="Courier New" w:eastAsia="Courier New" w:hAnsi="Courier New"/>
          <w:sz w:val="16"/>
          <w:szCs w:val="16"/>
          <w:color w:val="auto"/>
        </w:rPr>
        <w:t>THE TORO COMPANY MATCHING STOCK PLAN</w:t>
      </w:r>
    </w:p>
    <w:p>
      <w:pPr>
        <w:sectPr>
          <w:pgSz w:w="11900" w:h="16838" w:orient="portrait"/>
          <w:cols w:equalWidth="0" w:num="1">
            <w:col w:w="9019"/>
          </w:cols>
          <w:pgMar w:left="1440" w:top="655" w:right="1440" w:bottom="1440" w:gutter="0" w:footer="0" w:header="0"/>
        </w:sectPr>
      </w:pPr>
    </w:p>
    <w:p>
      <w:pPr>
        <w:spacing w:after="0" w:line="19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Financial Statements</w:t>
      </w:r>
    </w:p>
    <w:p>
      <w:pPr>
        <w:spacing w:after="0" w:line="3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July 31, 1995 and 1994</w:t>
      </w:r>
    </w:p>
    <w:p>
      <w:pPr>
        <w:sectPr>
          <w:pgSz w:w="11900" w:h="16838" w:orient="portrait"/>
          <w:cols w:equalWidth="0" w:num="1">
            <w:col w:w="9019"/>
          </w:cols>
          <w:pgMar w:left="1440" w:top="655" w:right="1440" w:bottom="1440" w:gutter="0" w:footer="0" w:header="0"/>
          <w:type w:val="continuous"/>
        </w:sectPr>
      </w:pPr>
    </w:p>
    <w:bookmarkStart w:id="2" w:name="page3"/>
    <w:bookmarkEnd w:id="2"/>
    <w:p>
      <w:pPr>
        <w:ind w:left="2560"/>
        <w:spacing w:after="0"/>
        <w:rPr>
          <w:sz w:val="20"/>
          <w:szCs w:val="20"/>
          <w:color w:val="auto"/>
        </w:rPr>
      </w:pPr>
      <w:r>
        <w:rPr>
          <w:rFonts w:ascii="Courier New" w:cs="Courier New" w:eastAsia="Courier New" w:hAnsi="Courier New"/>
          <w:sz w:val="16"/>
          <w:szCs w:val="16"/>
          <w:color w:val="auto"/>
        </w:rPr>
        <w:t>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Plan Administrator</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Toro Company Matching Stock Plan:</w:t>
      </w:r>
    </w:p>
    <w:p>
      <w:pPr>
        <w:spacing w:after="0" w:line="358" w:lineRule="exact"/>
        <w:rPr>
          <w:sz w:val="20"/>
          <w:szCs w:val="20"/>
          <w:color w:val="auto"/>
        </w:rPr>
      </w:pPr>
    </w:p>
    <w:p>
      <w:pPr>
        <w:ind w:right="2339"/>
        <w:spacing w:after="0" w:line="272" w:lineRule="auto"/>
        <w:rPr>
          <w:sz w:val="20"/>
          <w:szCs w:val="20"/>
          <w:color w:val="auto"/>
        </w:rPr>
      </w:pPr>
      <w:r>
        <w:rPr>
          <w:rFonts w:ascii="Courier New" w:cs="Courier New" w:eastAsia="Courier New" w:hAnsi="Courier New"/>
          <w:sz w:val="16"/>
          <w:szCs w:val="16"/>
          <w:color w:val="auto"/>
        </w:rPr>
        <w:t>We have audited the accompanying statements of net assets available for plan benefits of the Toro Company Matching Stock Plan (the Plan) as of July 31, 1995 and 1994, and the related statements of changes in net assets available for plan benefits for each of the years in the three-year period ended July 31, 1995. These financial statements are the responsibility of the Plan's management. Our responsibility is to express an opinion on these financial statements based on our audits.</w:t>
      </w:r>
    </w:p>
    <w:p>
      <w:pPr>
        <w:spacing w:after="0" w:line="79" w:lineRule="exact"/>
        <w:rPr>
          <w:sz w:val="20"/>
          <w:szCs w:val="20"/>
          <w:color w:val="auto"/>
        </w:rPr>
      </w:pPr>
    </w:p>
    <w:p>
      <w:pPr>
        <w:ind w:right="2339"/>
        <w:spacing w:after="0" w:line="269"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1" w:lineRule="exact"/>
        <w:rPr>
          <w:sz w:val="20"/>
          <w:szCs w:val="20"/>
          <w:color w:val="auto"/>
        </w:rPr>
      </w:pPr>
    </w:p>
    <w:p>
      <w:pPr>
        <w:ind w:right="2339"/>
        <w:spacing w:after="0" w:line="282"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net assets available for plan benefits as of July 31, 1995 and 1994, and the changes in net assets available for plan benefits for each of the years in the three-year period ended July 31, 1995 in conformity with generally accepted accounting principles.</w:t>
      </w:r>
    </w:p>
    <w:p>
      <w:pPr>
        <w:spacing w:after="0" w:line="73" w:lineRule="exact"/>
        <w:rPr>
          <w:sz w:val="20"/>
          <w:szCs w:val="20"/>
          <w:color w:val="auto"/>
        </w:rPr>
      </w:pPr>
    </w:p>
    <w:p>
      <w:pPr>
        <w:ind w:right="2339"/>
        <w:spacing w:after="0" w:line="260" w:lineRule="auto"/>
        <w:rPr>
          <w:sz w:val="20"/>
          <w:szCs w:val="20"/>
          <w:color w:val="auto"/>
        </w:rPr>
      </w:pPr>
      <w:r>
        <w:rPr>
          <w:rFonts w:ascii="Courier New" w:cs="Courier New" w:eastAsia="Courier New" w:hAnsi="Courier New"/>
          <w:sz w:val="16"/>
          <w:szCs w:val="16"/>
          <w:color w:val="auto"/>
        </w:rPr>
        <w:t>Our audits were performed for the purpose of forming an opinion on the basic financial statements taken as a whole. The supplemental schedules of assets held for investment purposes and reportable transactions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 fund information in the statement of net assets available for plan benefits and the statement of changes in net assets available for plan benefits is presented for purposes of additional analysis rather than to present the net assets available for plan benefits and changes in net assets available for plan benefits of each fund. The supplemental schedules and fund information have been subjected to the auditing procedures applied in the audits of the basic financial statements and, in our opinion, are fairly stated in all material respects in relation to the basic financial statements taken as a whole.</w:t>
      </w:r>
    </w:p>
    <w:p>
      <w:pPr>
        <w:spacing w:after="0" w:line="200" w:lineRule="exact"/>
        <w:rPr>
          <w:sz w:val="20"/>
          <w:szCs w:val="20"/>
          <w:color w:val="auto"/>
        </w:rPr>
      </w:pPr>
    </w:p>
    <w:p>
      <w:pPr>
        <w:spacing w:after="0" w:line="27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KPMG Peat Marwick LLP</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19, 1996</w:t>
      </w:r>
    </w:p>
    <w:p>
      <w:pPr>
        <w:sectPr>
          <w:pgSz w:w="11900" w:h="16838" w:orient="portrait"/>
          <w:cols w:equalWidth="0" w:num="1">
            <w:col w:w="10219"/>
          </w:cols>
          <w:pgMar w:left="240" w:top="655" w:right="1440" w:bottom="1440" w:gutter="0" w:footer="0" w:header="0"/>
        </w:sectPr>
      </w:pPr>
    </w:p>
    <w:bookmarkStart w:id="3" w:name="page4"/>
    <w:bookmarkEnd w:id="3"/>
    <w:p>
      <w:pPr>
        <w:ind w:left="2180"/>
        <w:spacing w:after="0"/>
        <w:rPr>
          <w:sz w:val="20"/>
          <w:szCs w:val="20"/>
          <w:color w:val="auto"/>
        </w:rPr>
      </w:pPr>
      <w:r>
        <w:rPr>
          <w:rFonts w:ascii="Courier New" w:cs="Courier New" w:eastAsia="Courier New" w:hAnsi="Courier New"/>
          <w:sz w:val="16"/>
          <w:szCs w:val="16"/>
          <w:color w:val="auto"/>
        </w:rPr>
        <w:t>THE TORO COMPANY MATCHING STOCK PLAN</w:t>
      </w:r>
    </w:p>
    <w:p>
      <w:pPr>
        <w:spacing w:after="0" w:line="19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Statement of Net Assets Available for Plan Benefits</w:t>
      </w:r>
    </w:p>
    <w:p>
      <w:pPr>
        <w:spacing w:after="0" w:line="19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July 31,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4540" w:type="dxa"/>
        <w:tblCellMar>
          <w:top w:w="0" w:type="dxa"/>
          <w:left w:w="0" w:type="dxa"/>
          <w:bottom w:w="0" w:type="dxa"/>
          <w:right w:w="0" w:type="dxa"/>
        </w:tblCellMar>
      </w:tblPr>
      <w:tr>
        <w:trPr>
          <w:trHeight w:val="190"/>
        </w:trPr>
        <w:tc>
          <w:tcPr>
            <w:tcW w:w="1280" w:type="dxa"/>
            <w:vAlign w:val="bottom"/>
            <w:gridSpan w:val="2"/>
          </w:tcPr>
          <w:p>
            <w:pPr>
              <w:spacing w:after="0"/>
              <w:rPr>
                <w:sz w:val="20"/>
                <w:szCs w:val="20"/>
                <w:color w:val="auto"/>
              </w:rPr>
            </w:pPr>
            <w:r>
              <w:rPr>
                <w:rFonts w:ascii="Courier New" w:cs="Courier New" w:eastAsia="Courier New" w:hAnsi="Courier New"/>
                <w:sz w:val="16"/>
                <w:szCs w:val="16"/>
                <w:color w:val="auto"/>
              </w:rPr>
              <w:t>Toro Stable</w:t>
            </w:r>
          </w:p>
        </w:tc>
        <w:tc>
          <w:tcPr>
            <w:tcW w:w="98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rPr>
              <w:t>Growth</w:t>
            </w:r>
          </w:p>
        </w:tc>
        <w:tc>
          <w:tcPr>
            <w:tcW w:w="1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80" w:type="dxa"/>
            <w:vAlign w:val="bottom"/>
          </w:tcPr>
          <w:p>
            <w:pPr>
              <w:spacing w:after="0"/>
              <w:rPr>
                <w:sz w:val="20"/>
                <w:szCs w:val="20"/>
                <w:color w:val="auto"/>
              </w:rPr>
            </w:pPr>
            <w:r>
              <w:rPr>
                <w:rFonts w:ascii="Courier New" w:cs="Courier New" w:eastAsia="Courier New" w:hAnsi="Courier New"/>
                <w:sz w:val="16"/>
                <w:szCs w:val="16"/>
                <w:color w:val="auto"/>
              </w:rPr>
              <w:t>Value</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Fund/</w:t>
            </w:r>
          </w:p>
        </w:tc>
        <w:tc>
          <w:tcPr>
            <w:tcW w:w="980" w:type="dxa"/>
            <w:vAlign w:val="bottom"/>
            <w:vMerge w:val="continue"/>
          </w:tcPr>
          <w:p>
            <w:pPr>
              <w:spacing w:after="0"/>
              <w:rPr>
                <w:sz w:val="16"/>
                <w:szCs w:val="16"/>
                <w:color w:val="auto"/>
              </w:rPr>
            </w:pPr>
          </w:p>
        </w:tc>
        <w:tc>
          <w:tcPr>
            <w:tcW w:w="1580" w:type="dxa"/>
            <w:vAlign w:val="bottom"/>
            <w:vMerge w:val="restart"/>
          </w:tcPr>
          <w:p>
            <w:pPr>
              <w:ind w:left="400"/>
              <w:spacing w:after="0"/>
              <w:rPr>
                <w:sz w:val="20"/>
                <w:szCs w:val="20"/>
                <w:color w:val="auto"/>
              </w:rPr>
            </w:pPr>
            <w:r>
              <w:rPr>
                <w:rFonts w:ascii="Courier New" w:cs="Courier New" w:eastAsia="Courier New" w:hAnsi="Courier New"/>
                <w:sz w:val="16"/>
                <w:szCs w:val="16"/>
                <w:color w:val="auto"/>
              </w:rPr>
              <w:t>The Toro</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80" w:type="dxa"/>
            <w:vAlign w:val="bottom"/>
          </w:tcPr>
          <w:p>
            <w:pPr>
              <w:ind w:left="200"/>
              <w:spacing w:after="0"/>
              <w:rPr>
                <w:sz w:val="20"/>
                <w:szCs w:val="20"/>
                <w:color w:val="auto"/>
              </w:rPr>
            </w:pPr>
            <w:r>
              <w:rPr>
                <w:rFonts w:ascii="Courier New" w:cs="Courier New" w:eastAsia="Courier New" w:hAnsi="Courier New"/>
                <w:sz w:val="16"/>
                <w:szCs w:val="16"/>
                <w:color w:val="auto"/>
                <w:w w:val="93"/>
              </w:rPr>
              <w:t>Toro</w:t>
            </w:r>
          </w:p>
        </w:tc>
        <w:tc>
          <w:tcPr>
            <w:tcW w:w="700" w:type="dxa"/>
            <w:vAlign w:val="bottom"/>
          </w:tcPr>
          <w:p>
            <w:pPr>
              <w:spacing w:after="0"/>
              <w:rPr>
                <w:sz w:val="16"/>
                <w:szCs w:val="16"/>
                <w:color w:val="auto"/>
              </w:rPr>
            </w:pPr>
          </w:p>
        </w:tc>
        <w:tc>
          <w:tcPr>
            <w:tcW w:w="980" w:type="dxa"/>
            <w:vAlign w:val="bottom"/>
          </w:tcPr>
          <w:p>
            <w:pPr>
              <w:ind w:left="300"/>
              <w:spacing w:after="0"/>
              <w:rPr>
                <w:sz w:val="20"/>
                <w:szCs w:val="20"/>
                <w:color w:val="auto"/>
              </w:rPr>
            </w:pPr>
            <w:r>
              <w:rPr>
                <w:rFonts w:ascii="Courier New" w:cs="Courier New" w:eastAsia="Courier New" w:hAnsi="Courier New"/>
                <w:sz w:val="16"/>
                <w:szCs w:val="16"/>
                <w:color w:val="auto"/>
              </w:rPr>
              <w:t>and</w:t>
            </w:r>
          </w:p>
        </w:tc>
        <w:tc>
          <w:tcPr>
            <w:tcW w:w="158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80" w:type="dxa"/>
            <w:vAlign w:val="bottom"/>
            <w:gridSpan w:val="2"/>
          </w:tcPr>
          <w:p>
            <w:pPr>
              <w:spacing w:after="0"/>
              <w:rPr>
                <w:sz w:val="20"/>
                <w:szCs w:val="20"/>
                <w:color w:val="auto"/>
              </w:rPr>
            </w:pPr>
            <w:r>
              <w:rPr>
                <w:rFonts w:ascii="Courier New" w:cs="Courier New" w:eastAsia="Courier New" w:hAnsi="Courier New"/>
                <w:sz w:val="16"/>
                <w:szCs w:val="16"/>
                <w:color w:val="auto"/>
              </w:rPr>
              <w:t>Investment</w:t>
            </w: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rPr>
              <w:t>Income</w:t>
            </w:r>
          </w:p>
        </w:tc>
        <w:tc>
          <w:tcPr>
            <w:tcW w:w="1580" w:type="dxa"/>
            <w:vAlign w:val="bottom"/>
          </w:tcPr>
          <w:p>
            <w:pPr>
              <w:ind w:left="400"/>
              <w:spacing w:after="0"/>
              <w:rPr>
                <w:sz w:val="20"/>
                <w:szCs w:val="20"/>
                <w:color w:val="auto"/>
              </w:rPr>
            </w:pPr>
            <w:r>
              <w:rPr>
                <w:rFonts w:ascii="Courier New" w:cs="Courier New" w:eastAsia="Courier New" w:hAnsi="Courier New"/>
                <w:sz w:val="16"/>
                <w:szCs w:val="16"/>
                <w:color w:val="auto"/>
              </w:rPr>
              <w:t>Company</w:t>
            </w:r>
          </w:p>
        </w:tc>
        <w:tc>
          <w:tcPr>
            <w:tcW w:w="700" w:type="dxa"/>
            <w:vAlign w:val="bottom"/>
            <w:vMerge w:val="restart"/>
          </w:tcPr>
          <w:p>
            <w:pPr>
              <w:ind w:left="200"/>
              <w:spacing w:after="0"/>
              <w:rPr>
                <w:sz w:val="20"/>
                <w:szCs w:val="20"/>
                <w:color w:val="auto"/>
              </w:rPr>
            </w:pPr>
            <w:r>
              <w:rPr>
                <w:rFonts w:ascii="Courier New" w:cs="Courier New" w:eastAsia="Courier New" w:hAnsi="Courier New"/>
                <w:sz w:val="16"/>
                <w:szCs w:val="16"/>
                <w:color w:val="auto"/>
                <w:w w:val="99"/>
              </w:rPr>
              <w:t>Total</w:t>
            </w:r>
          </w:p>
        </w:tc>
        <w:tc>
          <w:tcPr>
            <w:tcW w:w="0" w:type="dxa"/>
            <w:vAlign w:val="bottom"/>
          </w:tcPr>
          <w:p>
            <w:pPr>
              <w:spacing w:after="0"/>
              <w:rPr>
                <w:sz w:val="1"/>
                <w:szCs w:val="1"/>
                <w:color w:val="auto"/>
              </w:rPr>
            </w:pPr>
          </w:p>
        </w:tc>
      </w:tr>
      <w:tr>
        <w:trPr>
          <w:trHeight w:val="220"/>
        </w:trPr>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Fund</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A</w:t>
            </w: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w w:val="98"/>
              </w:rPr>
              <w:t>Fund</w:t>
            </w:r>
          </w:p>
        </w:tc>
        <w:tc>
          <w:tcPr>
            <w:tcW w:w="1580" w:type="dxa"/>
            <w:vAlign w:val="bottom"/>
          </w:tcPr>
          <w:p>
            <w:pPr>
              <w:ind w:left="200"/>
              <w:spacing w:after="0"/>
              <w:rPr>
                <w:sz w:val="20"/>
                <w:szCs w:val="20"/>
                <w:color w:val="auto"/>
              </w:rPr>
            </w:pPr>
            <w:r>
              <w:rPr>
                <w:rFonts w:ascii="Courier New" w:cs="Courier New" w:eastAsia="Courier New" w:hAnsi="Courier New"/>
                <w:sz w:val="16"/>
                <w:szCs w:val="16"/>
                <w:color w:val="auto"/>
              </w:rPr>
              <w:t>Common Stock</w:t>
            </w: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52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$ 158,784</w:t>
            </w:r>
          </w:p>
        </w:tc>
        <w:tc>
          <w:tcPr>
            <w:tcW w:w="1140" w:type="dxa"/>
            <w:vAlign w:val="bottom"/>
            <w:vMerge w:val="restart"/>
          </w:tcPr>
          <w:p>
            <w:pPr>
              <w:jc w:val="right"/>
              <w:ind w:right="178"/>
              <w:spacing w:after="0"/>
              <w:rPr>
                <w:sz w:val="20"/>
                <w:szCs w:val="20"/>
                <w:color w:val="auto"/>
              </w:rPr>
            </w:pPr>
            <w:r>
              <w:rPr>
                <w:rFonts w:ascii="Courier New" w:cs="Courier New" w:eastAsia="Courier New" w:hAnsi="Courier New"/>
                <w:sz w:val="16"/>
                <w:szCs w:val="16"/>
                <w:color w:val="auto"/>
              </w:rPr>
              <w:t>47,117</w:t>
            </w:r>
          </w:p>
        </w:tc>
        <w:tc>
          <w:tcPr>
            <w:tcW w:w="142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12,375,908</w:t>
            </w:r>
          </w:p>
        </w:tc>
        <w:tc>
          <w:tcPr>
            <w:tcW w:w="118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12,581,809</w:t>
            </w:r>
          </w:p>
        </w:tc>
        <w:tc>
          <w:tcPr>
            <w:tcW w:w="0" w:type="dxa"/>
            <w:vAlign w:val="bottom"/>
          </w:tcPr>
          <w:p>
            <w:pPr>
              <w:spacing w:after="0"/>
              <w:rPr>
                <w:sz w:val="1"/>
                <w:szCs w:val="1"/>
                <w:color w:val="auto"/>
              </w:rPr>
            </w:pPr>
          </w:p>
        </w:tc>
      </w:tr>
      <w:tr>
        <w:trPr>
          <w:trHeight w:val="190"/>
        </w:trPr>
        <w:tc>
          <w:tcPr>
            <w:tcW w:w="4200" w:type="dxa"/>
            <w:vAlign w:val="bottom"/>
          </w:tcPr>
          <w:p>
            <w:pPr>
              <w:ind w:left="300"/>
              <w:spacing w:after="0"/>
              <w:rPr>
                <w:sz w:val="20"/>
                <w:szCs w:val="20"/>
                <w:color w:val="auto"/>
              </w:rPr>
            </w:pPr>
            <w:r>
              <w:rPr>
                <w:rFonts w:ascii="Courier New" w:cs="Courier New" w:eastAsia="Courier New" w:hAnsi="Courier New"/>
                <w:sz w:val="16"/>
                <w:szCs w:val="16"/>
                <w:color w:val="auto"/>
              </w:rPr>
              <w:t>Investments held by trustee (note 6)</w:t>
            </w:r>
          </w:p>
        </w:tc>
        <w:tc>
          <w:tcPr>
            <w:tcW w:w="152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00" w:type="dxa"/>
            <w:vAlign w:val="bottom"/>
          </w:tcPr>
          <w:p>
            <w:pPr>
              <w:ind w:left="300"/>
              <w:spacing w:after="0"/>
              <w:rPr>
                <w:sz w:val="20"/>
                <w:szCs w:val="20"/>
                <w:color w:val="auto"/>
              </w:rPr>
            </w:pPr>
            <w:r>
              <w:rPr>
                <w:rFonts w:ascii="Courier New" w:cs="Courier New" w:eastAsia="Courier New" w:hAnsi="Courier New"/>
                <w:sz w:val="16"/>
                <w:szCs w:val="16"/>
                <w:color w:val="auto"/>
              </w:rPr>
              <w:t>Employer contribution receivable</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0</w:t>
            </w:r>
          </w:p>
        </w:tc>
        <w:tc>
          <w:tcPr>
            <w:tcW w:w="11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0</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350,814</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350,814</w:t>
            </w:r>
          </w:p>
        </w:tc>
        <w:tc>
          <w:tcPr>
            <w:tcW w:w="0" w:type="dxa"/>
            <w:vAlign w:val="bottom"/>
          </w:tcPr>
          <w:p>
            <w:pPr>
              <w:spacing w:after="0"/>
              <w:rPr>
                <w:sz w:val="1"/>
                <w:szCs w:val="1"/>
                <w:color w:val="auto"/>
              </w:rPr>
            </w:pPr>
          </w:p>
        </w:tc>
      </w:tr>
      <w:tr>
        <w:trPr>
          <w:trHeight w:val="190"/>
        </w:trPr>
        <w:tc>
          <w:tcPr>
            <w:tcW w:w="4200" w:type="dxa"/>
            <w:vAlign w:val="bottom"/>
          </w:tcPr>
          <w:p>
            <w:pPr>
              <w:ind w:left="300"/>
              <w:spacing w:after="0"/>
              <w:rPr>
                <w:sz w:val="20"/>
                <w:szCs w:val="20"/>
                <w:color w:val="auto"/>
              </w:rPr>
            </w:pPr>
            <w:r>
              <w:rPr>
                <w:rFonts w:ascii="Courier New" w:cs="Courier New" w:eastAsia="Courier New" w:hAnsi="Courier New"/>
                <w:sz w:val="16"/>
                <w:szCs w:val="16"/>
                <w:color w:val="auto"/>
              </w:rPr>
              <w:t>Unallocated contributions receivable</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0</w:t>
            </w:r>
          </w:p>
        </w:tc>
        <w:tc>
          <w:tcPr>
            <w:tcW w:w="11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0</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71,666</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71,666</w:t>
            </w:r>
          </w:p>
        </w:tc>
        <w:tc>
          <w:tcPr>
            <w:tcW w:w="0" w:type="dxa"/>
            <w:vAlign w:val="bottom"/>
          </w:tcPr>
          <w:p>
            <w:pPr>
              <w:spacing w:after="0"/>
              <w:rPr>
                <w:sz w:val="1"/>
                <w:szCs w:val="1"/>
                <w:color w:val="auto"/>
              </w:rPr>
            </w:pPr>
          </w:p>
        </w:tc>
      </w:tr>
      <w:tr>
        <w:trPr>
          <w:trHeight w:val="220"/>
        </w:trPr>
        <w:tc>
          <w:tcPr>
            <w:tcW w:w="4200" w:type="dxa"/>
            <w:vAlign w:val="bottom"/>
          </w:tcPr>
          <w:p>
            <w:pPr>
              <w:ind w:left="300"/>
              <w:spacing w:after="0"/>
              <w:rPr>
                <w:sz w:val="20"/>
                <w:szCs w:val="20"/>
                <w:color w:val="auto"/>
              </w:rPr>
            </w:pPr>
            <w:r>
              <w:rPr>
                <w:rFonts w:ascii="Courier New" w:cs="Courier New" w:eastAsia="Courier New" w:hAnsi="Courier New"/>
                <w:sz w:val="16"/>
                <w:szCs w:val="16"/>
                <w:color w:val="auto"/>
              </w:rPr>
              <w:t>Forfeitures payable</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0</w:t>
            </w:r>
          </w:p>
        </w:tc>
        <w:tc>
          <w:tcPr>
            <w:tcW w:w="11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0</w:t>
            </w:r>
          </w:p>
        </w:tc>
        <w:tc>
          <w:tcPr>
            <w:tcW w:w="14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(25,526)</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(25,526)</w:t>
            </w:r>
          </w:p>
        </w:tc>
        <w:tc>
          <w:tcPr>
            <w:tcW w:w="0" w:type="dxa"/>
            <w:vAlign w:val="bottom"/>
          </w:tcPr>
          <w:p>
            <w:pPr>
              <w:spacing w:after="0"/>
              <w:rPr>
                <w:sz w:val="1"/>
                <w:szCs w:val="1"/>
                <w:color w:val="auto"/>
              </w:rPr>
            </w:pPr>
          </w:p>
        </w:tc>
      </w:tr>
    </w:tbl>
    <w:p>
      <w:pPr>
        <w:ind w:left="200" w:hanging="199"/>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7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Net assets available for</w:t>
      </w:r>
    </w:p>
    <w:p>
      <w:pPr>
        <w:spacing w:after="0" w:line="8" w:lineRule="exact"/>
        <w:rPr>
          <w:sz w:val="20"/>
          <w:szCs w:val="20"/>
          <w:color w:val="auto"/>
        </w:rPr>
      </w:pPr>
    </w:p>
    <w:tbl>
      <w:tblPr>
        <w:tblLayout w:type="fixed"/>
        <w:tblInd w:w="880" w:type="dxa"/>
        <w:tblCellMar>
          <w:top w:w="0" w:type="dxa"/>
          <w:left w:w="0" w:type="dxa"/>
          <w:bottom w:w="0" w:type="dxa"/>
          <w:right w:w="0" w:type="dxa"/>
        </w:tblCellMar>
      </w:tblPr>
      <w:tr>
        <w:trPr>
          <w:trHeight w:val="190"/>
        </w:trPr>
        <w:tc>
          <w:tcPr>
            <w:tcW w:w="2480" w:type="dxa"/>
            <w:vAlign w:val="bottom"/>
          </w:tcPr>
          <w:p>
            <w:pPr>
              <w:spacing w:after="0"/>
              <w:rPr>
                <w:sz w:val="20"/>
                <w:szCs w:val="20"/>
                <w:color w:val="auto"/>
              </w:rPr>
            </w:pPr>
            <w:r>
              <w:rPr>
                <w:rFonts w:ascii="Courier New" w:cs="Courier New" w:eastAsia="Courier New" w:hAnsi="Courier New"/>
                <w:sz w:val="16"/>
                <w:szCs w:val="16"/>
                <w:color w:val="auto"/>
              </w:rPr>
              <w:t>plan benefits</w:t>
            </w:r>
          </w:p>
        </w:tc>
        <w:tc>
          <w:tcPr>
            <w:tcW w:w="236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$ 158,784</w:t>
            </w:r>
          </w:p>
        </w:tc>
        <w:tc>
          <w:tcPr>
            <w:tcW w:w="11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47,117</w:t>
            </w:r>
          </w:p>
        </w:tc>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12,772,862   12,978,763</w:t>
            </w:r>
          </w:p>
        </w:tc>
      </w:tr>
    </w:tbl>
    <w:p>
      <w:pPr>
        <w:ind w:left="200" w:hanging="199"/>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financial statements.</w:t>
      </w:r>
    </w:p>
    <w:p>
      <w:pPr>
        <w:sectPr>
          <w:pgSz w:w="11900" w:h="16838" w:orient="portrait"/>
          <w:cols w:equalWidth="0" w:num="1">
            <w:col w:w="10219"/>
          </w:cols>
          <w:pgMar w:left="240" w:top="655" w:right="1440" w:bottom="1440" w:gutter="0" w:footer="0" w:header="0"/>
        </w:sectPr>
      </w:pPr>
    </w:p>
    <w:bookmarkStart w:id="4" w:name="page5"/>
    <w:bookmarkEnd w:id="4"/>
    <w:p>
      <w:pPr>
        <w:ind w:left="2180"/>
        <w:spacing w:after="0"/>
        <w:rPr>
          <w:sz w:val="20"/>
          <w:szCs w:val="20"/>
          <w:color w:val="auto"/>
        </w:rPr>
      </w:pPr>
      <w:r>
        <w:rPr>
          <w:rFonts w:ascii="Courier New" w:cs="Courier New" w:eastAsia="Courier New" w:hAnsi="Courier New"/>
          <w:sz w:val="16"/>
          <w:szCs w:val="16"/>
          <w:color w:val="auto"/>
        </w:rPr>
        <w:t>THE TORO COMPANY MATCHING STOCK PLAN</w:t>
      </w:r>
    </w:p>
    <w:p>
      <w:pPr>
        <w:spacing w:after="0" w:line="19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Statement of Net Assets Available for Plan Benefits</w:t>
      </w:r>
    </w:p>
    <w:p>
      <w:pPr>
        <w:spacing w:after="0" w:line="19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July 31, 1994</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4840" w:type="dxa"/>
        <w:tblCellMar>
          <w:top w:w="0" w:type="dxa"/>
          <w:left w:w="0" w:type="dxa"/>
          <w:bottom w:w="0" w:type="dxa"/>
          <w:right w:w="0" w:type="dxa"/>
        </w:tblCellMar>
      </w:tblPr>
      <w:tr>
        <w:trPr>
          <w:trHeight w:val="190"/>
        </w:trPr>
        <w:tc>
          <w:tcPr>
            <w:tcW w:w="64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Toro</w:t>
            </w:r>
          </w:p>
        </w:tc>
        <w:tc>
          <w:tcPr>
            <w:tcW w:w="480" w:type="dxa"/>
            <w:vAlign w:val="bottom"/>
          </w:tcPr>
          <w:p>
            <w:pPr>
              <w:spacing w:after="0"/>
              <w:rPr>
                <w:sz w:val="16"/>
                <w:szCs w:val="16"/>
                <w:color w:val="auto"/>
              </w:rPr>
            </w:pPr>
          </w:p>
        </w:tc>
        <w:tc>
          <w:tcPr>
            <w:tcW w:w="124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rPr>
              <w:t>Toro</w:t>
            </w: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The Toro</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4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Company</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20" w:type="dxa"/>
            <w:vAlign w:val="bottom"/>
            <w:gridSpan w:val="2"/>
          </w:tcPr>
          <w:p>
            <w:pPr>
              <w:spacing w:after="0"/>
              <w:rPr>
                <w:sz w:val="20"/>
                <w:szCs w:val="20"/>
                <w:color w:val="auto"/>
              </w:rPr>
            </w:pPr>
            <w:r>
              <w:rPr>
                <w:rFonts w:ascii="Courier New" w:cs="Courier New" w:eastAsia="Courier New" w:hAnsi="Courier New"/>
                <w:sz w:val="16"/>
                <w:szCs w:val="16"/>
                <w:color w:val="auto"/>
              </w:rPr>
              <w:t>Investment</w:t>
            </w:r>
          </w:p>
        </w:tc>
        <w:tc>
          <w:tcPr>
            <w:tcW w:w="1240" w:type="dxa"/>
            <w:vAlign w:val="bottom"/>
          </w:tcPr>
          <w:p>
            <w:pPr>
              <w:jc w:val="center"/>
              <w:spacing w:after="0"/>
              <w:rPr>
                <w:sz w:val="20"/>
                <w:szCs w:val="20"/>
                <w:color w:val="auto"/>
              </w:rPr>
            </w:pPr>
            <w:r>
              <w:rPr>
                <w:rFonts w:ascii="Courier New" w:cs="Courier New" w:eastAsia="Courier New" w:hAnsi="Courier New"/>
                <w:sz w:val="16"/>
                <w:szCs w:val="16"/>
                <w:color w:val="auto"/>
              </w:rPr>
              <w:t>Investment</w:t>
            </w:r>
          </w:p>
        </w:tc>
        <w:tc>
          <w:tcPr>
            <w:tcW w:w="12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Common</w:t>
            </w:r>
          </w:p>
        </w:tc>
        <w:tc>
          <w:tcPr>
            <w:tcW w:w="820" w:type="dxa"/>
            <w:vAlign w:val="bottom"/>
            <w:vMerge w:val="restart"/>
          </w:tcPr>
          <w:p>
            <w:pPr>
              <w:ind w:left="340"/>
              <w:spacing w:after="0"/>
              <w:rPr>
                <w:sz w:val="20"/>
                <w:szCs w:val="20"/>
                <w:color w:val="auto"/>
              </w:rPr>
            </w:pPr>
            <w:r>
              <w:rPr>
                <w:rFonts w:ascii="Courier New" w:cs="Courier New" w:eastAsia="Courier New" w:hAnsi="Courier New"/>
                <w:sz w:val="16"/>
                <w:szCs w:val="16"/>
                <w:color w:val="auto"/>
                <w:w w:val="95"/>
              </w:rPr>
              <w:t>Total</w:t>
            </w:r>
          </w:p>
        </w:tc>
        <w:tc>
          <w:tcPr>
            <w:tcW w:w="0" w:type="dxa"/>
            <w:vAlign w:val="bottom"/>
          </w:tcPr>
          <w:p>
            <w:pPr>
              <w:spacing w:after="0"/>
              <w:rPr>
                <w:sz w:val="1"/>
                <w:szCs w:val="1"/>
                <w:color w:val="auto"/>
              </w:rPr>
            </w:pPr>
          </w:p>
        </w:tc>
      </w:tr>
      <w:tr>
        <w:trPr>
          <w:trHeight w:val="220"/>
        </w:trPr>
        <w:tc>
          <w:tcPr>
            <w:tcW w:w="640" w:type="dxa"/>
            <w:vAlign w:val="bottom"/>
          </w:tcPr>
          <w:p>
            <w:pPr>
              <w:ind w:left="180"/>
              <w:spacing w:after="0"/>
              <w:rPr>
                <w:sz w:val="20"/>
                <w:szCs w:val="20"/>
                <w:color w:val="auto"/>
              </w:rPr>
            </w:pPr>
            <w:r>
              <w:rPr>
                <w:rFonts w:ascii="Courier New" w:cs="Courier New" w:eastAsia="Courier New" w:hAnsi="Courier New"/>
                <w:sz w:val="16"/>
                <w:szCs w:val="16"/>
                <w:color w:val="auto"/>
              </w:rPr>
              <w:t>Fund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A</w:t>
            </w:r>
          </w:p>
        </w:tc>
        <w:tc>
          <w:tcPr>
            <w:tcW w:w="1240" w:type="dxa"/>
            <w:vAlign w:val="bottom"/>
          </w:tcPr>
          <w:p>
            <w:pPr>
              <w:jc w:val="center"/>
              <w:spacing w:after="0"/>
              <w:rPr>
                <w:sz w:val="20"/>
                <w:szCs w:val="20"/>
                <w:color w:val="auto"/>
              </w:rPr>
            </w:pPr>
            <w:r>
              <w:rPr>
                <w:rFonts w:ascii="Courier New" w:cs="Courier New" w:eastAsia="Courier New" w:hAnsi="Courier New"/>
                <w:sz w:val="16"/>
                <w:szCs w:val="16"/>
                <w:color w:val="auto"/>
              </w:rPr>
              <w:t>Fund B</w:t>
            </w:r>
          </w:p>
        </w:tc>
        <w:tc>
          <w:tcPr>
            <w:tcW w:w="12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Stock</w:t>
            </w: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Assets:</w:t>
            </w:r>
          </w:p>
        </w:tc>
        <w:tc>
          <w:tcPr>
            <w:tcW w:w="3540" w:type="dxa"/>
            <w:vAlign w:val="bottom"/>
          </w:tcPr>
          <w:p>
            <w:pPr>
              <w:spacing w:after="0"/>
              <w:rPr>
                <w:sz w:val="16"/>
                <w:szCs w:val="16"/>
                <w:color w:val="auto"/>
              </w:rPr>
            </w:pPr>
          </w:p>
        </w:tc>
        <w:tc>
          <w:tcPr>
            <w:tcW w:w="80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158"/>
              <w:spacing w:after="0"/>
              <w:rPr>
                <w:sz w:val="20"/>
                <w:szCs w:val="20"/>
                <w:color w:val="auto"/>
              </w:rPr>
            </w:pPr>
            <w:r>
              <w:rPr>
                <w:rFonts w:ascii="Courier New" w:cs="Courier New" w:eastAsia="Courier New" w:hAnsi="Courier New"/>
                <w:sz w:val="16"/>
                <w:szCs w:val="16"/>
                <w:color w:val="auto"/>
              </w:rPr>
              <w:t>71,543</w:t>
            </w:r>
          </w:p>
        </w:tc>
        <w:tc>
          <w:tcPr>
            <w:tcW w:w="104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16,480</w:t>
            </w:r>
          </w:p>
        </w:tc>
        <w:tc>
          <w:tcPr>
            <w:tcW w:w="128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8,447,993</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8,536,016</w:t>
            </w:r>
          </w:p>
        </w:tc>
        <w:tc>
          <w:tcPr>
            <w:tcW w:w="0" w:type="dxa"/>
            <w:vAlign w:val="bottom"/>
          </w:tcPr>
          <w:p>
            <w:pPr>
              <w:spacing w:after="0"/>
              <w:rPr>
                <w:sz w:val="1"/>
                <w:szCs w:val="1"/>
                <w:color w:val="auto"/>
              </w:rPr>
            </w:pPr>
          </w:p>
        </w:tc>
      </w:tr>
      <w:tr>
        <w:trPr>
          <w:trHeight w:val="190"/>
        </w:trPr>
        <w:tc>
          <w:tcPr>
            <w:tcW w:w="42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Investments held by trustee (note 6)</w:t>
            </w:r>
          </w:p>
        </w:tc>
        <w:tc>
          <w:tcPr>
            <w:tcW w:w="8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3540" w:type="dxa"/>
            <w:vAlign w:val="bottom"/>
          </w:tcPr>
          <w:p>
            <w:pPr>
              <w:ind w:left="40"/>
              <w:spacing w:after="0"/>
              <w:rPr>
                <w:sz w:val="20"/>
                <w:szCs w:val="20"/>
                <w:color w:val="auto"/>
              </w:rPr>
            </w:pPr>
            <w:r>
              <w:rPr>
                <w:rFonts w:ascii="Courier New" w:cs="Courier New" w:eastAsia="Courier New" w:hAnsi="Courier New"/>
                <w:sz w:val="16"/>
                <w:szCs w:val="16"/>
                <w:color w:val="auto"/>
              </w:rPr>
              <w:t>receivables</w:t>
            </w:r>
          </w:p>
        </w:tc>
        <w:tc>
          <w:tcPr>
            <w:tcW w:w="800" w:type="dxa"/>
            <w:vAlign w:val="bottom"/>
          </w:tcPr>
          <w:p>
            <w:pPr>
              <w:spacing w:after="0"/>
              <w:rPr>
                <w:sz w:val="19"/>
                <w:szCs w:val="19"/>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13</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13</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329</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355</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14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Total</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assets held by trustee</w:t>
            </w:r>
          </w:p>
        </w:tc>
        <w:tc>
          <w:tcPr>
            <w:tcW w:w="17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71,556</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16,493</w:t>
            </w:r>
          </w:p>
        </w:tc>
        <w:tc>
          <w:tcPr>
            <w:tcW w:w="13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8,448,322</w:t>
            </w:r>
          </w:p>
        </w:tc>
        <w:tc>
          <w:tcPr>
            <w:tcW w:w="11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8,536,371</w:t>
            </w:r>
          </w:p>
        </w:tc>
      </w:tr>
      <w:tr>
        <w:trPr>
          <w:trHeight w:val="262"/>
        </w:trPr>
        <w:tc>
          <w:tcPr>
            <w:tcW w:w="840" w:type="dxa"/>
            <w:vAlign w:val="bottom"/>
          </w:tcPr>
          <w:p>
            <w:pPr>
              <w:spacing w:after="0"/>
              <w:rPr>
                <w:sz w:val="20"/>
                <w:szCs w:val="20"/>
                <w:color w:val="auto"/>
              </w:rPr>
            </w:pPr>
            <w:r>
              <w:rPr>
                <w:rFonts w:ascii="Courier New" w:cs="Courier New" w:eastAsia="Courier New" w:hAnsi="Courier New"/>
                <w:sz w:val="16"/>
                <w:szCs w:val="16"/>
                <w:color w:val="auto"/>
              </w:rPr>
              <w:t>Employer</w:t>
            </w:r>
          </w:p>
        </w:tc>
        <w:tc>
          <w:tcPr>
            <w:tcW w:w="34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contribution receivable</w:t>
            </w:r>
          </w:p>
        </w:tc>
        <w:tc>
          <w:tcPr>
            <w:tcW w:w="17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0</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0</w:t>
            </w:r>
          </w:p>
        </w:tc>
        <w:tc>
          <w:tcPr>
            <w:tcW w:w="13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309,544</w:t>
            </w:r>
          </w:p>
        </w:tc>
        <w:tc>
          <w:tcPr>
            <w:tcW w:w="11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309,544</w:t>
            </w:r>
          </w:p>
        </w:tc>
      </w:tr>
      <w:tr>
        <w:trPr>
          <w:trHeight w:val="190"/>
        </w:trPr>
        <w:tc>
          <w:tcPr>
            <w:tcW w:w="840" w:type="dxa"/>
            <w:vAlign w:val="bottom"/>
          </w:tcPr>
          <w:p>
            <w:pPr>
              <w:spacing w:after="0"/>
              <w:rPr>
                <w:sz w:val="20"/>
                <w:szCs w:val="20"/>
                <w:color w:val="auto"/>
              </w:rPr>
            </w:pPr>
            <w:r>
              <w:rPr>
                <w:rFonts w:ascii="Courier New" w:cs="Courier New" w:eastAsia="Courier New" w:hAnsi="Courier New"/>
                <w:sz w:val="16"/>
                <w:szCs w:val="16"/>
                <w:color w:val="auto"/>
              </w:rPr>
              <w:t>Employee</w:t>
            </w:r>
          </w:p>
        </w:tc>
        <w:tc>
          <w:tcPr>
            <w:tcW w:w="34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contributions receivable</w:t>
            </w:r>
          </w:p>
        </w:tc>
        <w:tc>
          <w:tcPr>
            <w:tcW w:w="17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0</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0</w:t>
            </w:r>
          </w:p>
        </w:tc>
        <w:tc>
          <w:tcPr>
            <w:tcW w:w="13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77,111</w:t>
            </w:r>
          </w:p>
        </w:tc>
        <w:tc>
          <w:tcPr>
            <w:tcW w:w="11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77,111</w:t>
            </w:r>
          </w:p>
        </w:tc>
      </w:tr>
      <w:tr>
        <w:trPr>
          <w:trHeight w:val="220"/>
        </w:trPr>
        <w:tc>
          <w:tcPr>
            <w:tcW w:w="1140" w:type="dxa"/>
            <w:vAlign w:val="bottom"/>
            <w:gridSpan w:val="2"/>
          </w:tcPr>
          <w:p>
            <w:pPr>
              <w:spacing w:after="0"/>
              <w:rPr>
                <w:sz w:val="20"/>
                <w:szCs w:val="20"/>
                <w:color w:val="auto"/>
              </w:rPr>
            </w:pPr>
            <w:r>
              <w:rPr>
                <w:rFonts w:ascii="Courier New" w:cs="Courier New" w:eastAsia="Courier New" w:hAnsi="Courier New"/>
                <w:sz w:val="16"/>
                <w:szCs w:val="16"/>
                <w:color w:val="auto"/>
              </w:rPr>
              <w:t>Forfeitures</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payable</w:t>
            </w:r>
          </w:p>
        </w:tc>
        <w:tc>
          <w:tcPr>
            <w:tcW w:w="17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0</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0</w:t>
            </w:r>
          </w:p>
        </w:tc>
        <w:tc>
          <w:tcPr>
            <w:tcW w:w="13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(30,188)</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(30,188)</w:t>
            </w:r>
          </w:p>
        </w:tc>
      </w:tr>
    </w:tbl>
    <w:p>
      <w:pPr>
        <w:ind w:left="200" w:hanging="199"/>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Net assets available for</w:t>
      </w:r>
    </w:p>
    <w:p>
      <w:pPr>
        <w:spacing w:after="0" w:line="8" w:lineRule="exact"/>
        <w:rPr>
          <w:sz w:val="20"/>
          <w:szCs w:val="20"/>
          <w:color w:val="auto"/>
        </w:rPr>
      </w:pPr>
    </w:p>
    <w:p>
      <w:pPr>
        <w:ind w:left="780"/>
        <w:spacing w:after="0"/>
        <w:tabs>
          <w:tab w:leader="none" w:pos="4820" w:val="left"/>
          <w:tab w:leader="none" w:pos="5200" w:val="left"/>
          <w:tab w:leader="none" w:pos="6300" w:val="left"/>
          <w:tab w:leader="none" w:pos="7280" w:val="left"/>
          <w:tab w:leader="none" w:pos="8560" w:val="left"/>
        </w:tabs>
        <w:rPr>
          <w:sz w:val="20"/>
          <w:szCs w:val="20"/>
          <w:color w:val="auto"/>
        </w:rPr>
      </w:pPr>
      <w:r>
        <w:rPr>
          <w:rFonts w:ascii="Courier New" w:cs="Courier New" w:eastAsia="Courier New" w:hAnsi="Courier New"/>
          <w:sz w:val="16"/>
          <w:szCs w:val="16"/>
          <w:color w:val="auto"/>
        </w:rPr>
        <w:t>plan benefits</w:t>
      </w:r>
      <w:r>
        <w:rPr>
          <w:sz w:val="20"/>
          <w:szCs w:val="20"/>
          <w:color w:val="auto"/>
        </w:rPr>
        <w:tab/>
      </w:r>
      <w:r>
        <w:rPr>
          <w:rFonts w:ascii="Courier New" w:cs="Courier New" w:eastAsia="Courier New" w:hAnsi="Courier New"/>
          <w:sz w:val="16"/>
          <w:szCs w:val="16"/>
          <w:color w:val="auto"/>
        </w:rPr>
        <w:t>$</w:t>
        <w:tab/>
        <w:t>71,556</w:t>
      </w:r>
      <w:r>
        <w:rPr>
          <w:sz w:val="20"/>
          <w:szCs w:val="20"/>
          <w:color w:val="auto"/>
        </w:rPr>
        <w:tab/>
      </w:r>
      <w:r>
        <w:rPr>
          <w:rFonts w:ascii="Courier New" w:cs="Courier New" w:eastAsia="Courier New" w:hAnsi="Courier New"/>
          <w:sz w:val="16"/>
          <w:szCs w:val="16"/>
          <w:color w:val="auto"/>
        </w:rPr>
        <w:t>16,493</w:t>
      </w:r>
      <w:r>
        <w:rPr>
          <w:sz w:val="20"/>
          <w:szCs w:val="20"/>
          <w:color w:val="auto"/>
        </w:rPr>
        <w:tab/>
      </w:r>
      <w:r>
        <w:rPr>
          <w:rFonts w:ascii="Courier New" w:cs="Courier New" w:eastAsia="Courier New" w:hAnsi="Courier New"/>
          <w:sz w:val="16"/>
          <w:szCs w:val="16"/>
          <w:color w:val="auto"/>
        </w:rPr>
        <w:t>8,804,789</w:t>
      </w:r>
      <w:r>
        <w:rPr>
          <w:sz w:val="20"/>
          <w:szCs w:val="20"/>
          <w:color w:val="auto"/>
        </w:rPr>
        <w:tab/>
      </w:r>
      <w:r>
        <w:rPr>
          <w:rFonts w:ascii="Courier New" w:cs="Courier New" w:eastAsia="Courier New" w:hAnsi="Courier New"/>
          <w:sz w:val="16"/>
          <w:szCs w:val="16"/>
          <w:color w:val="auto"/>
        </w:rPr>
        <w:t>8,892,838</w:t>
      </w:r>
    </w:p>
    <w:p>
      <w:pPr>
        <w:spacing w:after="0" w:line="8" w:lineRule="exact"/>
        <w:rPr>
          <w:sz w:val="20"/>
          <w:szCs w:val="20"/>
          <w:color w:val="auto"/>
        </w:rPr>
      </w:pPr>
    </w:p>
    <w:p>
      <w:pPr>
        <w:ind w:left="200" w:hanging="199"/>
        <w:spacing w:after="0"/>
        <w:tabs>
          <w:tab w:leader="none" w:pos="2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financial statements.</w:t>
      </w:r>
    </w:p>
    <w:p>
      <w:pPr>
        <w:sectPr>
          <w:pgSz w:w="11900" w:h="16838" w:orient="portrait"/>
          <w:cols w:equalWidth="0" w:num="1">
            <w:col w:w="10219"/>
          </w:cols>
          <w:pgMar w:left="240" w:top="845" w:right="1440" w:bottom="1440" w:gutter="0" w:footer="0" w:header="0"/>
        </w:sectPr>
      </w:pPr>
    </w:p>
    <w:bookmarkStart w:id="5" w:name="page6"/>
    <w:bookmarkEnd w:id="5"/>
    <w:p>
      <w:pPr>
        <w:jc w:val="center"/>
        <w:ind w:right="3640"/>
        <w:spacing w:after="0"/>
        <w:rPr>
          <w:sz w:val="20"/>
          <w:szCs w:val="20"/>
          <w:color w:val="auto"/>
        </w:rPr>
      </w:pPr>
      <w:r>
        <w:rPr>
          <w:rFonts w:ascii="Courier New" w:cs="Courier New" w:eastAsia="Courier New" w:hAnsi="Courier New"/>
          <w:sz w:val="16"/>
          <w:szCs w:val="16"/>
          <w:color w:val="auto"/>
        </w:rPr>
        <w:t>THE TORO COMPANY MATCHING STOCK PLAN</w:t>
      </w:r>
    </w:p>
    <w:p>
      <w:pPr>
        <w:spacing w:after="0" w:line="198"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6"/>
          <w:szCs w:val="16"/>
          <w:color w:val="auto"/>
        </w:rPr>
        <w:t>Statement of Changes in Net Assets Available for Plan Benefits</w:t>
      </w:r>
    </w:p>
    <w:p>
      <w:pPr>
        <w:spacing w:after="0" w:line="19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Year ended July 31, 1995</w:t>
      </w:r>
    </w:p>
    <w:p>
      <w:pPr>
        <w:spacing w:after="0" w:line="200" w:lineRule="exact"/>
        <w:rPr>
          <w:sz w:val="20"/>
          <w:szCs w:val="20"/>
          <w:color w:val="auto"/>
        </w:rPr>
      </w:pPr>
    </w:p>
    <w:p>
      <w:pPr>
        <w:spacing w:after="0" w:line="377" w:lineRule="exact"/>
        <w:rPr>
          <w:sz w:val="20"/>
          <w:szCs w:val="20"/>
          <w:color w:val="auto"/>
        </w:rPr>
      </w:pPr>
    </w:p>
    <w:tbl>
      <w:tblPr>
        <w:tblLayout w:type="fixed"/>
        <w:tblInd w:w="5320" w:type="dxa"/>
        <w:tblCellMar>
          <w:top w:w="0" w:type="dxa"/>
          <w:left w:w="0" w:type="dxa"/>
          <w:bottom w:w="0" w:type="dxa"/>
          <w:right w:w="0" w:type="dxa"/>
        </w:tblCellMar>
      </w:tblPr>
      <w:tr>
        <w:trPr>
          <w:trHeight w:val="190"/>
        </w:trPr>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Toro Stable</w:t>
            </w: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vMerge w:val="restart"/>
          </w:tcPr>
          <w:p>
            <w:pPr>
              <w:jc w:val="center"/>
              <w:ind w:right="18"/>
              <w:spacing w:after="0"/>
              <w:rPr>
                <w:sz w:val="20"/>
                <w:szCs w:val="20"/>
                <w:color w:val="auto"/>
              </w:rPr>
            </w:pPr>
            <w:r>
              <w:rPr>
                <w:rFonts w:ascii="Courier New" w:cs="Courier New" w:eastAsia="Courier New" w:hAnsi="Courier New"/>
                <w:sz w:val="16"/>
                <w:szCs w:val="16"/>
                <w:color w:val="auto"/>
              </w:rPr>
              <w:t>Growth</w:t>
            </w:r>
          </w:p>
        </w:tc>
        <w:tc>
          <w:tcPr>
            <w:tcW w:w="1480" w:type="dxa"/>
            <w:vAlign w:val="bottom"/>
            <w:vMerge w:val="restart"/>
          </w:tcPr>
          <w:p>
            <w:pPr>
              <w:jc w:val="right"/>
              <w:ind w:right="358"/>
              <w:spacing w:after="0"/>
              <w:rPr>
                <w:sz w:val="20"/>
                <w:szCs w:val="20"/>
                <w:color w:val="auto"/>
              </w:rPr>
            </w:pPr>
            <w:r>
              <w:rPr>
                <w:rFonts w:ascii="Courier New" w:cs="Courier New" w:eastAsia="Courier New" w:hAnsi="Courier New"/>
                <w:sz w:val="16"/>
                <w:szCs w:val="16"/>
                <w:color w:val="auto"/>
              </w:rPr>
              <w:t>The Toro</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Value Fund/</w:t>
            </w:r>
          </w:p>
        </w:tc>
        <w:tc>
          <w:tcPr>
            <w:tcW w:w="780" w:type="dxa"/>
            <w:vAlign w:val="bottom"/>
            <w:vMerge w:val="restart"/>
          </w:tcPr>
          <w:p>
            <w:pPr>
              <w:ind w:left="340"/>
              <w:spacing w:after="0"/>
              <w:rPr>
                <w:sz w:val="20"/>
                <w:szCs w:val="20"/>
                <w:color w:val="auto"/>
              </w:rPr>
            </w:pPr>
            <w:r>
              <w:rPr>
                <w:rFonts w:ascii="Courier New" w:cs="Courier New" w:eastAsia="Courier New" w:hAnsi="Courier New"/>
                <w:sz w:val="16"/>
                <w:szCs w:val="16"/>
                <w:color w:val="auto"/>
              </w:rPr>
              <w:t>Toro</w:t>
            </w:r>
          </w:p>
        </w:tc>
        <w:tc>
          <w:tcPr>
            <w:tcW w:w="5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Toro</w:t>
            </w:r>
          </w:p>
        </w:tc>
        <w:tc>
          <w:tcPr>
            <w:tcW w:w="7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ind w:left="240"/>
              <w:spacing w:after="0"/>
              <w:rPr>
                <w:sz w:val="20"/>
                <w:szCs w:val="20"/>
                <w:color w:val="auto"/>
              </w:rPr>
            </w:pPr>
            <w:r>
              <w:rPr>
                <w:rFonts w:ascii="Courier New" w:cs="Courier New" w:eastAsia="Courier New" w:hAnsi="Courier New"/>
                <w:sz w:val="16"/>
                <w:szCs w:val="16"/>
                <w:color w:val="auto"/>
              </w:rPr>
              <w:t>and</w:t>
            </w:r>
          </w:p>
        </w:tc>
        <w:tc>
          <w:tcPr>
            <w:tcW w:w="14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Company</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Investment</w:t>
            </w:r>
          </w:p>
        </w:tc>
        <w:tc>
          <w:tcPr>
            <w:tcW w:w="12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Investment</w:t>
            </w:r>
          </w:p>
        </w:tc>
        <w:tc>
          <w:tcPr>
            <w:tcW w:w="98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Income</w:t>
            </w:r>
          </w:p>
        </w:tc>
        <w:tc>
          <w:tcPr>
            <w:tcW w:w="14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Common</w:t>
            </w:r>
          </w:p>
        </w:tc>
        <w:tc>
          <w:tcPr>
            <w:tcW w:w="940" w:type="dxa"/>
            <w:vAlign w:val="bottom"/>
            <w:vMerge w:val="restart"/>
          </w:tcPr>
          <w:p>
            <w:pPr>
              <w:ind w:left="440"/>
              <w:spacing w:after="0"/>
              <w:rPr>
                <w:sz w:val="20"/>
                <w:szCs w:val="20"/>
                <w:color w:val="auto"/>
              </w:rPr>
            </w:pPr>
            <w:r>
              <w:rPr>
                <w:rFonts w:ascii="Courier New" w:cs="Courier New" w:eastAsia="Courier New" w:hAnsi="Courier New"/>
                <w:sz w:val="16"/>
                <w:szCs w:val="16"/>
                <w:color w:val="auto"/>
                <w:w w:val="99"/>
              </w:rPr>
              <w:t>Total</w:t>
            </w:r>
          </w:p>
        </w:tc>
        <w:tc>
          <w:tcPr>
            <w:tcW w:w="0" w:type="dxa"/>
            <w:vAlign w:val="bottom"/>
          </w:tcPr>
          <w:p>
            <w:pPr>
              <w:spacing w:after="0"/>
              <w:rPr>
                <w:sz w:val="1"/>
                <w:szCs w:val="1"/>
                <w:color w:val="auto"/>
              </w:rPr>
            </w:pPr>
          </w:p>
        </w:tc>
      </w:tr>
      <w:tr>
        <w:trPr>
          <w:trHeight w:val="277"/>
        </w:trPr>
        <w:tc>
          <w:tcPr>
            <w:tcW w:w="12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Fund A</w:t>
            </w:r>
          </w:p>
        </w:tc>
        <w:tc>
          <w:tcPr>
            <w:tcW w:w="780" w:type="dxa"/>
            <w:vAlign w:val="bottom"/>
          </w:tcPr>
          <w:p>
            <w:pPr>
              <w:ind w:left="340"/>
              <w:spacing w:after="0"/>
              <w:rPr>
                <w:sz w:val="20"/>
                <w:szCs w:val="20"/>
                <w:color w:val="auto"/>
              </w:rPr>
            </w:pPr>
            <w:r>
              <w:rPr>
                <w:rFonts w:ascii="Courier New" w:cs="Courier New" w:eastAsia="Courier New" w:hAnsi="Courier New"/>
                <w:sz w:val="16"/>
                <w:szCs w:val="16"/>
                <w:color w:val="auto"/>
              </w:rPr>
              <w:t>Fund</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98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Fund</w:t>
            </w:r>
          </w:p>
        </w:tc>
        <w:tc>
          <w:tcPr>
            <w:tcW w:w="14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Stock</w:t>
            </w: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9"/>
              </w:rPr>
              <w:t>Investment</w:t>
            </w:r>
          </w:p>
        </w:tc>
        <w:tc>
          <w:tcPr>
            <w:tcW w:w="41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income (note 6):</w:t>
            </w:r>
          </w:p>
        </w:tc>
        <w:tc>
          <w:tcPr>
            <w:tcW w:w="44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40" w:type="dxa"/>
            <w:vAlign w:val="bottom"/>
            <w:vMerge w:val="restart"/>
          </w:tcPr>
          <w:p>
            <w:pPr>
              <w:jc w:val="right"/>
              <w:ind w:right="158"/>
              <w:spacing w:after="0"/>
              <w:rPr>
                <w:sz w:val="20"/>
                <w:szCs w:val="20"/>
                <w:color w:val="auto"/>
              </w:rPr>
            </w:pPr>
            <w:r>
              <w:rPr>
                <w:rFonts w:ascii="Courier New" w:cs="Courier New" w:eastAsia="Courier New" w:hAnsi="Courier New"/>
                <w:sz w:val="16"/>
                <w:szCs w:val="16"/>
                <w:color w:val="auto"/>
              </w:rPr>
              <w:t>7,109</w:t>
            </w:r>
          </w:p>
        </w:tc>
        <w:tc>
          <w:tcPr>
            <w:tcW w:w="1080" w:type="dxa"/>
            <w:vAlign w:val="bottom"/>
            <w:vMerge w:val="restart"/>
          </w:tcPr>
          <w:p>
            <w:pPr>
              <w:jc w:val="right"/>
              <w:ind w:right="158"/>
              <w:spacing w:after="0"/>
              <w:rPr>
                <w:sz w:val="20"/>
                <w:szCs w:val="20"/>
                <w:color w:val="auto"/>
              </w:rPr>
            </w:pPr>
            <w:r>
              <w:rPr>
                <w:rFonts w:ascii="Courier New" w:cs="Courier New" w:eastAsia="Courier New" w:hAnsi="Courier New"/>
                <w:sz w:val="16"/>
                <w:szCs w:val="16"/>
                <w:color w:val="auto"/>
              </w:rPr>
              <w:t>(17)</w:t>
            </w:r>
          </w:p>
        </w:tc>
        <w:tc>
          <w:tcPr>
            <w:tcW w:w="980" w:type="dxa"/>
            <w:vAlign w:val="bottom"/>
            <w:vMerge w:val="restart"/>
          </w:tcPr>
          <w:p>
            <w:pPr>
              <w:jc w:val="right"/>
              <w:ind w:right="158"/>
              <w:spacing w:after="0"/>
              <w:rPr>
                <w:sz w:val="20"/>
                <w:szCs w:val="20"/>
                <w:color w:val="auto"/>
              </w:rPr>
            </w:pPr>
            <w:r>
              <w:rPr>
                <w:rFonts w:ascii="Courier New" w:cs="Courier New" w:eastAsia="Courier New" w:hAnsi="Courier New"/>
                <w:sz w:val="16"/>
                <w:szCs w:val="16"/>
                <w:color w:val="auto"/>
              </w:rPr>
              <w:t>306</w:t>
            </w:r>
          </w:p>
        </w:tc>
        <w:tc>
          <w:tcPr>
            <w:tcW w:w="144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238,196</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245,594</w:t>
            </w:r>
          </w:p>
        </w:tc>
        <w:tc>
          <w:tcPr>
            <w:tcW w:w="0" w:type="dxa"/>
            <w:vAlign w:val="bottom"/>
          </w:tcPr>
          <w:p>
            <w:pPr>
              <w:spacing w:after="0"/>
              <w:rPr>
                <w:sz w:val="1"/>
                <w:szCs w:val="1"/>
                <w:color w:val="auto"/>
              </w:rPr>
            </w:pPr>
          </w:p>
        </w:tc>
      </w:tr>
      <w:tr>
        <w:trPr>
          <w:trHeight w:val="190"/>
        </w:trPr>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Interest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and dividends,</w:t>
            </w:r>
          </w:p>
        </w:tc>
        <w:tc>
          <w:tcPr>
            <w:tcW w:w="2660" w:type="dxa"/>
            <w:vAlign w:val="bottom"/>
          </w:tcPr>
          <w:p>
            <w:pPr>
              <w:ind w:left="40"/>
              <w:spacing w:after="0"/>
              <w:rPr>
                <w:sz w:val="20"/>
                <w:szCs w:val="20"/>
                <w:color w:val="auto"/>
              </w:rPr>
            </w:pPr>
            <w:r>
              <w:rPr>
                <w:rFonts w:ascii="Courier New" w:cs="Courier New" w:eastAsia="Courier New" w:hAnsi="Courier New"/>
                <w:sz w:val="16"/>
                <w:szCs w:val="16"/>
                <w:color w:val="auto"/>
              </w:rPr>
              <w:t>net of plan expenses</w:t>
            </w:r>
          </w:p>
        </w:tc>
        <w:tc>
          <w:tcPr>
            <w:tcW w:w="4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Net appreciation in the</w:t>
            </w:r>
          </w:p>
        </w:tc>
        <w:tc>
          <w:tcPr>
            <w:tcW w:w="2660" w:type="dxa"/>
            <w:vAlign w:val="bottom"/>
          </w:tcPr>
          <w:p>
            <w:pPr>
              <w:ind w:left="40"/>
              <w:spacing w:after="0"/>
              <w:rPr>
                <w:sz w:val="20"/>
                <w:szCs w:val="20"/>
                <w:color w:val="auto"/>
              </w:rPr>
            </w:pPr>
            <w:r>
              <w:rPr>
                <w:rFonts w:ascii="Courier New" w:cs="Courier New" w:eastAsia="Courier New" w:hAnsi="Courier New"/>
                <w:sz w:val="16"/>
                <w:szCs w:val="16"/>
                <w:color w:val="auto"/>
              </w:rPr>
              <w:t>fair value of investments</w:t>
            </w:r>
          </w:p>
        </w:tc>
        <w:tc>
          <w:tcPr>
            <w:tcW w:w="440" w:type="dxa"/>
            <w:vAlign w:val="bottom"/>
          </w:tcPr>
          <w:p>
            <w:pPr>
              <w:spacing w:after="0"/>
              <w:rPr>
                <w:sz w:val="19"/>
                <w:szCs w:val="19"/>
                <w:color w:val="auto"/>
              </w:rPr>
            </w:pPr>
          </w:p>
        </w:tc>
        <w:tc>
          <w:tcPr>
            <w:tcW w:w="9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1,300</w:t>
            </w: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3,885</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3,134</w:t>
            </w:r>
          </w:p>
        </w:tc>
        <w:tc>
          <w:tcPr>
            <w:tcW w:w="14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2,299,725</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2,308,044</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tbl>
      <w:tblPr>
        <w:tblLayout w:type="fixed"/>
        <w:tblInd w:w="400" w:type="dxa"/>
        <w:tblCellMar>
          <w:top w:w="0" w:type="dxa"/>
          <w:left w:w="0" w:type="dxa"/>
          <w:bottom w:w="0" w:type="dxa"/>
          <w:right w:w="0" w:type="dxa"/>
        </w:tblCellMar>
      </w:tblPr>
      <w:tr>
        <w:trPr>
          <w:trHeight w:val="190"/>
        </w:trPr>
        <w:tc>
          <w:tcPr>
            <w:tcW w:w="3740" w:type="dxa"/>
            <w:vAlign w:val="bottom"/>
          </w:tcPr>
          <w:p>
            <w:pPr>
              <w:spacing w:after="0"/>
              <w:rPr>
                <w:sz w:val="20"/>
                <w:szCs w:val="20"/>
                <w:color w:val="auto"/>
              </w:rPr>
            </w:pPr>
            <w:r>
              <w:rPr>
                <w:rFonts w:ascii="Courier New" w:cs="Courier New" w:eastAsia="Courier New" w:hAnsi="Courier New"/>
                <w:sz w:val="16"/>
                <w:szCs w:val="16"/>
                <w:color w:val="auto"/>
              </w:rPr>
              <w:t>Net investment income</w:t>
            </w:r>
          </w:p>
        </w:tc>
        <w:tc>
          <w:tcPr>
            <w:tcW w:w="24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8,409</w:t>
            </w: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3,868</w:t>
            </w:r>
          </w:p>
        </w:tc>
        <w:tc>
          <w:tcPr>
            <w:tcW w:w="10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3,440</w:t>
            </w:r>
          </w:p>
        </w:tc>
        <w:tc>
          <w:tcPr>
            <w:tcW w:w="14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2,537,921</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2,553,638</w:t>
            </w:r>
          </w:p>
        </w:tc>
      </w:tr>
    </w:tbl>
    <w:p>
      <w:pPr>
        <w:spacing w:after="0"/>
        <w:rPr>
          <w:sz w:val="20"/>
          <w:szCs w:val="20"/>
          <w:color w:val="auto"/>
        </w:rPr>
      </w:pPr>
      <w:r>
        <w:rPr>
          <w:rFonts w:ascii="Courier New" w:cs="Courier New" w:eastAsia="Courier New" w:hAnsi="Courier New"/>
          <w:sz w:val="16"/>
          <w:szCs w:val="16"/>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 w:type="dxa"/>
            <w:vAlign w:val="bottom"/>
          </w:tcPr>
          <w:p>
            <w:pPr>
              <w:spacing w:after="0"/>
              <w:rPr>
                <w:sz w:val="20"/>
                <w:szCs w:val="20"/>
                <w:color w:val="auto"/>
              </w:rPr>
            </w:pPr>
            <w:r>
              <w:rPr>
                <w:rFonts w:ascii="Courier New" w:cs="Courier New" w:eastAsia="Courier New" w:hAnsi="Courier New"/>
                <w:sz w:val="16"/>
                <w:szCs w:val="16"/>
                <w:color w:val="auto"/>
              </w:rPr>
              <w:t>Employer</w:t>
            </w:r>
          </w:p>
        </w:tc>
        <w:tc>
          <w:tcPr>
            <w:tcW w:w="3500" w:type="dxa"/>
            <w:vAlign w:val="bottom"/>
          </w:tcPr>
          <w:p>
            <w:pPr>
              <w:ind w:left="40"/>
              <w:spacing w:after="0"/>
              <w:rPr>
                <w:sz w:val="20"/>
                <w:szCs w:val="20"/>
                <w:color w:val="auto"/>
              </w:rPr>
            </w:pPr>
            <w:r>
              <w:rPr>
                <w:rFonts w:ascii="Courier New" w:cs="Courier New" w:eastAsia="Courier New" w:hAnsi="Courier New"/>
                <w:sz w:val="16"/>
                <w:szCs w:val="16"/>
                <w:color w:val="auto"/>
              </w:rPr>
              <w:t>contributions</w:t>
            </w:r>
          </w:p>
        </w:tc>
        <w:tc>
          <w:tcPr>
            <w:tcW w:w="24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0</w:t>
            </w:r>
          </w:p>
        </w:tc>
        <w:tc>
          <w:tcPr>
            <w:tcW w:w="102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0</w:t>
            </w:r>
          </w:p>
        </w:tc>
        <w:tc>
          <w:tcPr>
            <w:tcW w:w="8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0</w:t>
            </w:r>
          </w:p>
        </w:tc>
        <w:tc>
          <w:tcPr>
            <w:tcW w:w="14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637,932</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637,932</w:t>
            </w:r>
          </w:p>
        </w:tc>
      </w:tr>
      <w:tr>
        <w:trPr>
          <w:trHeight w:val="190"/>
        </w:trPr>
        <w:tc>
          <w:tcPr>
            <w:tcW w:w="840" w:type="dxa"/>
            <w:vAlign w:val="bottom"/>
          </w:tcPr>
          <w:p>
            <w:pPr>
              <w:spacing w:after="0"/>
              <w:rPr>
                <w:sz w:val="20"/>
                <w:szCs w:val="20"/>
                <w:color w:val="auto"/>
              </w:rPr>
            </w:pPr>
            <w:r>
              <w:rPr>
                <w:rFonts w:ascii="Courier New" w:cs="Courier New" w:eastAsia="Courier New" w:hAnsi="Courier New"/>
                <w:sz w:val="16"/>
                <w:szCs w:val="16"/>
                <w:color w:val="auto"/>
              </w:rPr>
              <w:t>Employee</w:t>
            </w:r>
          </w:p>
        </w:tc>
        <w:tc>
          <w:tcPr>
            <w:tcW w:w="3500" w:type="dxa"/>
            <w:vAlign w:val="bottom"/>
          </w:tcPr>
          <w:p>
            <w:pPr>
              <w:ind w:left="40"/>
              <w:spacing w:after="0"/>
              <w:rPr>
                <w:sz w:val="20"/>
                <w:szCs w:val="20"/>
                <w:color w:val="auto"/>
              </w:rPr>
            </w:pPr>
            <w:r>
              <w:rPr>
                <w:rFonts w:ascii="Courier New" w:cs="Courier New" w:eastAsia="Courier New" w:hAnsi="Courier New"/>
                <w:sz w:val="16"/>
                <w:szCs w:val="16"/>
                <w:color w:val="auto"/>
              </w:rPr>
              <w:t>contributions</w:t>
            </w:r>
          </w:p>
        </w:tc>
        <w:tc>
          <w:tcPr>
            <w:tcW w:w="24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0</w:t>
            </w:r>
          </w:p>
        </w:tc>
        <w:tc>
          <w:tcPr>
            <w:tcW w:w="102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0</w:t>
            </w:r>
          </w:p>
        </w:tc>
        <w:tc>
          <w:tcPr>
            <w:tcW w:w="8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0</w:t>
            </w:r>
          </w:p>
        </w:tc>
        <w:tc>
          <w:tcPr>
            <w:tcW w:w="14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1,150,626</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1,150,626</w:t>
            </w:r>
          </w:p>
        </w:tc>
      </w:tr>
      <w:tr>
        <w:trPr>
          <w:trHeight w:val="220"/>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Unallocated contributions</w:t>
            </w:r>
          </w:p>
        </w:tc>
        <w:tc>
          <w:tcPr>
            <w:tcW w:w="24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0</w:t>
            </w:r>
          </w:p>
        </w:tc>
        <w:tc>
          <w:tcPr>
            <w:tcW w:w="102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0</w:t>
            </w:r>
          </w:p>
        </w:tc>
        <w:tc>
          <w:tcPr>
            <w:tcW w:w="8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0</w:t>
            </w:r>
          </w:p>
        </w:tc>
        <w:tc>
          <w:tcPr>
            <w:tcW w:w="14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397,111</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397,111</w:t>
            </w:r>
          </w:p>
        </w:tc>
      </w:tr>
    </w:tbl>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340" w:type="dxa"/>
            <w:vAlign w:val="bottom"/>
          </w:tcPr>
          <w:p>
            <w:pPr>
              <w:spacing w:after="0"/>
              <w:rPr>
                <w:sz w:val="24"/>
                <w:szCs w:val="24"/>
                <w:color w:val="auto"/>
              </w:rPr>
            </w:pPr>
          </w:p>
        </w:tc>
        <w:tc>
          <w:tcPr>
            <w:tcW w:w="2160" w:type="dxa"/>
            <w:vAlign w:val="bottom"/>
          </w:tcPr>
          <w:p>
            <w:pPr>
              <w:jc w:val="right"/>
              <w:ind w:right="98"/>
              <w:spacing w:after="0"/>
              <w:rPr>
                <w:sz w:val="20"/>
                <w:szCs w:val="20"/>
                <w:color w:val="auto"/>
              </w:rPr>
            </w:pPr>
            <w:r>
              <w:rPr>
                <w:rFonts w:ascii="Courier New" w:cs="Courier New" w:eastAsia="Courier New" w:hAnsi="Courier New"/>
                <w:sz w:val="16"/>
                <w:szCs w:val="16"/>
                <w:color w:val="auto"/>
              </w:rPr>
              <w:t>0</w:t>
            </w:r>
          </w:p>
        </w:tc>
        <w:tc>
          <w:tcPr>
            <w:tcW w:w="11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0</w:t>
            </w:r>
          </w:p>
        </w:tc>
        <w:tc>
          <w:tcPr>
            <w:tcW w:w="10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0</w:t>
            </w:r>
          </w:p>
        </w:tc>
        <w:tc>
          <w:tcPr>
            <w:tcW w:w="14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2,185,669</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2,185,669</w:t>
            </w:r>
          </w:p>
        </w:tc>
      </w:tr>
      <w:tr>
        <w:trPr>
          <w:trHeight w:val="262"/>
        </w:trPr>
        <w:tc>
          <w:tcPr>
            <w:tcW w:w="4340" w:type="dxa"/>
            <w:vAlign w:val="bottom"/>
          </w:tcPr>
          <w:p>
            <w:pPr>
              <w:spacing w:after="0"/>
              <w:rPr>
                <w:sz w:val="20"/>
                <w:szCs w:val="20"/>
                <w:color w:val="auto"/>
              </w:rPr>
            </w:pPr>
            <w:r>
              <w:rPr>
                <w:rFonts w:ascii="Courier New" w:cs="Courier New" w:eastAsia="Courier New" w:hAnsi="Courier New"/>
                <w:sz w:val="16"/>
                <w:szCs w:val="16"/>
                <w:color w:val="auto"/>
              </w:rPr>
              <w:t>Benefit payments</w:t>
            </w:r>
          </w:p>
        </w:tc>
        <w:tc>
          <w:tcPr>
            <w:tcW w:w="21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(31,461)</w:t>
            </w:r>
          </w:p>
        </w:tc>
        <w:tc>
          <w:tcPr>
            <w:tcW w:w="11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0</w:t>
            </w:r>
          </w:p>
        </w:tc>
        <w:tc>
          <w:tcPr>
            <w:tcW w:w="10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0</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(596,395)</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(627,856)</w:t>
            </w:r>
          </w:p>
        </w:tc>
      </w:tr>
      <w:tr>
        <w:trPr>
          <w:trHeight w:val="190"/>
        </w:trPr>
        <w:tc>
          <w:tcPr>
            <w:tcW w:w="4340" w:type="dxa"/>
            <w:vAlign w:val="bottom"/>
          </w:tcPr>
          <w:p>
            <w:pPr>
              <w:spacing w:after="0"/>
              <w:rPr>
                <w:sz w:val="20"/>
                <w:szCs w:val="20"/>
                <w:color w:val="auto"/>
              </w:rPr>
            </w:pPr>
            <w:r>
              <w:rPr>
                <w:rFonts w:ascii="Courier New" w:cs="Courier New" w:eastAsia="Courier New" w:hAnsi="Courier New"/>
                <w:sz w:val="16"/>
                <w:szCs w:val="16"/>
                <w:color w:val="auto"/>
              </w:rPr>
              <w:t>Forfeitures</w:t>
            </w:r>
          </w:p>
        </w:tc>
        <w:tc>
          <w:tcPr>
            <w:tcW w:w="2160" w:type="dxa"/>
            <w:vAlign w:val="bottom"/>
          </w:tcPr>
          <w:p>
            <w:pPr>
              <w:jc w:val="right"/>
              <w:ind w:right="98"/>
              <w:spacing w:after="0"/>
              <w:rPr>
                <w:sz w:val="20"/>
                <w:szCs w:val="20"/>
                <w:color w:val="auto"/>
              </w:rPr>
            </w:pPr>
            <w:r>
              <w:rPr>
                <w:rFonts w:ascii="Courier New" w:cs="Courier New" w:eastAsia="Courier New" w:hAnsi="Courier New"/>
                <w:sz w:val="16"/>
                <w:szCs w:val="16"/>
                <w:color w:val="auto"/>
              </w:rPr>
              <w:t>0</w:t>
            </w:r>
          </w:p>
        </w:tc>
        <w:tc>
          <w:tcPr>
            <w:tcW w:w="11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0</w:t>
            </w:r>
          </w:p>
        </w:tc>
        <w:tc>
          <w:tcPr>
            <w:tcW w:w="10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0</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(25,526)</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(25,526)</w:t>
            </w:r>
          </w:p>
        </w:tc>
      </w:tr>
      <w:tr>
        <w:trPr>
          <w:trHeight w:val="220"/>
        </w:trPr>
        <w:tc>
          <w:tcPr>
            <w:tcW w:w="4340" w:type="dxa"/>
            <w:vAlign w:val="bottom"/>
          </w:tcPr>
          <w:p>
            <w:pPr>
              <w:spacing w:after="0"/>
              <w:rPr>
                <w:sz w:val="20"/>
                <w:szCs w:val="20"/>
                <w:color w:val="auto"/>
              </w:rPr>
            </w:pPr>
            <w:r>
              <w:rPr>
                <w:rFonts w:ascii="Courier New" w:cs="Courier New" w:eastAsia="Courier New" w:hAnsi="Courier New"/>
                <w:sz w:val="16"/>
                <w:szCs w:val="16"/>
                <w:color w:val="auto"/>
              </w:rPr>
              <w:t>Transfers (to) from other plans</w:t>
            </w:r>
          </w:p>
        </w:tc>
        <w:tc>
          <w:tcPr>
            <w:tcW w:w="216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110,280</w:t>
            </w:r>
          </w:p>
        </w:tc>
        <w:tc>
          <w:tcPr>
            <w:tcW w:w="11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(20,361)</w:t>
            </w:r>
          </w:p>
        </w:tc>
        <w:tc>
          <w:tcPr>
            <w:tcW w:w="10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43,677</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(133,596)</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w:t>
            </w: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68"/>
        </w:trPr>
        <w:tc>
          <w:tcPr>
            <w:tcW w:w="4780" w:type="dxa"/>
            <w:vAlign w:val="bottom"/>
            <w:gridSpan w:val="2"/>
          </w:tcPr>
          <w:p>
            <w:pPr>
              <w:ind w:left="400"/>
              <w:spacing w:after="0" w:line="168" w:lineRule="exact"/>
              <w:rPr>
                <w:sz w:val="20"/>
                <w:szCs w:val="20"/>
                <w:color w:val="auto"/>
              </w:rPr>
            </w:pPr>
            <w:r>
              <w:rPr>
                <w:rFonts w:ascii="Courier New" w:cs="Courier New" w:eastAsia="Courier New" w:hAnsi="Courier New"/>
                <w:sz w:val="16"/>
                <w:szCs w:val="16"/>
                <w:color w:val="auto"/>
              </w:rPr>
              <w:t>Increase (decrease) in net assets</w:t>
            </w:r>
          </w:p>
        </w:tc>
        <w:tc>
          <w:tcPr>
            <w:tcW w:w="168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87,228</w:t>
            </w:r>
          </w:p>
        </w:tc>
        <w:tc>
          <w:tcPr>
            <w:tcW w:w="114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(16,493)</w:t>
            </w:r>
          </w:p>
        </w:tc>
        <w:tc>
          <w:tcPr>
            <w:tcW w:w="1020" w:type="dxa"/>
            <w:vAlign w:val="bottom"/>
            <w:vMerge w:val="restart"/>
          </w:tcPr>
          <w:p>
            <w:pPr>
              <w:jc w:val="right"/>
              <w:ind w:right="158"/>
              <w:spacing w:after="0"/>
              <w:rPr>
                <w:sz w:val="20"/>
                <w:szCs w:val="20"/>
                <w:color w:val="auto"/>
              </w:rPr>
            </w:pPr>
            <w:r>
              <w:rPr>
                <w:rFonts w:ascii="Courier New" w:cs="Courier New" w:eastAsia="Courier New" w:hAnsi="Courier New"/>
                <w:sz w:val="16"/>
                <w:szCs w:val="16"/>
                <w:color w:val="auto"/>
              </w:rPr>
              <w:t>47,117</w:t>
            </w:r>
          </w:p>
        </w:tc>
        <w:tc>
          <w:tcPr>
            <w:tcW w:w="144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3,968,073</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4,085,925</w:t>
            </w:r>
          </w:p>
        </w:tc>
        <w:tc>
          <w:tcPr>
            <w:tcW w:w="0" w:type="dxa"/>
            <w:vAlign w:val="bottom"/>
          </w:tcPr>
          <w:p>
            <w:pPr>
              <w:spacing w:after="0"/>
              <w:rPr>
                <w:sz w:val="1"/>
                <w:szCs w:val="1"/>
                <w:color w:val="auto"/>
              </w:rPr>
            </w:pPr>
          </w:p>
        </w:tc>
      </w:tr>
      <w:tr>
        <w:trPr>
          <w:trHeight w:val="277"/>
        </w:trPr>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available for plan</w:t>
            </w:r>
          </w:p>
        </w:tc>
        <w:tc>
          <w:tcPr>
            <w:tcW w:w="2360" w:type="dxa"/>
            <w:vAlign w:val="bottom"/>
          </w:tcPr>
          <w:p>
            <w:pPr>
              <w:ind w:left="40"/>
              <w:spacing w:after="0"/>
              <w:rPr>
                <w:sz w:val="20"/>
                <w:szCs w:val="20"/>
                <w:color w:val="auto"/>
              </w:rPr>
            </w:pPr>
            <w:r>
              <w:rPr>
                <w:rFonts w:ascii="Courier New" w:cs="Courier New" w:eastAsia="Courier New" w:hAnsi="Courier New"/>
                <w:sz w:val="16"/>
                <w:szCs w:val="16"/>
                <w:color w:val="auto"/>
              </w:rPr>
              <w:t>benefits</w:t>
            </w:r>
          </w:p>
        </w:tc>
        <w:tc>
          <w:tcPr>
            <w:tcW w:w="168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02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Net assets available for</w:t>
            </w:r>
          </w:p>
        </w:tc>
        <w:tc>
          <w:tcPr>
            <w:tcW w:w="2360" w:type="dxa"/>
            <w:vAlign w:val="bottom"/>
          </w:tcPr>
          <w:p>
            <w:pPr>
              <w:ind w:left="40"/>
              <w:spacing w:after="0"/>
              <w:rPr>
                <w:sz w:val="20"/>
                <w:szCs w:val="20"/>
                <w:color w:val="auto"/>
              </w:rPr>
            </w:pPr>
            <w:r>
              <w:rPr>
                <w:rFonts w:ascii="Courier New" w:cs="Courier New" w:eastAsia="Courier New" w:hAnsi="Courier New"/>
                <w:sz w:val="16"/>
                <w:szCs w:val="16"/>
                <w:color w:val="auto"/>
              </w:rPr>
              <w:t>plan benefits:</w:t>
            </w:r>
          </w:p>
        </w:tc>
        <w:tc>
          <w:tcPr>
            <w:tcW w:w="168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71,556</w:t>
            </w:r>
          </w:p>
        </w:tc>
        <w:tc>
          <w:tcPr>
            <w:tcW w:w="114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16,493</w:t>
            </w:r>
          </w:p>
        </w:tc>
        <w:tc>
          <w:tcPr>
            <w:tcW w:w="1020" w:type="dxa"/>
            <w:vAlign w:val="bottom"/>
            <w:vMerge w:val="restart"/>
          </w:tcPr>
          <w:p>
            <w:pPr>
              <w:jc w:val="right"/>
              <w:ind w:right="158"/>
              <w:spacing w:after="0"/>
              <w:rPr>
                <w:sz w:val="20"/>
                <w:szCs w:val="20"/>
                <w:color w:val="auto"/>
              </w:rPr>
            </w:pPr>
            <w:r>
              <w:rPr>
                <w:rFonts w:ascii="Courier New" w:cs="Courier New" w:eastAsia="Courier New" w:hAnsi="Courier New"/>
                <w:sz w:val="16"/>
                <w:szCs w:val="16"/>
                <w:color w:val="auto"/>
              </w:rPr>
              <w:t>0</w:t>
            </w:r>
          </w:p>
        </w:tc>
        <w:tc>
          <w:tcPr>
            <w:tcW w:w="144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8,804,789</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8,892,838</w:t>
            </w:r>
          </w:p>
        </w:tc>
        <w:tc>
          <w:tcPr>
            <w:tcW w:w="0" w:type="dxa"/>
            <w:vAlign w:val="bottom"/>
          </w:tcPr>
          <w:p>
            <w:pPr>
              <w:spacing w:after="0"/>
              <w:rPr>
                <w:sz w:val="1"/>
                <w:szCs w:val="1"/>
                <w:color w:val="auto"/>
              </w:rPr>
            </w:pPr>
          </w:p>
        </w:tc>
      </w:tr>
      <w:tr>
        <w:trPr>
          <w:trHeight w:val="220"/>
        </w:trPr>
        <w:tc>
          <w:tcPr>
            <w:tcW w:w="242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Beginning of year</w:t>
            </w:r>
          </w:p>
        </w:tc>
        <w:tc>
          <w:tcPr>
            <w:tcW w:w="2360" w:type="dxa"/>
            <w:vAlign w:val="bottom"/>
          </w:tcPr>
          <w:p>
            <w:pPr>
              <w:spacing w:after="0"/>
              <w:rPr>
                <w:sz w:val="19"/>
                <w:szCs w:val="19"/>
                <w:color w:val="auto"/>
              </w:rPr>
            </w:pPr>
          </w:p>
        </w:tc>
        <w:tc>
          <w:tcPr>
            <w:tcW w:w="168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44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68"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3100" w:type="dxa"/>
            <w:vAlign w:val="bottom"/>
          </w:tcPr>
          <w:p>
            <w:pPr>
              <w:spacing w:after="0"/>
              <w:rPr>
                <w:sz w:val="20"/>
                <w:szCs w:val="20"/>
                <w:color w:val="auto"/>
              </w:rPr>
            </w:pPr>
            <w:r>
              <w:rPr>
                <w:rFonts w:ascii="Courier New" w:cs="Courier New" w:eastAsia="Courier New" w:hAnsi="Courier New"/>
                <w:sz w:val="16"/>
                <w:szCs w:val="16"/>
                <w:color w:val="auto"/>
              </w:rPr>
              <w:t>End of year</w:t>
            </w:r>
          </w:p>
        </w:tc>
        <w:tc>
          <w:tcPr>
            <w:tcW w:w="346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  158,784</w:t>
            </w:r>
          </w:p>
        </w:tc>
        <w:tc>
          <w:tcPr>
            <w:tcW w:w="7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0</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47,117</w:t>
            </w:r>
          </w:p>
        </w:tc>
        <w:tc>
          <w:tcPr>
            <w:tcW w:w="14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12,772,862</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12,978,763</w:t>
            </w:r>
          </w:p>
        </w:tc>
      </w:tr>
    </w:tbl>
    <w:p>
      <w:pPr>
        <w:ind w:left="200" w:hanging="199"/>
        <w:spacing w:after="0"/>
        <w:tabs>
          <w:tab w:leader="none" w:pos="2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financial statements.</w:t>
      </w:r>
    </w:p>
    <w:p>
      <w:pPr>
        <w:sectPr>
          <w:pgSz w:w="11900" w:h="16838" w:orient="portrait"/>
          <w:cols w:equalWidth="0" w:num="1">
            <w:col w:w="11520"/>
          </w:cols>
          <w:pgMar w:left="240" w:top="655" w:right="139" w:bottom="1440" w:gutter="0" w:footer="0" w:header="0"/>
        </w:sectPr>
      </w:pPr>
    </w:p>
    <w:bookmarkStart w:id="6" w:name="page7"/>
    <w:bookmarkEnd w:id="6"/>
    <w:p>
      <w:pPr>
        <w:jc w:val="center"/>
        <w:ind w:right="2660"/>
        <w:spacing w:after="0"/>
        <w:rPr>
          <w:sz w:val="20"/>
          <w:szCs w:val="20"/>
          <w:color w:val="auto"/>
        </w:rPr>
      </w:pPr>
      <w:r>
        <w:rPr>
          <w:rFonts w:ascii="Courier New" w:cs="Courier New" w:eastAsia="Courier New" w:hAnsi="Courier New"/>
          <w:sz w:val="16"/>
          <w:szCs w:val="16"/>
          <w:color w:val="auto"/>
        </w:rPr>
        <w:t>THE TORO COMPANY MATCHING STOCK PLAN</w:t>
      </w:r>
    </w:p>
    <w:p>
      <w:pPr>
        <w:spacing w:after="0" w:line="198" w:lineRule="exact"/>
        <w:rPr>
          <w:sz w:val="20"/>
          <w:szCs w:val="20"/>
          <w:color w:val="auto"/>
        </w:rPr>
      </w:pPr>
    </w:p>
    <w:p>
      <w:pPr>
        <w:jc w:val="center"/>
        <w:ind w:right="2660"/>
        <w:spacing w:after="0"/>
        <w:rPr>
          <w:sz w:val="20"/>
          <w:szCs w:val="20"/>
          <w:color w:val="auto"/>
        </w:rPr>
      </w:pPr>
      <w:r>
        <w:rPr>
          <w:rFonts w:ascii="Courier New" w:cs="Courier New" w:eastAsia="Courier New" w:hAnsi="Courier New"/>
          <w:sz w:val="16"/>
          <w:szCs w:val="16"/>
          <w:color w:val="auto"/>
        </w:rPr>
        <w:t>Statement of Changes in Net Assets Available for Plan Benefits</w:t>
      </w:r>
    </w:p>
    <w:p>
      <w:pPr>
        <w:spacing w:after="0" w:line="19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Year ended July 31, 1994</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5620" w:type="dxa"/>
        <w:tblCellMar>
          <w:top w:w="0" w:type="dxa"/>
          <w:left w:w="0" w:type="dxa"/>
          <w:bottom w:w="0" w:type="dxa"/>
          <w:right w:w="0" w:type="dxa"/>
        </w:tblCellMar>
      </w:tblPr>
      <w:tr>
        <w:trPr>
          <w:trHeight w:val="190"/>
        </w:trPr>
        <w:tc>
          <w:tcPr>
            <w:tcW w:w="108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rPr>
              <w:t>Toro</w:t>
            </w:r>
          </w:p>
        </w:tc>
        <w:tc>
          <w:tcPr>
            <w:tcW w:w="118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rPr>
              <w:t>Toro</w:t>
            </w:r>
          </w:p>
        </w:tc>
        <w:tc>
          <w:tcPr>
            <w:tcW w:w="12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The Toro</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8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2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Company</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8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Investment</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rPr>
              <w:t>Investment</w:t>
            </w:r>
          </w:p>
        </w:tc>
        <w:tc>
          <w:tcPr>
            <w:tcW w:w="12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Common</w:t>
            </w:r>
          </w:p>
        </w:tc>
        <w:tc>
          <w:tcPr>
            <w:tcW w:w="900" w:type="dxa"/>
            <w:vAlign w:val="bottom"/>
            <w:vMerge w:val="restart"/>
          </w:tcPr>
          <w:p>
            <w:pPr>
              <w:ind w:left="400"/>
              <w:spacing w:after="0"/>
              <w:rPr>
                <w:sz w:val="20"/>
                <w:szCs w:val="20"/>
                <w:color w:val="auto"/>
              </w:rPr>
            </w:pPr>
            <w:r>
              <w:rPr>
                <w:rFonts w:ascii="Courier New" w:cs="Courier New" w:eastAsia="Courier New" w:hAnsi="Courier New"/>
                <w:sz w:val="16"/>
                <w:szCs w:val="16"/>
                <w:color w:val="auto"/>
                <w:w w:val="99"/>
              </w:rPr>
              <w:t>Total</w:t>
            </w:r>
          </w:p>
        </w:tc>
        <w:tc>
          <w:tcPr>
            <w:tcW w:w="0" w:type="dxa"/>
            <w:vAlign w:val="bottom"/>
          </w:tcPr>
          <w:p>
            <w:pPr>
              <w:spacing w:after="0"/>
              <w:rPr>
                <w:sz w:val="1"/>
                <w:szCs w:val="1"/>
                <w:color w:val="auto"/>
              </w:rPr>
            </w:pPr>
          </w:p>
        </w:tc>
      </w:tr>
      <w:tr>
        <w:trPr>
          <w:trHeight w:val="277"/>
        </w:trPr>
        <w:tc>
          <w:tcPr>
            <w:tcW w:w="108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Fund A</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rPr>
              <w:t>Fund B</w:t>
            </w:r>
          </w:p>
        </w:tc>
        <w:tc>
          <w:tcPr>
            <w:tcW w:w="12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Stock</w:t>
            </w:r>
          </w:p>
        </w:tc>
        <w:tc>
          <w:tcPr>
            <w:tcW w:w="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9"/>
              </w:rPr>
              <w:t>Investment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income:</w:t>
            </w:r>
          </w:p>
        </w:tc>
        <w:tc>
          <w:tcPr>
            <w:tcW w:w="700" w:type="dxa"/>
            <w:vAlign w:val="bottom"/>
          </w:tcPr>
          <w:p>
            <w:pPr>
              <w:spacing w:after="0"/>
              <w:rPr>
                <w:sz w:val="16"/>
                <w:szCs w:val="16"/>
                <w:color w:val="auto"/>
              </w:rPr>
            </w:pPr>
          </w:p>
        </w:tc>
        <w:tc>
          <w:tcPr>
            <w:tcW w:w="310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net of plan expenses</w:t>
            </w:r>
          </w:p>
        </w:tc>
        <w:tc>
          <w:tcPr>
            <w:tcW w:w="128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  2,780</w:t>
            </w:r>
          </w:p>
        </w:tc>
        <w:tc>
          <w:tcPr>
            <w:tcW w:w="84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4</w:t>
            </w:r>
          </w:p>
        </w:tc>
        <w:tc>
          <w:tcPr>
            <w:tcW w:w="1420" w:type="dxa"/>
            <w:vAlign w:val="bottom"/>
            <w:vMerge w:val="restart"/>
          </w:tcPr>
          <w:p>
            <w:pPr>
              <w:jc w:val="right"/>
              <w:ind w:right="298"/>
              <w:spacing w:after="0"/>
              <w:rPr>
                <w:sz w:val="20"/>
                <w:szCs w:val="20"/>
                <w:color w:val="auto"/>
              </w:rPr>
            </w:pPr>
            <w:r>
              <w:rPr>
                <w:rFonts w:ascii="Courier New" w:cs="Courier New" w:eastAsia="Courier New" w:hAnsi="Courier New"/>
                <w:sz w:val="16"/>
                <w:szCs w:val="16"/>
                <w:color w:val="auto"/>
              </w:rPr>
              <w:t>7,053</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9,837</w:t>
            </w:r>
          </w:p>
        </w:tc>
        <w:tc>
          <w:tcPr>
            <w:tcW w:w="0" w:type="dxa"/>
            <w:vAlign w:val="bottom"/>
          </w:tcPr>
          <w:p>
            <w:pPr>
              <w:spacing w:after="0"/>
              <w:rPr>
                <w:sz w:val="1"/>
                <w:szCs w:val="1"/>
                <w:color w:val="auto"/>
              </w:rPr>
            </w:pPr>
          </w:p>
        </w:tc>
      </w:tr>
      <w:tr>
        <w:trPr>
          <w:trHeight w:val="190"/>
        </w:trPr>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Interest</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and dividends,</w:t>
            </w:r>
          </w:p>
        </w:tc>
        <w:tc>
          <w:tcPr>
            <w:tcW w:w="310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Net appreciation</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in the</w:t>
            </w:r>
          </w:p>
        </w:tc>
        <w:tc>
          <w:tcPr>
            <w:tcW w:w="3100" w:type="dxa"/>
            <w:vAlign w:val="bottom"/>
          </w:tcPr>
          <w:p>
            <w:pPr>
              <w:ind w:left="40"/>
              <w:spacing w:after="0"/>
              <w:rPr>
                <w:sz w:val="20"/>
                <w:szCs w:val="20"/>
                <w:color w:val="auto"/>
              </w:rPr>
            </w:pPr>
            <w:r>
              <w:rPr>
                <w:rFonts w:ascii="Courier New" w:cs="Courier New" w:eastAsia="Courier New" w:hAnsi="Courier New"/>
                <w:sz w:val="16"/>
                <w:szCs w:val="16"/>
                <w:color w:val="auto"/>
              </w:rPr>
              <w:t>fair value of the investments</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(24)</w:t>
            </w: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320</w:t>
            </w:r>
          </w:p>
        </w:tc>
        <w:tc>
          <w:tcPr>
            <w:tcW w:w="14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821,290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821,586</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28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Net investment income</w:t>
            </w:r>
          </w:p>
        </w:tc>
        <w:tc>
          <w:tcPr>
            <w:tcW w:w="258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2,756</w:t>
            </w:r>
          </w:p>
        </w:tc>
        <w:tc>
          <w:tcPr>
            <w:tcW w:w="7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324</w:t>
            </w:r>
          </w:p>
        </w:tc>
        <w:tc>
          <w:tcPr>
            <w:tcW w:w="14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828,343</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831,423</w:t>
            </w:r>
          </w:p>
        </w:tc>
      </w:tr>
      <w:tr>
        <w:trPr>
          <w:trHeight w:val="262"/>
        </w:trPr>
        <w:tc>
          <w:tcPr>
            <w:tcW w:w="840" w:type="dxa"/>
            <w:vAlign w:val="bottom"/>
          </w:tcPr>
          <w:p>
            <w:pPr>
              <w:spacing w:after="0"/>
              <w:rPr>
                <w:sz w:val="20"/>
                <w:szCs w:val="20"/>
                <w:color w:val="auto"/>
              </w:rPr>
            </w:pPr>
            <w:r>
              <w:rPr>
                <w:rFonts w:ascii="Courier New" w:cs="Courier New" w:eastAsia="Courier New" w:hAnsi="Courier New"/>
                <w:sz w:val="16"/>
                <w:szCs w:val="16"/>
                <w:color w:val="auto"/>
              </w:rPr>
              <w:t>Employer</w:t>
            </w:r>
          </w:p>
        </w:tc>
        <w:tc>
          <w:tcPr>
            <w:tcW w:w="3440" w:type="dxa"/>
            <w:vAlign w:val="bottom"/>
          </w:tcPr>
          <w:p>
            <w:pPr>
              <w:ind w:left="40"/>
              <w:spacing w:after="0"/>
              <w:rPr>
                <w:sz w:val="20"/>
                <w:szCs w:val="20"/>
                <w:color w:val="auto"/>
              </w:rPr>
            </w:pPr>
            <w:r>
              <w:rPr>
                <w:rFonts w:ascii="Courier New" w:cs="Courier New" w:eastAsia="Courier New" w:hAnsi="Courier New"/>
                <w:sz w:val="16"/>
                <w:szCs w:val="16"/>
                <w:color w:val="auto"/>
              </w:rPr>
              <w:t>contributions</w:t>
            </w:r>
          </w:p>
        </w:tc>
        <w:tc>
          <w:tcPr>
            <w:tcW w:w="258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0</w:t>
            </w:r>
          </w:p>
        </w:tc>
        <w:tc>
          <w:tcPr>
            <w:tcW w:w="7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0</w:t>
            </w:r>
          </w:p>
        </w:tc>
        <w:tc>
          <w:tcPr>
            <w:tcW w:w="14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587,346</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587,346</w:t>
            </w:r>
          </w:p>
        </w:tc>
      </w:tr>
      <w:tr>
        <w:trPr>
          <w:trHeight w:val="220"/>
        </w:trPr>
        <w:tc>
          <w:tcPr>
            <w:tcW w:w="840" w:type="dxa"/>
            <w:vAlign w:val="bottom"/>
          </w:tcPr>
          <w:p>
            <w:pPr>
              <w:spacing w:after="0"/>
              <w:rPr>
                <w:sz w:val="20"/>
                <w:szCs w:val="20"/>
                <w:color w:val="auto"/>
              </w:rPr>
            </w:pPr>
            <w:r>
              <w:rPr>
                <w:rFonts w:ascii="Courier New" w:cs="Courier New" w:eastAsia="Courier New" w:hAnsi="Courier New"/>
                <w:sz w:val="16"/>
                <w:szCs w:val="16"/>
                <w:color w:val="auto"/>
              </w:rPr>
              <w:t>Employee</w:t>
            </w:r>
          </w:p>
        </w:tc>
        <w:tc>
          <w:tcPr>
            <w:tcW w:w="3440" w:type="dxa"/>
            <w:vAlign w:val="bottom"/>
          </w:tcPr>
          <w:p>
            <w:pPr>
              <w:ind w:left="40"/>
              <w:spacing w:after="0"/>
              <w:rPr>
                <w:sz w:val="20"/>
                <w:szCs w:val="20"/>
                <w:color w:val="auto"/>
              </w:rPr>
            </w:pPr>
            <w:r>
              <w:rPr>
                <w:rFonts w:ascii="Courier New" w:cs="Courier New" w:eastAsia="Courier New" w:hAnsi="Courier New"/>
                <w:sz w:val="16"/>
                <w:szCs w:val="16"/>
                <w:color w:val="auto"/>
              </w:rPr>
              <w:t>contributions</w:t>
            </w:r>
          </w:p>
        </w:tc>
        <w:tc>
          <w:tcPr>
            <w:tcW w:w="258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0</w:t>
            </w:r>
          </w:p>
        </w:tc>
        <w:tc>
          <w:tcPr>
            <w:tcW w:w="7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0</w:t>
            </w:r>
          </w:p>
        </w:tc>
        <w:tc>
          <w:tcPr>
            <w:tcW w:w="14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1,188,251</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1,188,251</w:t>
            </w:r>
          </w:p>
        </w:tc>
      </w:tr>
    </w:tbl>
    <w:p>
      <w:pPr>
        <w:ind w:left="200" w:hanging="199"/>
        <w:spacing w:after="0"/>
        <w:tabs>
          <w:tab w:leader="none" w:pos="2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6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2,7563242,603,9402,607,020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20"/>
                <w:szCs w:val="20"/>
                <w:color w:val="auto"/>
              </w:rPr>
            </w:pPr>
            <w:r>
              <w:rPr>
                <w:rFonts w:ascii="Courier New" w:cs="Courier New" w:eastAsia="Courier New" w:hAnsi="Courier New"/>
                <w:sz w:val="16"/>
                <w:szCs w:val="16"/>
                <w:color w:val="auto"/>
              </w:rPr>
              <w:t>Benefit payments</w:t>
            </w:r>
          </w:p>
        </w:tc>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rPr>
              <w:t>(1,604)</w:t>
            </w:r>
          </w:p>
        </w:tc>
        <w:tc>
          <w:tcPr>
            <w:tcW w:w="9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0</w:t>
            </w:r>
          </w:p>
        </w:tc>
        <w:tc>
          <w:tcPr>
            <w:tcW w:w="14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(426,537)</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(428,141)</w:t>
            </w:r>
          </w:p>
        </w:tc>
      </w:tr>
      <w:tr>
        <w:trPr>
          <w:trHeight w:val="190"/>
        </w:trPr>
        <w:tc>
          <w:tcPr>
            <w:tcW w:w="4280" w:type="dxa"/>
            <w:vAlign w:val="bottom"/>
          </w:tcPr>
          <w:p>
            <w:pPr>
              <w:spacing w:after="0"/>
              <w:rPr>
                <w:sz w:val="20"/>
                <w:szCs w:val="20"/>
                <w:color w:val="auto"/>
              </w:rPr>
            </w:pPr>
            <w:r>
              <w:rPr>
                <w:rFonts w:ascii="Courier New" w:cs="Courier New" w:eastAsia="Courier New" w:hAnsi="Courier New"/>
                <w:sz w:val="16"/>
                <w:szCs w:val="16"/>
                <w:color w:val="auto"/>
              </w:rPr>
              <w:t>Forfeitures</w:t>
            </w:r>
          </w:p>
        </w:tc>
        <w:tc>
          <w:tcPr>
            <w:tcW w:w="24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0</w:t>
            </w:r>
          </w:p>
        </w:tc>
        <w:tc>
          <w:tcPr>
            <w:tcW w:w="9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0</w:t>
            </w:r>
          </w:p>
        </w:tc>
        <w:tc>
          <w:tcPr>
            <w:tcW w:w="14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(30,188)</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(30,188)</w:t>
            </w:r>
          </w:p>
        </w:tc>
      </w:tr>
      <w:tr>
        <w:trPr>
          <w:trHeight w:val="220"/>
        </w:trPr>
        <w:tc>
          <w:tcPr>
            <w:tcW w:w="4280" w:type="dxa"/>
            <w:vAlign w:val="bottom"/>
          </w:tcPr>
          <w:p>
            <w:pPr>
              <w:spacing w:after="0"/>
              <w:rPr>
                <w:sz w:val="20"/>
                <w:szCs w:val="20"/>
                <w:color w:val="auto"/>
              </w:rPr>
            </w:pPr>
            <w:r>
              <w:rPr>
                <w:rFonts w:ascii="Courier New" w:cs="Courier New" w:eastAsia="Courier New" w:hAnsi="Courier New"/>
                <w:sz w:val="16"/>
                <w:szCs w:val="16"/>
                <w:color w:val="auto"/>
              </w:rPr>
              <w:t>Transfers from other plans</w:t>
            </w:r>
          </w:p>
        </w:tc>
        <w:tc>
          <w:tcPr>
            <w:tcW w:w="24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57,200</w:t>
            </w:r>
          </w:p>
        </w:tc>
        <w:tc>
          <w:tcPr>
            <w:tcW w:w="9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10,860</w:t>
            </w:r>
          </w:p>
        </w:tc>
        <w:tc>
          <w:tcPr>
            <w:tcW w:w="14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(68,060)</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w:t>
            </w:r>
          </w:p>
        </w:tc>
      </w:tr>
    </w:tbl>
    <w:p>
      <w:pPr>
        <w:ind w:left="200" w:hanging="199"/>
        <w:spacing w:after="0"/>
        <w:tabs>
          <w:tab w:leader="none" w:pos="2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in net assets available for</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plan</w:t>
            </w:r>
          </w:p>
        </w:tc>
        <w:tc>
          <w:tcPr>
            <w:tcW w:w="3900" w:type="dxa"/>
            <w:vAlign w:val="bottom"/>
          </w:tcPr>
          <w:p>
            <w:pPr>
              <w:jc w:val="right"/>
              <w:ind w:right="2978"/>
              <w:spacing w:after="0"/>
              <w:rPr>
                <w:sz w:val="20"/>
                <w:szCs w:val="20"/>
                <w:color w:val="auto"/>
              </w:rPr>
            </w:pPr>
            <w:r>
              <w:rPr>
                <w:rFonts w:ascii="Courier New" w:cs="Courier New" w:eastAsia="Courier New" w:hAnsi="Courier New"/>
                <w:sz w:val="16"/>
                <w:szCs w:val="16"/>
                <w:color w:val="auto"/>
              </w:rPr>
              <w:t>benefits</w:t>
            </w:r>
          </w:p>
        </w:tc>
        <w:tc>
          <w:tcPr>
            <w:tcW w:w="17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58,352</w:t>
            </w:r>
          </w:p>
        </w:tc>
        <w:tc>
          <w:tcPr>
            <w:tcW w:w="9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11,184</w:t>
            </w:r>
          </w:p>
        </w:tc>
        <w:tc>
          <w:tcPr>
            <w:tcW w:w="13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2,079,155</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2,148,691</w:t>
            </w:r>
          </w:p>
        </w:tc>
        <w:tc>
          <w:tcPr>
            <w:tcW w:w="0" w:type="dxa"/>
            <w:vAlign w:val="bottom"/>
          </w:tcPr>
          <w:p>
            <w:pPr>
              <w:spacing w:after="0"/>
              <w:rPr>
                <w:sz w:val="1"/>
                <w:szCs w:val="1"/>
                <w:color w:val="auto"/>
              </w:rPr>
            </w:pPr>
          </w:p>
        </w:tc>
      </w:tr>
      <w:tr>
        <w:trPr>
          <w:trHeight w:val="262"/>
        </w:trPr>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9"/>
              </w:rPr>
              <w:t>Net assets</w:t>
            </w:r>
          </w:p>
        </w:tc>
        <w:tc>
          <w:tcPr>
            <w:tcW w:w="3900" w:type="dxa"/>
            <w:vAlign w:val="bottom"/>
          </w:tcPr>
          <w:p>
            <w:pPr>
              <w:jc w:val="right"/>
              <w:ind w:right="1018"/>
              <w:spacing w:after="0"/>
              <w:rPr>
                <w:sz w:val="20"/>
                <w:szCs w:val="20"/>
                <w:color w:val="auto"/>
              </w:rPr>
            </w:pPr>
            <w:r>
              <w:rPr>
                <w:rFonts w:ascii="Courier New" w:cs="Courier New" w:eastAsia="Courier New" w:hAnsi="Courier New"/>
                <w:sz w:val="16"/>
                <w:szCs w:val="16"/>
                <w:color w:val="auto"/>
              </w:rPr>
              <w:t>available for plan benefits:</w:t>
            </w:r>
          </w:p>
        </w:tc>
        <w:tc>
          <w:tcPr>
            <w:tcW w:w="176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13,204</w:t>
            </w:r>
          </w:p>
        </w:tc>
        <w:tc>
          <w:tcPr>
            <w:tcW w:w="940" w:type="dxa"/>
            <w:vAlign w:val="bottom"/>
            <w:vMerge w:val="restart"/>
          </w:tcPr>
          <w:p>
            <w:pPr>
              <w:jc w:val="right"/>
              <w:ind w:right="158"/>
              <w:spacing w:after="0"/>
              <w:rPr>
                <w:sz w:val="20"/>
                <w:szCs w:val="20"/>
                <w:color w:val="auto"/>
              </w:rPr>
            </w:pPr>
            <w:r>
              <w:rPr>
                <w:rFonts w:ascii="Courier New" w:cs="Courier New" w:eastAsia="Courier New" w:hAnsi="Courier New"/>
                <w:sz w:val="16"/>
                <w:szCs w:val="16"/>
                <w:color w:val="auto"/>
              </w:rPr>
              <w:t>5,309</w:t>
            </w:r>
          </w:p>
        </w:tc>
        <w:tc>
          <w:tcPr>
            <w:tcW w:w="1380" w:type="dxa"/>
            <w:vAlign w:val="bottom"/>
            <w:vMerge w:val="restart"/>
          </w:tcPr>
          <w:p>
            <w:pPr>
              <w:jc w:val="right"/>
              <w:ind w:right="158"/>
              <w:spacing w:after="0"/>
              <w:rPr>
                <w:sz w:val="20"/>
                <w:szCs w:val="20"/>
                <w:color w:val="auto"/>
              </w:rPr>
            </w:pPr>
            <w:r>
              <w:rPr>
                <w:rFonts w:ascii="Courier New" w:cs="Courier New" w:eastAsia="Courier New" w:hAnsi="Courier New"/>
                <w:sz w:val="16"/>
                <w:szCs w:val="16"/>
                <w:color w:val="auto"/>
              </w:rPr>
              <w:t>6,725,634</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6,744,147</w:t>
            </w:r>
          </w:p>
        </w:tc>
        <w:tc>
          <w:tcPr>
            <w:tcW w:w="0" w:type="dxa"/>
            <w:vAlign w:val="bottom"/>
          </w:tcPr>
          <w:p>
            <w:pPr>
              <w:spacing w:after="0"/>
              <w:rPr>
                <w:sz w:val="1"/>
                <w:szCs w:val="1"/>
                <w:color w:val="auto"/>
              </w:rPr>
            </w:pPr>
          </w:p>
        </w:tc>
      </w:tr>
      <w:tr>
        <w:trPr>
          <w:trHeight w:val="220"/>
        </w:trPr>
        <w:tc>
          <w:tcPr>
            <w:tcW w:w="4940" w:type="dxa"/>
            <w:vAlign w:val="bottom"/>
            <w:gridSpan w:val="2"/>
          </w:tcPr>
          <w:p>
            <w:pPr>
              <w:jc w:val="right"/>
              <w:ind w:right="2978"/>
              <w:spacing w:after="0"/>
              <w:rPr>
                <w:sz w:val="20"/>
                <w:szCs w:val="20"/>
                <w:color w:val="auto"/>
              </w:rPr>
            </w:pPr>
            <w:r>
              <w:rPr>
                <w:rFonts w:ascii="Courier New" w:cs="Courier New" w:eastAsia="Courier New" w:hAnsi="Courier New"/>
                <w:sz w:val="16"/>
                <w:szCs w:val="16"/>
                <w:color w:val="auto"/>
              </w:rPr>
              <w:t>Beginning of year</w:t>
            </w:r>
          </w:p>
        </w:tc>
        <w:tc>
          <w:tcPr>
            <w:tcW w:w="17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68"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3360" w:type="dxa"/>
            <w:vAlign w:val="bottom"/>
          </w:tcPr>
          <w:p>
            <w:pPr>
              <w:spacing w:after="0"/>
              <w:rPr>
                <w:sz w:val="20"/>
                <w:szCs w:val="20"/>
                <w:color w:val="auto"/>
              </w:rPr>
            </w:pPr>
            <w:r>
              <w:rPr>
                <w:rFonts w:ascii="Courier New" w:cs="Courier New" w:eastAsia="Courier New" w:hAnsi="Courier New"/>
                <w:sz w:val="16"/>
                <w:szCs w:val="16"/>
                <w:color w:val="auto"/>
              </w:rPr>
              <w:t>End of year</w:t>
            </w:r>
          </w:p>
        </w:tc>
        <w:tc>
          <w:tcPr>
            <w:tcW w:w="4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$ 71,556  16,493</w:t>
            </w:r>
          </w:p>
        </w:tc>
        <w:tc>
          <w:tcPr>
            <w:tcW w:w="13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8,804,789</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8,892,838</w:t>
            </w:r>
          </w:p>
        </w:tc>
      </w:tr>
    </w:tbl>
    <w:p>
      <w:pPr>
        <w:ind w:left="200" w:hanging="199"/>
        <w:spacing w:after="0"/>
        <w:tabs>
          <w:tab w:leader="none" w:pos="2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financial statements.</w:t>
      </w:r>
    </w:p>
    <w:p>
      <w:pPr>
        <w:sectPr>
          <w:pgSz w:w="11900" w:h="16838" w:orient="portrait"/>
          <w:cols w:equalWidth="0" w:num="1">
            <w:col w:w="10540"/>
          </w:cols>
          <w:pgMar w:left="240" w:top="655" w:right="1119" w:bottom="1440" w:gutter="0" w:footer="0" w:header="0"/>
        </w:sectPr>
      </w:pPr>
    </w:p>
    <w:bookmarkStart w:id="7" w:name="page8"/>
    <w:bookmarkEnd w:id="7"/>
    <w:p>
      <w:pPr>
        <w:jc w:val="center"/>
        <w:ind w:right="3160"/>
        <w:spacing w:after="0"/>
        <w:rPr>
          <w:sz w:val="20"/>
          <w:szCs w:val="20"/>
          <w:color w:val="auto"/>
        </w:rPr>
      </w:pPr>
      <w:r>
        <w:rPr>
          <w:rFonts w:ascii="Courier New" w:cs="Courier New" w:eastAsia="Courier New" w:hAnsi="Courier New"/>
          <w:sz w:val="16"/>
          <w:szCs w:val="16"/>
          <w:color w:val="auto"/>
        </w:rPr>
        <w:t>THE TORO COMPANY MATCHING STOCK PLAN</w:t>
      </w:r>
    </w:p>
    <w:p>
      <w:pPr>
        <w:spacing w:after="0" w:line="198"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6"/>
          <w:szCs w:val="16"/>
          <w:color w:val="auto"/>
        </w:rPr>
        <w:t>Statement of Changes in Net Assets Available for Plan Benefits</w:t>
      </w:r>
    </w:p>
    <w:p>
      <w:pPr>
        <w:spacing w:after="0" w:line="19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Year ended July 31,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5920" w:type="dxa"/>
        <w:tblCellMar>
          <w:top w:w="0" w:type="dxa"/>
          <w:left w:w="0" w:type="dxa"/>
          <w:bottom w:w="0" w:type="dxa"/>
          <w:right w:w="0" w:type="dxa"/>
        </w:tblCellMar>
      </w:tblPr>
      <w:tr>
        <w:trPr>
          <w:trHeight w:val="190"/>
        </w:trPr>
        <w:tc>
          <w:tcPr>
            <w:tcW w:w="1080" w:type="dxa"/>
            <w:vAlign w:val="bottom"/>
            <w:vMerge w:val="restart"/>
          </w:tcPr>
          <w:p>
            <w:pPr>
              <w:jc w:val="center"/>
              <w:ind w:right="18"/>
              <w:spacing w:after="0"/>
              <w:rPr>
                <w:sz w:val="20"/>
                <w:szCs w:val="20"/>
                <w:color w:val="auto"/>
              </w:rPr>
            </w:pPr>
            <w:r>
              <w:rPr>
                <w:rFonts w:ascii="Courier New" w:cs="Courier New" w:eastAsia="Courier New" w:hAnsi="Courier New"/>
                <w:sz w:val="16"/>
                <w:szCs w:val="16"/>
                <w:color w:val="auto"/>
                <w:w w:val="98"/>
              </w:rPr>
              <w:t>Toro</w:t>
            </w:r>
          </w:p>
        </w:tc>
        <w:tc>
          <w:tcPr>
            <w:tcW w:w="124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w w:val="98"/>
              </w:rPr>
              <w:t>Toro</w:t>
            </w:r>
          </w:p>
        </w:tc>
        <w:tc>
          <w:tcPr>
            <w:tcW w:w="132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The Toro</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8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32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Company</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8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Investment</w:t>
            </w:r>
          </w:p>
        </w:tc>
        <w:tc>
          <w:tcPr>
            <w:tcW w:w="1240" w:type="dxa"/>
            <w:vAlign w:val="bottom"/>
          </w:tcPr>
          <w:p>
            <w:pPr>
              <w:jc w:val="center"/>
              <w:spacing w:after="0"/>
              <w:rPr>
                <w:sz w:val="20"/>
                <w:szCs w:val="20"/>
                <w:color w:val="auto"/>
              </w:rPr>
            </w:pPr>
            <w:r>
              <w:rPr>
                <w:rFonts w:ascii="Courier New" w:cs="Courier New" w:eastAsia="Courier New" w:hAnsi="Courier New"/>
                <w:sz w:val="16"/>
                <w:szCs w:val="16"/>
                <w:color w:val="auto"/>
              </w:rPr>
              <w:t>Investment</w:t>
            </w:r>
          </w:p>
        </w:tc>
        <w:tc>
          <w:tcPr>
            <w:tcW w:w="132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Common</w:t>
            </w:r>
          </w:p>
        </w:tc>
        <w:tc>
          <w:tcPr>
            <w:tcW w:w="900" w:type="dxa"/>
            <w:vAlign w:val="bottom"/>
            <w:vMerge w:val="restart"/>
          </w:tcPr>
          <w:p>
            <w:pPr>
              <w:ind w:left="400"/>
              <w:spacing w:after="0"/>
              <w:rPr>
                <w:sz w:val="20"/>
                <w:szCs w:val="20"/>
                <w:color w:val="auto"/>
              </w:rPr>
            </w:pPr>
            <w:r>
              <w:rPr>
                <w:rFonts w:ascii="Courier New" w:cs="Courier New" w:eastAsia="Courier New" w:hAnsi="Courier New"/>
                <w:sz w:val="16"/>
                <w:szCs w:val="16"/>
                <w:color w:val="auto"/>
                <w:w w:val="99"/>
              </w:rPr>
              <w:t>Total</w:t>
            </w:r>
          </w:p>
        </w:tc>
        <w:tc>
          <w:tcPr>
            <w:tcW w:w="0" w:type="dxa"/>
            <w:vAlign w:val="bottom"/>
          </w:tcPr>
          <w:p>
            <w:pPr>
              <w:spacing w:after="0"/>
              <w:rPr>
                <w:sz w:val="1"/>
                <w:szCs w:val="1"/>
                <w:color w:val="auto"/>
              </w:rPr>
            </w:pPr>
          </w:p>
        </w:tc>
      </w:tr>
      <w:tr>
        <w:trPr>
          <w:trHeight w:val="220"/>
        </w:trPr>
        <w:tc>
          <w:tcPr>
            <w:tcW w:w="108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Fund A</w:t>
            </w:r>
          </w:p>
        </w:tc>
        <w:tc>
          <w:tcPr>
            <w:tcW w:w="1240" w:type="dxa"/>
            <w:vAlign w:val="bottom"/>
          </w:tcPr>
          <w:p>
            <w:pPr>
              <w:jc w:val="center"/>
              <w:spacing w:after="0"/>
              <w:rPr>
                <w:sz w:val="20"/>
                <w:szCs w:val="20"/>
                <w:color w:val="auto"/>
              </w:rPr>
            </w:pPr>
            <w:r>
              <w:rPr>
                <w:rFonts w:ascii="Courier New" w:cs="Courier New" w:eastAsia="Courier New" w:hAnsi="Courier New"/>
                <w:sz w:val="16"/>
                <w:szCs w:val="16"/>
                <w:color w:val="auto"/>
              </w:rPr>
              <w:t>Fund B</w:t>
            </w:r>
          </w:p>
        </w:tc>
        <w:tc>
          <w:tcPr>
            <w:tcW w:w="132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Stock</w:t>
            </w: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9"/>
              </w:rPr>
              <w:t>Investment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income:</w:t>
            </w:r>
          </w:p>
        </w:tc>
        <w:tc>
          <w:tcPr>
            <w:tcW w:w="700" w:type="dxa"/>
            <w:vAlign w:val="bottom"/>
          </w:tcPr>
          <w:p>
            <w:pPr>
              <w:spacing w:after="0"/>
              <w:rPr>
                <w:sz w:val="16"/>
                <w:szCs w:val="16"/>
                <w:color w:val="auto"/>
              </w:rPr>
            </w:pPr>
          </w:p>
        </w:tc>
        <w:tc>
          <w:tcPr>
            <w:tcW w:w="340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net of plan expenses</w:t>
            </w:r>
          </w:p>
        </w:tc>
        <w:tc>
          <w:tcPr>
            <w:tcW w:w="132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$ 383</w:t>
            </w:r>
          </w:p>
        </w:tc>
        <w:tc>
          <w:tcPr>
            <w:tcW w:w="900" w:type="dxa"/>
            <w:vAlign w:val="bottom"/>
            <w:vMerge w:val="restart"/>
          </w:tcPr>
          <w:p>
            <w:pPr>
              <w:jc w:val="right"/>
              <w:ind w:right="178"/>
              <w:spacing w:after="0"/>
              <w:rPr>
                <w:sz w:val="20"/>
                <w:szCs w:val="20"/>
                <w:color w:val="auto"/>
              </w:rPr>
            </w:pPr>
            <w:r>
              <w:rPr>
                <w:rFonts w:ascii="Courier New" w:cs="Courier New" w:eastAsia="Courier New" w:hAnsi="Courier New"/>
                <w:sz w:val="16"/>
                <w:szCs w:val="16"/>
                <w:color w:val="auto"/>
              </w:rPr>
              <w:t>(1)</w:t>
            </w:r>
          </w:p>
        </w:tc>
        <w:tc>
          <w:tcPr>
            <w:tcW w:w="1380" w:type="dxa"/>
            <w:vAlign w:val="bottom"/>
            <w:vMerge w:val="restart"/>
          </w:tcPr>
          <w:p>
            <w:pPr>
              <w:jc w:val="right"/>
              <w:ind w:right="178"/>
              <w:spacing w:after="0"/>
              <w:rPr>
                <w:sz w:val="20"/>
                <w:szCs w:val="20"/>
                <w:color w:val="auto"/>
              </w:rPr>
            </w:pPr>
            <w:r>
              <w:rPr>
                <w:rFonts w:ascii="Courier New" w:cs="Courier New" w:eastAsia="Courier New" w:hAnsi="Courier New"/>
                <w:sz w:val="16"/>
                <w:szCs w:val="16"/>
                <w:color w:val="auto"/>
              </w:rPr>
              <w:t>6,449</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6,831</w:t>
            </w:r>
          </w:p>
        </w:tc>
        <w:tc>
          <w:tcPr>
            <w:tcW w:w="0" w:type="dxa"/>
            <w:vAlign w:val="bottom"/>
          </w:tcPr>
          <w:p>
            <w:pPr>
              <w:spacing w:after="0"/>
              <w:rPr>
                <w:sz w:val="1"/>
                <w:szCs w:val="1"/>
                <w:color w:val="auto"/>
              </w:rPr>
            </w:pPr>
          </w:p>
        </w:tc>
      </w:tr>
      <w:tr>
        <w:trPr>
          <w:trHeight w:val="190"/>
        </w:trPr>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Interest</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and dividends,</w:t>
            </w:r>
          </w:p>
        </w:tc>
        <w:tc>
          <w:tcPr>
            <w:tcW w:w="340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Net appreciation</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in the</w:t>
            </w:r>
          </w:p>
        </w:tc>
        <w:tc>
          <w:tcPr>
            <w:tcW w:w="3400" w:type="dxa"/>
            <w:vAlign w:val="bottom"/>
          </w:tcPr>
          <w:p>
            <w:pPr>
              <w:ind w:left="40"/>
              <w:spacing w:after="0"/>
              <w:rPr>
                <w:sz w:val="20"/>
                <w:szCs w:val="20"/>
                <w:color w:val="auto"/>
              </w:rPr>
            </w:pPr>
            <w:r>
              <w:rPr>
                <w:rFonts w:ascii="Courier New" w:cs="Courier New" w:eastAsia="Courier New" w:hAnsi="Courier New"/>
                <w:sz w:val="16"/>
                <w:szCs w:val="16"/>
                <w:color w:val="auto"/>
              </w:rPr>
              <w:t>fair value of the investments</w:t>
            </w: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10</w:t>
            </w:r>
          </w:p>
        </w:tc>
        <w:tc>
          <w:tcPr>
            <w:tcW w:w="90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7</w:t>
            </w:r>
          </w:p>
        </w:tc>
        <w:tc>
          <w:tcPr>
            <w:tcW w:w="138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1,996,733</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1,996,750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54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Net investment income</w:t>
            </w:r>
          </w:p>
        </w:tc>
        <w:tc>
          <w:tcPr>
            <w:tcW w:w="276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393</w:t>
            </w: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w:t>
            </w:r>
          </w:p>
        </w:tc>
        <w:tc>
          <w:tcPr>
            <w:tcW w:w="14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2,003,182</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2,003,581</w:t>
            </w:r>
          </w:p>
        </w:tc>
      </w:tr>
      <w:tr>
        <w:trPr>
          <w:trHeight w:val="262"/>
        </w:trPr>
        <w:tc>
          <w:tcPr>
            <w:tcW w:w="840" w:type="dxa"/>
            <w:vAlign w:val="bottom"/>
          </w:tcPr>
          <w:p>
            <w:pPr>
              <w:spacing w:after="0"/>
              <w:rPr>
                <w:sz w:val="20"/>
                <w:szCs w:val="20"/>
                <w:color w:val="auto"/>
              </w:rPr>
            </w:pPr>
            <w:r>
              <w:rPr>
                <w:rFonts w:ascii="Courier New" w:cs="Courier New" w:eastAsia="Courier New" w:hAnsi="Courier New"/>
                <w:sz w:val="16"/>
                <w:szCs w:val="16"/>
                <w:color w:val="auto"/>
              </w:rPr>
              <w:t>Employer</w:t>
            </w:r>
          </w:p>
        </w:tc>
        <w:tc>
          <w:tcPr>
            <w:tcW w:w="3700" w:type="dxa"/>
            <w:vAlign w:val="bottom"/>
          </w:tcPr>
          <w:p>
            <w:pPr>
              <w:ind w:left="40"/>
              <w:spacing w:after="0"/>
              <w:rPr>
                <w:sz w:val="20"/>
                <w:szCs w:val="20"/>
                <w:color w:val="auto"/>
              </w:rPr>
            </w:pPr>
            <w:r>
              <w:rPr>
                <w:rFonts w:ascii="Courier New" w:cs="Courier New" w:eastAsia="Courier New" w:hAnsi="Courier New"/>
                <w:sz w:val="16"/>
                <w:szCs w:val="16"/>
                <w:color w:val="auto"/>
              </w:rPr>
              <w:t>contributions</w:t>
            </w:r>
          </w:p>
        </w:tc>
        <w:tc>
          <w:tcPr>
            <w:tcW w:w="276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w:t>
            </w: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0</w:t>
            </w:r>
          </w:p>
        </w:tc>
        <w:tc>
          <w:tcPr>
            <w:tcW w:w="14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512,458</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512,458</w:t>
            </w:r>
          </w:p>
        </w:tc>
      </w:tr>
      <w:tr>
        <w:trPr>
          <w:trHeight w:val="220"/>
        </w:trPr>
        <w:tc>
          <w:tcPr>
            <w:tcW w:w="840" w:type="dxa"/>
            <w:vAlign w:val="bottom"/>
          </w:tcPr>
          <w:p>
            <w:pPr>
              <w:spacing w:after="0"/>
              <w:rPr>
                <w:sz w:val="20"/>
                <w:szCs w:val="20"/>
                <w:color w:val="auto"/>
              </w:rPr>
            </w:pPr>
            <w:r>
              <w:rPr>
                <w:rFonts w:ascii="Courier New" w:cs="Courier New" w:eastAsia="Courier New" w:hAnsi="Courier New"/>
                <w:sz w:val="16"/>
                <w:szCs w:val="16"/>
                <w:color w:val="auto"/>
              </w:rPr>
              <w:t>Employee</w:t>
            </w:r>
          </w:p>
        </w:tc>
        <w:tc>
          <w:tcPr>
            <w:tcW w:w="3700" w:type="dxa"/>
            <w:vAlign w:val="bottom"/>
          </w:tcPr>
          <w:p>
            <w:pPr>
              <w:ind w:left="40"/>
              <w:spacing w:after="0"/>
              <w:rPr>
                <w:sz w:val="20"/>
                <w:szCs w:val="20"/>
                <w:color w:val="auto"/>
              </w:rPr>
            </w:pPr>
            <w:r>
              <w:rPr>
                <w:rFonts w:ascii="Courier New" w:cs="Courier New" w:eastAsia="Courier New" w:hAnsi="Courier New"/>
                <w:sz w:val="16"/>
                <w:szCs w:val="16"/>
                <w:color w:val="auto"/>
              </w:rPr>
              <w:t>contributions</w:t>
            </w:r>
          </w:p>
        </w:tc>
        <w:tc>
          <w:tcPr>
            <w:tcW w:w="276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w:t>
            </w: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0</w:t>
            </w:r>
          </w:p>
        </w:tc>
        <w:tc>
          <w:tcPr>
            <w:tcW w:w="14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1,043,869</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1,043,869</w:t>
            </w:r>
          </w:p>
        </w:tc>
      </w:tr>
    </w:tbl>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440" w:type="dxa"/>
            <w:vAlign w:val="bottom"/>
          </w:tcPr>
          <w:p>
            <w:pPr>
              <w:spacing w:after="0"/>
              <w:rPr>
                <w:sz w:val="24"/>
                <w:szCs w:val="24"/>
                <w:color w:val="auto"/>
              </w:rPr>
            </w:pPr>
          </w:p>
        </w:tc>
        <w:tc>
          <w:tcPr>
            <w:tcW w:w="26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393</w:t>
            </w:r>
          </w:p>
        </w:tc>
        <w:tc>
          <w:tcPr>
            <w:tcW w:w="9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w:t>
            </w: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3,559,509</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3,559,908</w:t>
            </w:r>
          </w:p>
        </w:tc>
      </w:tr>
      <w:tr>
        <w:trPr>
          <w:trHeight w:val="262"/>
        </w:trPr>
        <w:tc>
          <w:tcPr>
            <w:tcW w:w="4440" w:type="dxa"/>
            <w:vAlign w:val="bottom"/>
          </w:tcPr>
          <w:p>
            <w:pPr>
              <w:spacing w:after="0"/>
              <w:rPr>
                <w:sz w:val="20"/>
                <w:szCs w:val="20"/>
                <w:color w:val="auto"/>
              </w:rPr>
            </w:pPr>
            <w:r>
              <w:rPr>
                <w:rFonts w:ascii="Courier New" w:cs="Courier New" w:eastAsia="Courier New" w:hAnsi="Courier New"/>
                <w:sz w:val="16"/>
                <w:szCs w:val="16"/>
                <w:color w:val="auto"/>
              </w:rPr>
              <w:t>Benefit payments</w:t>
            </w:r>
          </w:p>
        </w:tc>
        <w:tc>
          <w:tcPr>
            <w:tcW w:w="26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0</w:t>
            </w:r>
          </w:p>
        </w:tc>
        <w:tc>
          <w:tcPr>
            <w:tcW w:w="9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0</w:t>
            </w:r>
          </w:p>
        </w:tc>
        <w:tc>
          <w:tcPr>
            <w:tcW w:w="1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(400,614)</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(400,614)</w:t>
            </w:r>
          </w:p>
        </w:tc>
      </w:tr>
      <w:tr>
        <w:trPr>
          <w:trHeight w:val="190"/>
        </w:trPr>
        <w:tc>
          <w:tcPr>
            <w:tcW w:w="4440" w:type="dxa"/>
            <w:vAlign w:val="bottom"/>
          </w:tcPr>
          <w:p>
            <w:pPr>
              <w:spacing w:after="0"/>
              <w:rPr>
                <w:sz w:val="20"/>
                <w:szCs w:val="20"/>
                <w:color w:val="auto"/>
              </w:rPr>
            </w:pPr>
            <w:r>
              <w:rPr>
                <w:rFonts w:ascii="Courier New" w:cs="Courier New" w:eastAsia="Courier New" w:hAnsi="Courier New"/>
                <w:sz w:val="16"/>
                <w:szCs w:val="16"/>
                <w:color w:val="auto"/>
              </w:rPr>
              <w:t>Forfeitures</w:t>
            </w:r>
          </w:p>
        </w:tc>
        <w:tc>
          <w:tcPr>
            <w:tcW w:w="26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0</w:t>
            </w:r>
          </w:p>
        </w:tc>
        <w:tc>
          <w:tcPr>
            <w:tcW w:w="9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0</w:t>
            </w:r>
          </w:p>
        </w:tc>
        <w:tc>
          <w:tcPr>
            <w:tcW w:w="1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(36,134)</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(36,134)</w:t>
            </w:r>
          </w:p>
        </w:tc>
      </w:tr>
      <w:tr>
        <w:trPr>
          <w:trHeight w:val="220"/>
        </w:trPr>
        <w:tc>
          <w:tcPr>
            <w:tcW w:w="4440" w:type="dxa"/>
            <w:vAlign w:val="bottom"/>
          </w:tcPr>
          <w:p>
            <w:pPr>
              <w:spacing w:after="0"/>
              <w:rPr>
                <w:sz w:val="20"/>
                <w:szCs w:val="20"/>
                <w:color w:val="auto"/>
              </w:rPr>
            </w:pPr>
            <w:r>
              <w:rPr>
                <w:rFonts w:ascii="Courier New" w:cs="Courier New" w:eastAsia="Courier New" w:hAnsi="Courier New"/>
                <w:sz w:val="16"/>
                <w:szCs w:val="16"/>
                <w:color w:val="auto"/>
              </w:rPr>
              <w:t>Transfers from other plans</w:t>
            </w:r>
          </w:p>
        </w:tc>
        <w:tc>
          <w:tcPr>
            <w:tcW w:w="26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12,811</w:t>
            </w:r>
          </w:p>
        </w:tc>
        <w:tc>
          <w:tcPr>
            <w:tcW w:w="9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5,303</w:t>
            </w:r>
          </w:p>
        </w:tc>
        <w:tc>
          <w:tcPr>
            <w:tcW w:w="1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(18,114)</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w:t>
            </w:r>
          </w:p>
        </w:tc>
      </w:tr>
    </w:tbl>
    <w:p>
      <w:pPr>
        <w:ind w:left="200" w:hanging="199"/>
        <w:spacing w:after="0"/>
        <w:tabs>
          <w:tab w:leader="none" w:pos="2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in net assets available for</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plan</w:t>
            </w:r>
          </w:p>
        </w:tc>
        <w:tc>
          <w:tcPr>
            <w:tcW w:w="4040" w:type="dxa"/>
            <w:vAlign w:val="bottom"/>
          </w:tcPr>
          <w:p>
            <w:pPr>
              <w:jc w:val="right"/>
              <w:ind w:right="3118"/>
              <w:spacing w:after="0"/>
              <w:rPr>
                <w:sz w:val="20"/>
                <w:szCs w:val="20"/>
                <w:color w:val="auto"/>
              </w:rPr>
            </w:pPr>
            <w:r>
              <w:rPr>
                <w:rFonts w:ascii="Courier New" w:cs="Courier New" w:eastAsia="Courier New" w:hAnsi="Courier New"/>
                <w:sz w:val="16"/>
                <w:szCs w:val="16"/>
                <w:color w:val="auto"/>
              </w:rPr>
              <w:t>benefits</w:t>
            </w:r>
          </w:p>
        </w:tc>
        <w:tc>
          <w:tcPr>
            <w:tcW w:w="20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13,204</w:t>
            </w:r>
          </w:p>
        </w:tc>
        <w:tc>
          <w:tcPr>
            <w:tcW w:w="9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5,309</w:t>
            </w:r>
          </w:p>
        </w:tc>
        <w:tc>
          <w:tcPr>
            <w:tcW w:w="14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3,104,647</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3,123,160</w:t>
            </w:r>
          </w:p>
        </w:tc>
        <w:tc>
          <w:tcPr>
            <w:tcW w:w="0" w:type="dxa"/>
            <w:vAlign w:val="bottom"/>
          </w:tcPr>
          <w:p>
            <w:pPr>
              <w:spacing w:after="0"/>
              <w:rPr>
                <w:sz w:val="1"/>
                <w:szCs w:val="1"/>
                <w:color w:val="auto"/>
              </w:rPr>
            </w:pPr>
          </w:p>
        </w:tc>
      </w:tr>
      <w:tr>
        <w:trPr>
          <w:trHeight w:val="262"/>
        </w:trPr>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9"/>
              </w:rPr>
              <w:t>Net assets</w:t>
            </w:r>
          </w:p>
        </w:tc>
        <w:tc>
          <w:tcPr>
            <w:tcW w:w="4040" w:type="dxa"/>
            <w:vAlign w:val="bottom"/>
          </w:tcPr>
          <w:p>
            <w:pPr>
              <w:jc w:val="right"/>
              <w:ind w:right="1158"/>
              <w:spacing w:after="0"/>
              <w:rPr>
                <w:sz w:val="20"/>
                <w:szCs w:val="20"/>
                <w:color w:val="auto"/>
              </w:rPr>
            </w:pPr>
            <w:r>
              <w:rPr>
                <w:rFonts w:ascii="Courier New" w:cs="Courier New" w:eastAsia="Courier New" w:hAnsi="Courier New"/>
                <w:sz w:val="16"/>
                <w:szCs w:val="16"/>
                <w:color w:val="auto"/>
              </w:rPr>
              <w:t>available for plan benefits:</w:t>
            </w:r>
          </w:p>
        </w:tc>
        <w:tc>
          <w:tcPr>
            <w:tcW w:w="202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0</w:t>
            </w:r>
          </w:p>
        </w:tc>
        <w:tc>
          <w:tcPr>
            <w:tcW w:w="98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0</w:t>
            </w:r>
          </w:p>
        </w:tc>
        <w:tc>
          <w:tcPr>
            <w:tcW w:w="1440" w:type="dxa"/>
            <w:vAlign w:val="bottom"/>
            <w:vMerge w:val="restart"/>
          </w:tcPr>
          <w:p>
            <w:pPr>
              <w:jc w:val="right"/>
              <w:ind w:right="178"/>
              <w:spacing w:after="0"/>
              <w:rPr>
                <w:sz w:val="20"/>
                <w:szCs w:val="20"/>
                <w:color w:val="auto"/>
              </w:rPr>
            </w:pPr>
            <w:r>
              <w:rPr>
                <w:rFonts w:ascii="Courier New" w:cs="Courier New" w:eastAsia="Courier New" w:hAnsi="Courier New"/>
                <w:sz w:val="16"/>
                <w:szCs w:val="16"/>
                <w:color w:val="auto"/>
              </w:rPr>
              <w:t>3,620,987</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3,620,987</w:t>
            </w:r>
          </w:p>
        </w:tc>
        <w:tc>
          <w:tcPr>
            <w:tcW w:w="0" w:type="dxa"/>
            <w:vAlign w:val="bottom"/>
          </w:tcPr>
          <w:p>
            <w:pPr>
              <w:spacing w:after="0"/>
              <w:rPr>
                <w:sz w:val="1"/>
                <w:szCs w:val="1"/>
                <w:color w:val="auto"/>
              </w:rPr>
            </w:pPr>
          </w:p>
        </w:tc>
      </w:tr>
      <w:tr>
        <w:trPr>
          <w:trHeight w:val="220"/>
        </w:trPr>
        <w:tc>
          <w:tcPr>
            <w:tcW w:w="5080" w:type="dxa"/>
            <w:vAlign w:val="bottom"/>
            <w:gridSpan w:val="2"/>
          </w:tcPr>
          <w:p>
            <w:pPr>
              <w:jc w:val="right"/>
              <w:ind w:right="3118"/>
              <w:spacing w:after="0"/>
              <w:rPr>
                <w:sz w:val="20"/>
                <w:szCs w:val="20"/>
                <w:color w:val="auto"/>
              </w:rPr>
            </w:pPr>
            <w:r>
              <w:rPr>
                <w:rFonts w:ascii="Courier New" w:cs="Courier New" w:eastAsia="Courier New" w:hAnsi="Courier New"/>
                <w:sz w:val="16"/>
                <w:szCs w:val="16"/>
                <w:color w:val="auto"/>
              </w:rPr>
              <w:t>Beginning of year</w:t>
            </w:r>
          </w:p>
        </w:tc>
        <w:tc>
          <w:tcPr>
            <w:tcW w:w="202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44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68"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3500" w:type="dxa"/>
            <w:vAlign w:val="bottom"/>
          </w:tcPr>
          <w:p>
            <w:pPr>
              <w:spacing w:after="0"/>
              <w:rPr>
                <w:sz w:val="20"/>
                <w:szCs w:val="20"/>
                <w:color w:val="auto"/>
              </w:rPr>
            </w:pPr>
            <w:r>
              <w:rPr>
                <w:rFonts w:ascii="Courier New" w:cs="Courier New" w:eastAsia="Courier New" w:hAnsi="Courier New"/>
                <w:sz w:val="16"/>
                <w:szCs w:val="16"/>
                <w:color w:val="auto"/>
              </w:rPr>
              <w:t>End of year</w:t>
            </w:r>
          </w:p>
        </w:tc>
        <w:tc>
          <w:tcPr>
            <w:tcW w:w="34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$ 13,204</w:t>
            </w:r>
          </w:p>
        </w:tc>
        <w:tc>
          <w:tcPr>
            <w:tcW w:w="9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5,309</w:t>
            </w:r>
          </w:p>
        </w:tc>
        <w:tc>
          <w:tcPr>
            <w:tcW w:w="14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6,725,634</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6,744,147</w:t>
            </w:r>
          </w:p>
        </w:tc>
      </w:tr>
    </w:tbl>
    <w:p>
      <w:pPr>
        <w:ind w:left="200" w:hanging="199"/>
        <w:spacing w:after="0"/>
        <w:tabs>
          <w:tab w:leader="none" w:pos="2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financial statements.</w:t>
      </w:r>
    </w:p>
    <w:p>
      <w:pPr>
        <w:sectPr>
          <w:pgSz w:w="11900" w:h="16838" w:orient="portrait"/>
          <w:cols w:equalWidth="0" w:num="1">
            <w:col w:w="11040"/>
          </w:cols>
          <w:pgMar w:left="240" w:top="655" w:right="619" w:bottom="1440" w:gutter="0" w:footer="0" w:header="0"/>
        </w:sectPr>
      </w:pPr>
    </w:p>
    <w:bookmarkStart w:id="8" w:name="page9"/>
    <w:bookmarkEnd w:id="8"/>
    <w:p>
      <w:pPr>
        <w:ind w:left="2180"/>
        <w:spacing w:after="0"/>
        <w:rPr>
          <w:sz w:val="20"/>
          <w:szCs w:val="20"/>
          <w:color w:val="auto"/>
        </w:rPr>
      </w:pPr>
      <w:r>
        <w:rPr>
          <w:rFonts w:ascii="Courier New" w:cs="Courier New" w:eastAsia="Courier New" w:hAnsi="Courier New"/>
          <w:sz w:val="16"/>
          <w:szCs w:val="16"/>
          <w:color w:val="auto"/>
        </w:rPr>
        <w:t>THE TORO COMPANY MATCHING STOCK PLAN</w:t>
      </w:r>
    </w:p>
    <w:p>
      <w:pPr>
        <w:spacing w:after="0" w:line="198"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Notes to Financial Statements</w:t>
      </w:r>
    </w:p>
    <w:p>
      <w:pPr>
        <w:spacing w:after="0" w:line="19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July 31, 1995 and 1994</w:t>
      </w:r>
    </w:p>
    <w:p>
      <w:pPr>
        <w:spacing w:after="0" w:line="388" w:lineRule="exact"/>
        <w:rPr>
          <w:sz w:val="20"/>
          <w:szCs w:val="20"/>
          <w:color w:val="auto"/>
        </w:rPr>
      </w:pPr>
    </w:p>
    <w:p>
      <w:pPr>
        <w:ind w:left="500" w:right="5579" w:hanging="499"/>
        <w:spacing w:after="0" w:line="502" w:lineRule="auto"/>
        <w:tabs>
          <w:tab w:leader="none" w:pos="5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BASIS OF STATEMENT PRESENTATION</w:t>
      </w:r>
    </w:p>
    <w:p>
      <w:pPr>
        <w:ind w:left="980" w:right="2439" w:hanging="295"/>
        <w:spacing w:after="0" w:line="314" w:lineRule="auto"/>
        <w:rPr>
          <w:sz w:val="20"/>
          <w:szCs w:val="20"/>
          <w:color w:val="auto"/>
        </w:rPr>
      </w:pPr>
      <w:r>
        <w:rPr>
          <w:rFonts w:ascii="Courier New" w:cs="Courier New" w:eastAsia="Courier New" w:hAnsi="Courier New"/>
          <w:sz w:val="16"/>
          <w:szCs w:val="16"/>
          <w:color w:val="auto"/>
        </w:rPr>
        <w:t>The accompanying financial statements of the Toro Company Matching Stock Plan (the Plan) are presented in accordance with generally accepted accounting principles.</w:t>
      </w:r>
    </w:p>
    <w:p>
      <w:pPr>
        <w:spacing w:after="0" w:line="47" w:lineRule="exact"/>
        <w:rPr>
          <w:sz w:val="20"/>
          <w:szCs w:val="20"/>
          <w:color w:val="auto"/>
        </w:rPr>
      </w:pPr>
    </w:p>
    <w:p>
      <w:pPr>
        <w:ind w:left="980" w:right="2719" w:hanging="295"/>
        <w:spacing w:after="0" w:line="376" w:lineRule="auto"/>
        <w:rPr>
          <w:sz w:val="20"/>
          <w:szCs w:val="20"/>
          <w:color w:val="auto"/>
        </w:rPr>
      </w:pPr>
      <w:r>
        <w:rPr>
          <w:rFonts w:ascii="Courier New" w:cs="Courier New" w:eastAsia="Courier New" w:hAnsi="Courier New"/>
          <w:sz w:val="16"/>
          <w:szCs w:val="16"/>
          <w:color w:val="auto"/>
        </w:rPr>
        <w:t>Certain prior year amounts have been reclassified to conform with the current year presentation.</w:t>
      </w:r>
    </w:p>
    <w:p>
      <w:pPr>
        <w:spacing w:after="0" w:line="1"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INVESTMENTS</w:t>
      </w:r>
    </w:p>
    <w:p>
      <w:pPr>
        <w:spacing w:after="0" w:line="198" w:lineRule="exact"/>
        <w:rPr>
          <w:sz w:val="20"/>
          <w:szCs w:val="20"/>
          <w:color w:val="auto"/>
        </w:rPr>
      </w:pPr>
    </w:p>
    <w:p>
      <w:pPr>
        <w:ind w:left="980" w:right="2439" w:hanging="295"/>
        <w:spacing w:after="0" w:line="261" w:lineRule="auto"/>
        <w:rPr>
          <w:sz w:val="20"/>
          <w:szCs w:val="20"/>
          <w:color w:val="auto"/>
        </w:rPr>
      </w:pPr>
      <w:r>
        <w:rPr>
          <w:rFonts w:ascii="Courier New" w:cs="Courier New" w:eastAsia="Courier New" w:hAnsi="Courier New"/>
          <w:sz w:val="16"/>
          <w:szCs w:val="16"/>
          <w:color w:val="auto"/>
        </w:rPr>
        <w:t>Currently, The Toro Company (the Company) maintains one fund within the master trust agreement for seven profit sharing and retirement plans which are sponsored by the Company. Prior to May 1, 1995, the Company maintained three separate funds within the master trust agreement for the seven plans. The seven plans include the Toro Company Profit Sharing Plan and Trust Agreement for Office Employees, the Toro Company Profit Sharing Plan and Trust Agreement for Minneapolis Factory Employees, the Toro Company Profit Sharing Plan and Trust Agreement for Windom Factory Employees, the Toro Company Profit Sharing Plan and Trust Agreement for Hourly Employees, the Toro Company Profit Sharing Plan and Trust Agreement for Plymouth Union Employees, the Toro Company Employee Stock Ownership Plan and Trust Agreement, and the Toro Company Matching Stock Plan.</w:t>
      </w:r>
    </w:p>
    <w:p>
      <w:pPr>
        <w:spacing w:after="0" w:line="92" w:lineRule="exact"/>
        <w:rPr>
          <w:sz w:val="20"/>
          <w:szCs w:val="20"/>
          <w:color w:val="auto"/>
        </w:rPr>
      </w:pPr>
    </w:p>
    <w:p>
      <w:pPr>
        <w:ind w:left="980" w:right="2619" w:hanging="279"/>
        <w:spacing w:after="0" w:line="282" w:lineRule="auto"/>
        <w:tabs>
          <w:tab w:leader="none" w:pos="960" w:val="left"/>
        </w:tabs>
        <w:rPr>
          <w:sz w:val="20"/>
          <w:szCs w:val="20"/>
          <w:color w:val="auto"/>
        </w:rPr>
      </w:pPr>
      <w:r>
        <w:rPr>
          <w:rFonts w:ascii="Courier New" w:cs="Courier New" w:eastAsia="Courier New" w:hAnsi="Courier New"/>
          <w:sz w:val="16"/>
          <w:szCs w:val="16"/>
          <w:color w:val="auto"/>
        </w:rPr>
        <w:t>On</w:t>
        <w:tab/>
        <w:t>May 1, 1995, investments in the master trust and the Toro Company Common Stock were transferred from First Trust National Association to Putnam Fiduciary Trust Company. The purpose of the master trust is to pool investment transactions and achieve uniform rates of return on comparable funds under all plans.</w:t>
      </w:r>
    </w:p>
    <w:p>
      <w:pPr>
        <w:spacing w:after="0" w:line="73" w:lineRule="exact"/>
        <w:rPr>
          <w:sz w:val="20"/>
          <w:szCs w:val="20"/>
          <w:color w:val="auto"/>
        </w:rPr>
      </w:pPr>
    </w:p>
    <w:p>
      <w:pPr>
        <w:ind w:left="980" w:right="3319" w:hanging="279"/>
        <w:spacing w:after="0" w:line="314" w:lineRule="auto"/>
        <w:tabs>
          <w:tab w:leader="none" w:pos="960" w:val="left"/>
        </w:tabs>
        <w:rPr>
          <w:sz w:val="20"/>
          <w:szCs w:val="20"/>
          <w:color w:val="auto"/>
        </w:rPr>
      </w:pPr>
      <w:r>
        <w:rPr>
          <w:rFonts w:ascii="Courier New" w:cs="Courier New" w:eastAsia="Courier New" w:hAnsi="Courier New"/>
          <w:sz w:val="16"/>
          <w:szCs w:val="16"/>
          <w:color w:val="auto"/>
        </w:rPr>
        <w:t>At</w:t>
        <w:tab/>
        <w:t>Putnam Fiduciary Trust Company (Putnam or the trustee), plan investments are invested in the following investment funds in addition to the Toro Company Common Stock:</w:t>
      </w:r>
    </w:p>
    <w:p>
      <w:pPr>
        <w:spacing w:after="0" w:line="47" w:lineRule="exact"/>
        <w:rPr>
          <w:sz w:val="20"/>
          <w:szCs w:val="20"/>
          <w:color w:val="auto"/>
        </w:rPr>
      </w:pPr>
    </w:p>
    <w:p>
      <w:pPr>
        <w:ind w:left="1480" w:right="2519" w:hanging="393"/>
        <w:spacing w:after="0" w:line="270" w:lineRule="auto"/>
        <w:rPr>
          <w:sz w:val="20"/>
          <w:szCs w:val="20"/>
          <w:color w:val="auto"/>
        </w:rPr>
      </w:pPr>
      <w:r>
        <w:rPr>
          <w:rFonts w:ascii="Courier New" w:cs="Courier New" w:eastAsia="Courier New" w:hAnsi="Courier New"/>
          <w:sz w:val="16"/>
          <w:szCs w:val="16"/>
          <w:color w:val="auto"/>
        </w:rPr>
        <w:t>The Toro Stable Value Fund, which prior to May 1, 1995 was referred to as the Toro Investment Fund A, is invested in</w:t>
      </w:r>
    </w:p>
    <w:p>
      <w:pPr>
        <w:spacing w:after="0" w:line="1" w:lineRule="exact"/>
        <w:rPr>
          <w:sz w:val="20"/>
          <w:szCs w:val="20"/>
          <w:color w:val="auto"/>
        </w:rPr>
      </w:pPr>
    </w:p>
    <w:p>
      <w:pPr>
        <w:ind w:left="1480" w:right="2439"/>
        <w:spacing w:after="0" w:line="272" w:lineRule="auto"/>
        <w:rPr>
          <w:sz w:val="20"/>
          <w:szCs w:val="20"/>
          <w:color w:val="auto"/>
        </w:rPr>
      </w:pPr>
      <w:r>
        <w:rPr>
          <w:rFonts w:ascii="Courier New" w:cs="Courier New" w:eastAsia="Courier New" w:hAnsi="Courier New"/>
          <w:sz w:val="16"/>
          <w:szCs w:val="16"/>
          <w:color w:val="auto"/>
        </w:rPr>
        <w:t>investment contracts with insurance companies, major banks, and other financial institutions. The fund's holdings may also include U.S. government agency mortgage-backed securities, AAA-rated asset-backed securities, high-quality debt securities, and money market investments.</w:t>
      </w:r>
    </w:p>
    <w:p>
      <w:pPr>
        <w:spacing w:after="0" w:line="80" w:lineRule="exact"/>
        <w:rPr>
          <w:sz w:val="20"/>
          <w:szCs w:val="20"/>
          <w:color w:val="auto"/>
        </w:rPr>
      </w:pPr>
    </w:p>
    <w:p>
      <w:pPr>
        <w:ind w:left="1480" w:right="2439" w:hanging="393"/>
        <w:spacing w:after="0" w:line="376" w:lineRule="auto"/>
        <w:rPr>
          <w:sz w:val="20"/>
          <w:szCs w:val="20"/>
          <w:color w:val="auto"/>
        </w:rPr>
      </w:pPr>
      <w:r>
        <w:rPr>
          <w:rFonts w:ascii="Courier New" w:cs="Courier New" w:eastAsia="Courier New" w:hAnsi="Courier New"/>
          <w:sz w:val="16"/>
          <w:szCs w:val="16"/>
          <w:color w:val="auto"/>
        </w:rPr>
        <w:t>The Putnam Fund for Growth and Income is invested in common stock of companies with current income and capital growth.</w:t>
      </w:r>
    </w:p>
    <w:p>
      <w:pPr>
        <w:spacing w:after="0" w:line="1" w:lineRule="exact"/>
        <w:rPr>
          <w:sz w:val="20"/>
          <w:szCs w:val="20"/>
          <w:color w:val="auto"/>
        </w:rPr>
      </w:pPr>
    </w:p>
    <w:p>
      <w:pPr>
        <w:ind w:left="980" w:right="3319" w:hanging="279"/>
        <w:spacing w:after="0" w:line="314" w:lineRule="auto"/>
        <w:tabs>
          <w:tab w:leader="none" w:pos="960" w:val="left"/>
        </w:tabs>
        <w:rPr>
          <w:sz w:val="20"/>
          <w:szCs w:val="20"/>
          <w:color w:val="auto"/>
        </w:rPr>
      </w:pPr>
      <w:r>
        <w:rPr>
          <w:rFonts w:ascii="Courier New" w:cs="Courier New" w:eastAsia="Courier New" w:hAnsi="Courier New"/>
          <w:sz w:val="16"/>
          <w:szCs w:val="16"/>
          <w:color w:val="auto"/>
        </w:rPr>
        <w:t>As</w:t>
        <w:tab/>
        <w:t>of July 31, 1995, the Plan's investments were held by Putnam Fiduciary Trust Company. Financial information on the investment funds is presented in note 6.</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(Continued)</w:t>
      </w:r>
    </w:p>
    <w:p>
      <w:pPr>
        <w:sectPr>
          <w:pgSz w:w="11900" w:h="16838" w:orient="portrait"/>
          <w:cols w:equalWidth="0" w:num="1">
            <w:col w:w="10219"/>
          </w:cols>
          <w:pgMar w:left="240" w:top="845" w:right="1440" w:bottom="1440" w:gutter="0" w:footer="0" w:header="0"/>
        </w:sectPr>
      </w:pPr>
    </w:p>
    <w:bookmarkStart w:id="9" w:name="page10"/>
    <w:bookmarkEnd w:id="9"/>
    <w:p>
      <w:pPr>
        <w:ind w:left="3940"/>
        <w:spacing w:after="0"/>
        <w:rPr>
          <w:sz w:val="20"/>
          <w:szCs w:val="20"/>
          <w:color w:val="auto"/>
        </w:rPr>
      </w:pPr>
      <w:r>
        <w:rPr>
          <w:rFonts w:ascii="Courier New" w:cs="Courier New" w:eastAsia="Courier New" w:hAnsi="Courier New"/>
          <w:sz w:val="16"/>
          <w:szCs w:val="16"/>
          <w:color w:val="auto"/>
        </w:rPr>
        <w:t>2</w:t>
      </w:r>
    </w:p>
    <w:p>
      <w:pPr>
        <w:spacing w:after="0" w:line="38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THE TORO COMPANY MATCHING STOCK PLAN</w:t>
      </w:r>
    </w:p>
    <w:p>
      <w:pPr>
        <w:spacing w:after="0" w:line="388" w:lineRule="exact"/>
        <w:rPr>
          <w:sz w:val="20"/>
          <w:szCs w:val="20"/>
          <w:color w:val="auto"/>
        </w:rPr>
      </w:pPr>
    </w:p>
    <w:p>
      <w:pPr>
        <w:ind w:left="980" w:right="2519" w:hanging="279"/>
        <w:spacing w:after="0" w:line="270" w:lineRule="auto"/>
        <w:tabs>
          <w:tab w:leader="none" w:pos="960" w:val="left"/>
        </w:tabs>
        <w:rPr>
          <w:sz w:val="20"/>
          <w:szCs w:val="20"/>
          <w:color w:val="auto"/>
        </w:rPr>
      </w:pPr>
      <w:r>
        <w:rPr>
          <w:rFonts w:ascii="Courier New" w:cs="Courier New" w:eastAsia="Courier New" w:hAnsi="Courier New"/>
          <w:sz w:val="16"/>
          <w:szCs w:val="16"/>
          <w:color w:val="auto"/>
        </w:rPr>
        <w:t>At</w:t>
        <w:tab/>
        <w:t>Putnam Fiduciary Trust Company, the current trustee of the plan, the seven plans deposit funds in the Toro Stable Value Fund, of</w:t>
      </w:r>
    </w:p>
    <w:p>
      <w:pPr>
        <w:spacing w:after="0" w:line="1" w:lineRule="exact"/>
        <w:rPr>
          <w:sz w:val="20"/>
          <w:szCs w:val="20"/>
          <w:color w:val="auto"/>
        </w:rPr>
      </w:pPr>
    </w:p>
    <w:p>
      <w:pPr>
        <w:ind w:left="980" w:right="2439"/>
        <w:spacing w:after="0" w:line="258" w:lineRule="auto"/>
        <w:rPr>
          <w:sz w:val="20"/>
          <w:szCs w:val="20"/>
          <w:color w:val="auto"/>
        </w:rPr>
      </w:pPr>
      <w:r>
        <w:rPr>
          <w:rFonts w:ascii="Courier New" w:cs="Courier New" w:eastAsia="Courier New" w:hAnsi="Courier New"/>
          <w:sz w:val="16"/>
          <w:szCs w:val="16"/>
          <w:color w:val="auto"/>
        </w:rPr>
        <w:t>which each plan owns an individual interest in the net assets of the fund based upon its equity ownership in the fund. Prior to May 1, 1995, the trustee was First Trust National Association, and the seven plans deposited funds in the Toro Investment Funds A, B, and C and each owned an undivided interest in the net assets of the funds based on its equity ownership in the respective funds. Toro Investment Fund A was invested primarily in fixed income securities, including contracts guaranteeing a fixed return for a specific period of time. Toro Investment Fund B was a general investment fund and holds, in addition to other investments, the Toro Company common stock. Toro Investment Fund C was invested in a combination of Standard and Poor's, small capitalization, and international funds.</w:t>
      </w:r>
    </w:p>
    <w:p>
      <w:pPr>
        <w:spacing w:after="0" w:line="97" w:lineRule="exact"/>
        <w:rPr>
          <w:sz w:val="20"/>
          <w:szCs w:val="20"/>
          <w:color w:val="auto"/>
        </w:rPr>
      </w:pPr>
    </w:p>
    <w:p>
      <w:pPr>
        <w:ind w:left="980" w:right="2619" w:hanging="295"/>
        <w:spacing w:after="0" w:line="270" w:lineRule="auto"/>
        <w:rPr>
          <w:sz w:val="20"/>
          <w:szCs w:val="20"/>
          <w:color w:val="auto"/>
        </w:rPr>
      </w:pPr>
      <w:r>
        <w:rPr>
          <w:rFonts w:ascii="Courier New" w:cs="Courier New" w:eastAsia="Courier New" w:hAnsi="Courier New"/>
          <w:sz w:val="16"/>
          <w:szCs w:val="16"/>
          <w:color w:val="auto"/>
        </w:rPr>
        <w:t>The Plan's share of net investment income from the investment funds is determined by the trustee based on the ratio of the fair</w:t>
      </w:r>
    </w:p>
    <w:p>
      <w:pPr>
        <w:spacing w:after="0" w:line="1" w:lineRule="exact"/>
        <w:rPr>
          <w:sz w:val="20"/>
          <w:szCs w:val="20"/>
          <w:color w:val="auto"/>
        </w:rPr>
      </w:pPr>
    </w:p>
    <w:p>
      <w:pPr>
        <w:ind w:left="980" w:right="2619"/>
        <w:spacing w:after="0" w:line="337" w:lineRule="auto"/>
        <w:rPr>
          <w:sz w:val="20"/>
          <w:szCs w:val="20"/>
          <w:color w:val="auto"/>
        </w:rPr>
      </w:pPr>
      <w:r>
        <w:rPr>
          <w:rFonts w:ascii="Courier New" w:cs="Courier New" w:eastAsia="Courier New" w:hAnsi="Courier New"/>
          <w:sz w:val="16"/>
          <w:szCs w:val="16"/>
          <w:color w:val="auto"/>
        </w:rPr>
        <w:t>value of the Plan's equity in the investment funds to the total net assets of the investment fund at the beginning of the plan year.</w:t>
      </w:r>
    </w:p>
    <w:p>
      <w:pPr>
        <w:spacing w:after="0" w:line="30" w:lineRule="exact"/>
        <w:rPr>
          <w:sz w:val="20"/>
          <w:szCs w:val="20"/>
          <w:color w:val="auto"/>
        </w:rPr>
      </w:pPr>
    </w:p>
    <w:p>
      <w:pPr>
        <w:ind w:left="980" w:right="2339" w:hanging="295"/>
        <w:spacing w:after="0" w:line="266" w:lineRule="auto"/>
        <w:rPr>
          <w:sz w:val="20"/>
          <w:szCs w:val="20"/>
          <w:color w:val="auto"/>
        </w:rPr>
      </w:pPr>
      <w:r>
        <w:rPr>
          <w:rFonts w:ascii="Courier New" w:cs="Courier New" w:eastAsia="Courier New" w:hAnsi="Courier New"/>
          <w:sz w:val="16"/>
          <w:szCs w:val="16"/>
          <w:color w:val="auto"/>
        </w:rPr>
        <w:t>The investment securities of the First Trust and Putnam investment funds are stated at market values based upon published quotations or, in the absence of available quotations, at fair values determined by the trustees. The short term securities of the Toro Stable Value Fund and the Toro Investment Funds are stated at cost, which approximates market. Guaranteed investment contracts included in the Toro Stable Value Fund and Toro Investment Fund A are stated at contract value (cost plus accrued interest). Purchases and sales of securities are recorded on a trade-date basis.</w:t>
      </w:r>
    </w:p>
    <w:p>
      <w:pPr>
        <w:spacing w:after="0" w:line="88" w:lineRule="exact"/>
        <w:rPr>
          <w:sz w:val="20"/>
          <w:szCs w:val="20"/>
          <w:color w:val="auto"/>
        </w:rPr>
      </w:pPr>
    </w:p>
    <w:p>
      <w:pPr>
        <w:ind w:left="500" w:hanging="499"/>
        <w:spacing w:after="0"/>
        <w:tabs>
          <w:tab w:leader="none" w:pos="5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PLAN</w:t>
      </w:r>
    </w:p>
    <w:p>
      <w:pPr>
        <w:spacing w:after="0" w:line="198" w:lineRule="exact"/>
        <w:rPr>
          <w:sz w:val="20"/>
          <w:szCs w:val="20"/>
          <w:color w:val="auto"/>
        </w:rPr>
      </w:pPr>
    </w:p>
    <w:p>
      <w:pPr>
        <w:ind w:left="980" w:right="2339" w:hanging="295"/>
        <w:spacing w:after="0" w:line="265" w:lineRule="auto"/>
        <w:rPr>
          <w:sz w:val="20"/>
          <w:szCs w:val="20"/>
          <w:color w:val="auto"/>
        </w:rPr>
      </w:pPr>
      <w:r>
        <w:rPr>
          <w:rFonts w:ascii="Courier New" w:cs="Courier New" w:eastAsia="Courier New" w:hAnsi="Courier New"/>
          <w:sz w:val="16"/>
          <w:szCs w:val="16"/>
          <w:color w:val="auto"/>
        </w:rPr>
        <w:t>The Plan became effective as of August 1, 1988. The purpose of the Plan is to provide certain eligible employees of the Toro Company and its participating subsidiaries (referred to together as the Company) with an opportunity to save part of their compensation on a pre-tax basis (and, if an employee so elects, on an after-tax basis) and to have those savings accumulate in a tax-deferred investment account which is invested in the common stock of the Company and distributed after termination of active employment. The Company, as administrator of the Plan, absorbs the major portion of the administrative costs and trustee fees of the Plan.</w:t>
      </w:r>
    </w:p>
    <w:p>
      <w:pPr>
        <w:spacing w:after="0" w:line="84" w:lineRule="exact"/>
        <w:rPr>
          <w:sz w:val="20"/>
          <w:szCs w:val="20"/>
          <w:color w:val="auto"/>
        </w:rPr>
      </w:pPr>
    </w:p>
    <w:p>
      <w:pPr>
        <w:ind w:left="980" w:right="3019" w:hanging="295"/>
        <w:spacing w:after="0" w:line="270" w:lineRule="auto"/>
        <w:rPr>
          <w:sz w:val="20"/>
          <w:szCs w:val="20"/>
          <w:color w:val="auto"/>
        </w:rPr>
      </w:pPr>
      <w:r>
        <w:rPr>
          <w:rFonts w:ascii="Courier New" w:cs="Courier New" w:eastAsia="Courier New" w:hAnsi="Courier New"/>
          <w:sz w:val="16"/>
          <w:szCs w:val="16"/>
          <w:color w:val="auto"/>
        </w:rPr>
        <w:t>Participants may agree to have their salaries reduced on a pre-tax basis, after-tax basis, or a combination thereof at rates</w:t>
      </w:r>
    </w:p>
    <w:p>
      <w:pPr>
        <w:spacing w:after="0" w:line="1" w:lineRule="exact"/>
        <w:rPr>
          <w:sz w:val="20"/>
          <w:szCs w:val="20"/>
          <w:color w:val="auto"/>
        </w:rPr>
      </w:pPr>
    </w:p>
    <w:p>
      <w:pPr>
        <w:jc w:val="both"/>
        <w:ind w:left="980" w:right="2519"/>
        <w:spacing w:after="0" w:line="294" w:lineRule="auto"/>
        <w:rPr>
          <w:sz w:val="20"/>
          <w:szCs w:val="20"/>
          <w:color w:val="auto"/>
        </w:rPr>
      </w:pPr>
      <w:r>
        <w:rPr>
          <w:rFonts w:ascii="Courier New" w:cs="Courier New" w:eastAsia="Courier New" w:hAnsi="Courier New"/>
          <w:sz w:val="16"/>
          <w:szCs w:val="16"/>
          <w:color w:val="auto"/>
        </w:rPr>
        <w:t>ranging up to 4% of annual compensation through an automatic payroll deduction each payroll period, provided that such deductions may not exceed $2,400 in any plan year.</w:t>
      </w:r>
    </w:p>
    <w:p>
      <w:pPr>
        <w:spacing w:after="0" w:line="62"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The Company will make contributions to the Plan on behalf of each</w:t>
      </w:r>
    </w:p>
    <w:p>
      <w:pPr>
        <w:spacing w:after="0" w:line="3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participant who makes pre-tax or after-tax contributions to</w:t>
      </w:r>
    </w:p>
    <w:p>
      <w:pPr>
        <w:spacing w:after="0" w:line="8" w:lineRule="exact"/>
        <w:rPr>
          <w:sz w:val="20"/>
          <w:szCs w:val="20"/>
          <w:color w:val="auto"/>
        </w:rPr>
      </w:pPr>
    </w:p>
    <w:p>
      <w:pPr>
        <w:ind w:left="980" w:right="2519"/>
        <w:spacing w:after="0" w:line="294" w:lineRule="auto"/>
        <w:rPr>
          <w:sz w:val="20"/>
          <w:szCs w:val="20"/>
          <w:color w:val="auto"/>
        </w:rPr>
      </w:pPr>
      <w:r>
        <w:rPr>
          <w:rFonts w:ascii="Courier New" w:cs="Courier New" w:eastAsia="Courier New" w:hAnsi="Courier New"/>
          <w:sz w:val="16"/>
          <w:szCs w:val="16"/>
          <w:color w:val="auto"/>
        </w:rPr>
        <w:t>the Plan. These Company matching contributions consist of basic matching contributions and performance-based matching contributions, as described below.</w:t>
      </w:r>
    </w:p>
    <w:p>
      <w:pPr>
        <w:spacing w:after="0" w:line="62" w:lineRule="exact"/>
        <w:rPr>
          <w:sz w:val="20"/>
          <w:szCs w:val="20"/>
          <w:color w:val="auto"/>
        </w:rPr>
      </w:pPr>
    </w:p>
    <w:p>
      <w:pPr>
        <w:ind w:left="980" w:right="2719" w:hanging="295"/>
        <w:spacing w:after="0" w:line="376" w:lineRule="auto"/>
        <w:rPr>
          <w:sz w:val="20"/>
          <w:szCs w:val="20"/>
          <w:color w:val="auto"/>
        </w:rPr>
      </w:pPr>
      <w:r>
        <w:rPr>
          <w:rFonts w:ascii="Courier New" w:cs="Courier New" w:eastAsia="Courier New" w:hAnsi="Courier New"/>
          <w:sz w:val="16"/>
          <w:szCs w:val="16"/>
          <w:color w:val="auto"/>
        </w:rPr>
        <w:t>The Company's basic matching contribution will be equal to 25% of the sum of the amounts contributed by a participant to the Plan.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(Continued)</w:t>
      </w:r>
    </w:p>
    <w:p>
      <w:pPr>
        <w:sectPr>
          <w:pgSz w:w="11900" w:h="16838" w:orient="portrait"/>
          <w:cols w:equalWidth="0" w:num="1">
            <w:col w:w="10219"/>
          </w:cols>
          <w:pgMar w:left="240" w:top="655" w:right="1440" w:bottom="1440" w:gutter="0" w:footer="0" w:header="0"/>
        </w:sectPr>
      </w:pPr>
    </w:p>
    <w:bookmarkStart w:id="10" w:name="page11"/>
    <w:bookmarkEnd w:id="10"/>
    <w:p>
      <w:pPr>
        <w:jc w:val="center"/>
        <w:ind w:right="2240"/>
        <w:spacing w:after="0"/>
        <w:rPr>
          <w:sz w:val="20"/>
          <w:szCs w:val="20"/>
          <w:color w:val="auto"/>
        </w:rPr>
      </w:pPr>
      <w:r>
        <w:rPr>
          <w:rFonts w:ascii="Courier New" w:cs="Courier New" w:eastAsia="Courier New" w:hAnsi="Courier New"/>
          <w:sz w:val="16"/>
          <w:szCs w:val="16"/>
          <w:color w:val="auto"/>
        </w:rPr>
        <w:t>3</w:t>
      </w:r>
    </w:p>
    <w:p>
      <w:pPr>
        <w:spacing w:after="0" w:line="198" w:lineRule="exact"/>
        <w:rPr>
          <w:sz w:val="20"/>
          <w:szCs w:val="20"/>
          <w:color w:val="auto"/>
        </w:rPr>
      </w:pPr>
    </w:p>
    <w:p>
      <w:pPr>
        <w:ind w:left="2179"/>
        <w:spacing w:after="0"/>
        <w:rPr>
          <w:sz w:val="20"/>
          <w:szCs w:val="20"/>
          <w:color w:val="auto"/>
        </w:rPr>
      </w:pPr>
      <w:r>
        <w:rPr>
          <w:rFonts w:ascii="Courier New" w:cs="Courier New" w:eastAsia="Courier New" w:hAnsi="Courier New"/>
          <w:sz w:val="16"/>
          <w:szCs w:val="16"/>
          <w:color w:val="auto"/>
        </w:rPr>
        <w:t>THE TORO COMPANY MATCHING STOCK PLAN</w:t>
      </w:r>
    </w:p>
    <w:p>
      <w:pPr>
        <w:spacing w:after="0" w:line="388" w:lineRule="exact"/>
        <w:rPr>
          <w:sz w:val="20"/>
          <w:szCs w:val="20"/>
          <w:color w:val="auto"/>
        </w:rPr>
      </w:pPr>
    </w:p>
    <w:p>
      <w:pPr>
        <w:ind w:left="979" w:right="2439" w:hanging="279"/>
        <w:spacing w:after="0" w:line="276" w:lineRule="auto"/>
        <w:tabs>
          <w:tab w:leader="none" w:pos="958" w:val="left"/>
        </w:tabs>
        <w:rPr>
          <w:sz w:val="20"/>
          <w:szCs w:val="20"/>
          <w:color w:val="auto"/>
        </w:rPr>
      </w:pPr>
      <w:r>
        <w:rPr>
          <w:rFonts w:ascii="Courier New" w:cs="Courier New" w:eastAsia="Courier New" w:hAnsi="Courier New"/>
          <w:sz w:val="16"/>
          <w:szCs w:val="16"/>
          <w:color w:val="auto"/>
        </w:rPr>
        <w:t>If</w:t>
        <w:tab/>
        <w:t>the Company meets certain financial goals as defined by its Board of Directors, the Company may make performance based matching contributions to the Plan. If the specified financial goals are achieved, the performance-based matching contribution may be equal to an additional 25% of a participant's fiscal year contributions to the Plan.</w:t>
      </w:r>
    </w:p>
    <w:p>
      <w:pPr>
        <w:spacing w:after="0" w:line="76" w:lineRule="exact"/>
        <w:rPr>
          <w:sz w:val="20"/>
          <w:szCs w:val="20"/>
          <w:color w:val="auto"/>
        </w:rPr>
      </w:pPr>
    </w:p>
    <w:p>
      <w:pPr>
        <w:ind w:left="979" w:right="2439" w:hanging="295"/>
        <w:spacing w:after="0" w:line="314" w:lineRule="auto"/>
        <w:rPr>
          <w:sz w:val="20"/>
          <w:szCs w:val="20"/>
          <w:color w:val="auto"/>
        </w:rPr>
      </w:pPr>
      <w:r>
        <w:rPr>
          <w:rFonts w:ascii="Courier New" w:cs="Courier New" w:eastAsia="Courier New" w:hAnsi="Courier New"/>
          <w:sz w:val="16"/>
          <w:szCs w:val="16"/>
          <w:color w:val="auto"/>
        </w:rPr>
        <w:t>A participant is eligible to receive a performance-based matching contribution only if enrolled in the Plan on the last day of the plan year.</w:t>
      </w:r>
    </w:p>
    <w:p>
      <w:pPr>
        <w:spacing w:after="0" w:line="47" w:lineRule="exact"/>
        <w:rPr>
          <w:sz w:val="20"/>
          <w:szCs w:val="20"/>
          <w:color w:val="auto"/>
        </w:rPr>
      </w:pPr>
    </w:p>
    <w:p>
      <w:pPr>
        <w:ind w:left="979" w:right="3519" w:hanging="295"/>
        <w:spacing w:after="0" w:line="270" w:lineRule="auto"/>
        <w:rPr>
          <w:sz w:val="20"/>
          <w:szCs w:val="20"/>
          <w:color w:val="auto"/>
        </w:rPr>
      </w:pPr>
      <w:r>
        <w:rPr>
          <w:rFonts w:ascii="Courier New" w:cs="Courier New" w:eastAsia="Courier New" w:hAnsi="Courier New"/>
          <w:sz w:val="16"/>
          <w:szCs w:val="16"/>
          <w:color w:val="auto"/>
        </w:rPr>
        <w:t>Company matching contributions and performance-based matching contributions, together with income attributable thereto,</w:t>
      </w:r>
    </w:p>
    <w:p>
      <w:pPr>
        <w:spacing w:after="0" w:line="1" w:lineRule="exact"/>
        <w:rPr>
          <w:sz w:val="20"/>
          <w:szCs w:val="20"/>
          <w:color w:val="auto"/>
        </w:rPr>
      </w:pPr>
    </w:p>
    <w:p>
      <w:pPr>
        <w:ind w:left="979" w:right="2439"/>
        <w:spacing w:after="0" w:line="272" w:lineRule="auto"/>
        <w:rPr>
          <w:sz w:val="20"/>
          <w:szCs w:val="20"/>
          <w:color w:val="auto"/>
        </w:rPr>
      </w:pPr>
      <w:r>
        <w:rPr>
          <w:rFonts w:ascii="Courier New" w:cs="Courier New" w:eastAsia="Courier New" w:hAnsi="Courier New"/>
          <w:sz w:val="16"/>
          <w:szCs w:val="16"/>
          <w:color w:val="auto"/>
        </w:rPr>
        <w:t>will vest at the rate of 20% after two years of vesting service, with an additional 20% being accumulated annually thereafter until the employee is 100% vested. Plan earnings are allocated to participants based on individual account balances. Forfeitures are applied towards future Company contributions.</w:t>
      </w:r>
    </w:p>
    <w:p>
      <w:pPr>
        <w:spacing w:after="0" w:line="80" w:lineRule="exact"/>
        <w:rPr>
          <w:sz w:val="20"/>
          <w:szCs w:val="20"/>
          <w:color w:val="auto"/>
        </w:rPr>
      </w:pPr>
    </w:p>
    <w:p>
      <w:pPr>
        <w:ind w:left="979" w:right="2719" w:hanging="295"/>
        <w:spacing w:after="0" w:line="376" w:lineRule="auto"/>
        <w:rPr>
          <w:sz w:val="20"/>
          <w:szCs w:val="20"/>
          <w:color w:val="auto"/>
        </w:rPr>
      </w:pPr>
      <w:r>
        <w:rPr>
          <w:rFonts w:ascii="Courier New" w:cs="Courier New" w:eastAsia="Courier New" w:hAnsi="Courier New"/>
          <w:sz w:val="16"/>
          <w:szCs w:val="16"/>
          <w:color w:val="auto"/>
        </w:rPr>
        <w:t>Contributions and benefit payments are made under control of the plan administrator.</w:t>
      </w:r>
    </w:p>
    <w:p>
      <w:pPr>
        <w:spacing w:after="0" w:line="1" w:lineRule="exact"/>
        <w:rPr>
          <w:sz w:val="20"/>
          <w:szCs w:val="20"/>
          <w:color w:val="auto"/>
        </w:rPr>
      </w:pPr>
    </w:p>
    <w:p>
      <w:pPr>
        <w:ind w:left="979" w:right="2519" w:hanging="295"/>
        <w:spacing w:after="0" w:line="282" w:lineRule="auto"/>
        <w:rPr>
          <w:sz w:val="20"/>
          <w:szCs w:val="20"/>
          <w:color w:val="auto"/>
        </w:rPr>
      </w:pPr>
      <w:r>
        <w:rPr>
          <w:rFonts w:ascii="Courier New" w:cs="Courier New" w:eastAsia="Courier New" w:hAnsi="Courier New"/>
          <w:sz w:val="16"/>
          <w:szCs w:val="16"/>
          <w:color w:val="auto"/>
        </w:rPr>
        <w:t>Unallocated represents contributions receivable which have not yet been allocated to the above-mentioned funds in the participants' predetermined allocation percentages. The allocation of the participants' and Company contributions to these investment funds is selected by the participants.</w:t>
      </w:r>
    </w:p>
    <w:p>
      <w:pPr>
        <w:spacing w:after="0" w:line="73" w:lineRule="exact"/>
        <w:rPr>
          <w:sz w:val="20"/>
          <w:szCs w:val="20"/>
          <w:color w:val="auto"/>
        </w:rPr>
      </w:pPr>
    </w:p>
    <w:p>
      <w:pPr>
        <w:ind w:left="499" w:hanging="499"/>
        <w:spacing w:after="0"/>
        <w:tabs>
          <w:tab w:leader="none" w:pos="49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FUNDING POLICY</w:t>
      </w:r>
    </w:p>
    <w:p>
      <w:pPr>
        <w:spacing w:after="0" w:line="198" w:lineRule="exact"/>
        <w:rPr>
          <w:sz w:val="20"/>
          <w:szCs w:val="20"/>
          <w:color w:val="auto"/>
        </w:rPr>
      </w:pPr>
    </w:p>
    <w:p>
      <w:pPr>
        <w:jc w:val="center"/>
        <w:ind w:right="1840"/>
        <w:spacing w:after="0"/>
        <w:rPr>
          <w:sz w:val="20"/>
          <w:szCs w:val="20"/>
          <w:color w:val="auto"/>
        </w:rPr>
      </w:pPr>
      <w:r>
        <w:rPr>
          <w:rFonts w:ascii="Courier New" w:cs="Courier New" w:eastAsia="Courier New" w:hAnsi="Courier New"/>
          <w:sz w:val="16"/>
          <w:szCs w:val="16"/>
          <w:color w:val="auto"/>
        </w:rPr>
        <w:t>The Company's funding policy is to make monthly basic contributions and</w:t>
      </w:r>
    </w:p>
    <w:p>
      <w:pPr>
        <w:spacing w:after="0" w:line="38" w:lineRule="exact"/>
        <w:rPr>
          <w:sz w:val="20"/>
          <w:szCs w:val="20"/>
          <w:color w:val="auto"/>
        </w:rPr>
      </w:pPr>
    </w:p>
    <w:p>
      <w:pPr>
        <w:ind w:left="979" w:right="2339"/>
        <w:spacing w:after="0" w:line="280" w:lineRule="auto"/>
        <w:rPr>
          <w:sz w:val="20"/>
          <w:szCs w:val="20"/>
          <w:color w:val="auto"/>
        </w:rPr>
      </w:pPr>
      <w:r>
        <w:rPr>
          <w:rFonts w:ascii="Courier New" w:cs="Courier New" w:eastAsia="Courier New" w:hAnsi="Courier New"/>
          <w:sz w:val="16"/>
          <w:szCs w:val="16"/>
          <w:color w:val="auto"/>
        </w:rPr>
        <w:t>annual performance-based matching contributions to the Plan up to amounts allowed by the Internal Revenue Service. The performance-based contribution is determined by the Board of Directors of the Toro Company and is based on the specified financial goals.</w:t>
      </w:r>
    </w:p>
    <w:p>
      <w:pPr>
        <w:spacing w:after="0" w:line="72" w:lineRule="exact"/>
        <w:rPr>
          <w:sz w:val="20"/>
          <w:szCs w:val="20"/>
          <w:color w:val="auto"/>
        </w:rPr>
      </w:pPr>
    </w:p>
    <w:p>
      <w:pPr>
        <w:ind w:left="979" w:right="2619" w:hanging="295"/>
        <w:spacing w:after="0" w:line="376" w:lineRule="auto"/>
        <w:rPr>
          <w:sz w:val="20"/>
          <w:szCs w:val="20"/>
          <w:color w:val="auto"/>
        </w:rPr>
      </w:pPr>
      <w:r>
        <w:rPr>
          <w:rFonts w:ascii="Courier New" w:cs="Courier New" w:eastAsia="Courier New" w:hAnsi="Courier New"/>
          <w:sz w:val="16"/>
          <w:szCs w:val="16"/>
          <w:color w:val="auto"/>
        </w:rPr>
        <w:t>The employee contributions consist of salary reduction elections under 401(k) plan, as well as after-tax contributions.</w:t>
      </w:r>
    </w:p>
    <w:p>
      <w:pPr>
        <w:spacing w:after="0" w:line="1" w:lineRule="exact"/>
        <w:rPr>
          <w:sz w:val="20"/>
          <w:szCs w:val="20"/>
          <w:color w:val="auto"/>
        </w:rPr>
      </w:pPr>
    </w:p>
    <w:p>
      <w:pPr>
        <w:ind w:left="499" w:hanging="499"/>
        <w:spacing w:after="0"/>
        <w:tabs>
          <w:tab w:leader="none" w:pos="49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PARTY-IN-INTEREST TRANSACTIONS</w:t>
      </w:r>
    </w:p>
    <w:p>
      <w:pPr>
        <w:spacing w:after="0" w:line="198" w:lineRule="exact"/>
        <w:rPr>
          <w:sz w:val="20"/>
          <w:szCs w:val="20"/>
          <w:color w:val="auto"/>
        </w:rPr>
      </w:pPr>
    </w:p>
    <w:p>
      <w:pPr>
        <w:ind w:left="979" w:right="2339" w:hanging="295"/>
        <w:spacing w:after="0" w:line="276" w:lineRule="auto"/>
        <w:rPr>
          <w:sz w:val="20"/>
          <w:szCs w:val="20"/>
          <w:color w:val="auto"/>
        </w:rPr>
      </w:pPr>
      <w:r>
        <w:rPr>
          <w:rFonts w:ascii="Courier New" w:cs="Courier New" w:eastAsia="Courier New" w:hAnsi="Courier New"/>
          <w:sz w:val="16"/>
          <w:szCs w:val="16"/>
          <w:color w:val="auto"/>
        </w:rPr>
        <w:t>Putnam Fiduciary Trust Company and The First Trust National Association (trustees) are parties-in-interest with respect to the Plan. In the opinion of the Plan's legal counsel, transactions between the Plan, the trustees, and the Toro Company are exempt from being considered as prohibited transactions under the Employee Retirement Income Security Act of 1974 (ERISA) Section 408(b).</w:t>
      </w:r>
    </w:p>
    <w:p>
      <w:pPr>
        <w:spacing w:after="0" w:line="76" w:lineRule="exact"/>
        <w:rPr>
          <w:sz w:val="20"/>
          <w:szCs w:val="20"/>
          <w:color w:val="auto"/>
        </w:rPr>
      </w:pPr>
    </w:p>
    <w:p>
      <w:pPr>
        <w:ind w:left="499" w:hanging="499"/>
        <w:spacing w:after="0"/>
        <w:tabs>
          <w:tab w:leader="none" w:pos="499"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TERMINATION</w:t>
      </w:r>
    </w:p>
    <w:p>
      <w:pPr>
        <w:spacing w:after="0" w:line="198" w:lineRule="exact"/>
        <w:rPr>
          <w:sz w:val="20"/>
          <w:szCs w:val="20"/>
          <w:color w:val="auto"/>
        </w:rPr>
      </w:pPr>
    </w:p>
    <w:p>
      <w:pPr>
        <w:ind w:left="699"/>
        <w:spacing w:after="0"/>
        <w:rPr>
          <w:sz w:val="20"/>
          <w:szCs w:val="20"/>
          <w:color w:val="auto"/>
        </w:rPr>
      </w:pPr>
      <w:r>
        <w:rPr>
          <w:rFonts w:ascii="Courier New" w:cs="Courier New" w:eastAsia="Courier New" w:hAnsi="Courier New"/>
          <w:sz w:val="16"/>
          <w:szCs w:val="16"/>
          <w:color w:val="auto"/>
        </w:rPr>
        <w:t>The Toro Company has voluntarily agreed to make contributions to the</w:t>
      </w:r>
    </w:p>
    <w:p>
      <w:pPr>
        <w:spacing w:after="0" w:line="38" w:lineRule="exact"/>
        <w:rPr>
          <w:sz w:val="20"/>
          <w:szCs w:val="20"/>
          <w:color w:val="auto"/>
        </w:rPr>
      </w:pPr>
    </w:p>
    <w:p>
      <w:pPr>
        <w:ind w:left="979"/>
        <w:spacing w:after="0"/>
        <w:rPr>
          <w:sz w:val="20"/>
          <w:szCs w:val="20"/>
          <w:color w:val="auto"/>
        </w:rPr>
      </w:pPr>
      <w:r>
        <w:rPr>
          <w:rFonts w:ascii="Courier New" w:cs="Courier New" w:eastAsia="Courier New" w:hAnsi="Courier New"/>
          <w:sz w:val="16"/>
          <w:szCs w:val="16"/>
          <w:color w:val="auto"/>
        </w:rPr>
        <w:t>Plan. Although the Company has not expressed any intent to</w:t>
      </w:r>
    </w:p>
    <w:p>
      <w:pPr>
        <w:spacing w:after="0" w:line="8" w:lineRule="exact"/>
        <w:rPr>
          <w:sz w:val="20"/>
          <w:szCs w:val="20"/>
          <w:color w:val="auto"/>
        </w:rPr>
      </w:pPr>
    </w:p>
    <w:p>
      <w:pPr>
        <w:ind w:left="979"/>
        <w:spacing w:after="0"/>
        <w:rPr>
          <w:sz w:val="20"/>
          <w:szCs w:val="20"/>
          <w:color w:val="auto"/>
        </w:rPr>
      </w:pPr>
      <w:r>
        <w:rPr>
          <w:rFonts w:ascii="Courier New" w:cs="Courier New" w:eastAsia="Courier New" w:hAnsi="Courier New"/>
          <w:sz w:val="16"/>
          <w:szCs w:val="16"/>
          <w:color w:val="auto"/>
        </w:rPr>
        <w:t>terminate the Plan, it may do so at any time. Upon the termination of</w:t>
      </w:r>
    </w:p>
    <w:p>
      <w:pPr>
        <w:spacing w:after="0" w:line="8" w:lineRule="exact"/>
        <w:rPr>
          <w:sz w:val="20"/>
          <w:szCs w:val="20"/>
          <w:color w:val="auto"/>
        </w:rPr>
      </w:pPr>
    </w:p>
    <w:p>
      <w:pPr>
        <w:ind w:left="979"/>
        <w:spacing w:after="0"/>
        <w:rPr>
          <w:sz w:val="20"/>
          <w:szCs w:val="20"/>
          <w:color w:val="auto"/>
        </w:rPr>
      </w:pPr>
      <w:r>
        <w:rPr>
          <w:rFonts w:ascii="Courier New" w:cs="Courier New" w:eastAsia="Courier New" w:hAnsi="Courier New"/>
          <w:sz w:val="16"/>
          <w:szCs w:val="16"/>
          <w:color w:val="auto"/>
        </w:rPr>
        <w:t>the Plan, the interest of the participants in the trust fund shall</w:t>
      </w:r>
    </w:p>
    <w:p>
      <w:pPr>
        <w:spacing w:after="0" w:line="8" w:lineRule="exact"/>
        <w:rPr>
          <w:sz w:val="20"/>
          <w:szCs w:val="20"/>
          <w:color w:val="auto"/>
        </w:rPr>
      </w:pPr>
    </w:p>
    <w:p>
      <w:pPr>
        <w:ind w:left="979"/>
        <w:spacing w:after="0"/>
        <w:rPr>
          <w:sz w:val="20"/>
          <w:szCs w:val="20"/>
          <w:color w:val="auto"/>
        </w:rPr>
      </w:pPr>
      <w:r>
        <w:rPr>
          <w:rFonts w:ascii="Courier New" w:cs="Courier New" w:eastAsia="Courier New" w:hAnsi="Courier New"/>
          <w:sz w:val="16"/>
          <w:szCs w:val="16"/>
          <w:color w:val="auto"/>
        </w:rPr>
        <w:t>fully vest. The trustee shall liquidate the trust fund, distributing</w:t>
      </w:r>
    </w:p>
    <w:p>
      <w:pPr>
        <w:spacing w:after="0" w:line="8" w:lineRule="exact"/>
        <w:rPr>
          <w:sz w:val="20"/>
          <w:szCs w:val="20"/>
          <w:color w:val="auto"/>
        </w:rPr>
      </w:pPr>
    </w:p>
    <w:p>
      <w:pPr>
        <w:ind w:left="979"/>
        <w:spacing w:after="0"/>
        <w:rPr>
          <w:sz w:val="20"/>
          <w:szCs w:val="20"/>
          <w:color w:val="auto"/>
        </w:rPr>
      </w:pPr>
      <w:r>
        <w:rPr>
          <w:rFonts w:ascii="Courier New" w:cs="Courier New" w:eastAsia="Courier New" w:hAnsi="Courier New"/>
          <w:sz w:val="16"/>
          <w:szCs w:val="16"/>
          <w:color w:val="auto"/>
        </w:rPr>
        <w:t>benefits to the participants or their beneficiaries. The trustee shall</w:t>
      </w:r>
    </w:p>
    <w:p>
      <w:pPr>
        <w:spacing w:after="0" w:line="8" w:lineRule="exact"/>
        <w:rPr>
          <w:sz w:val="20"/>
          <w:szCs w:val="20"/>
          <w:color w:val="auto"/>
        </w:rPr>
      </w:pPr>
    </w:p>
    <w:p>
      <w:pPr>
        <w:ind w:left="979"/>
        <w:spacing w:after="0"/>
        <w:rPr>
          <w:sz w:val="20"/>
          <w:szCs w:val="20"/>
          <w:color w:val="auto"/>
        </w:rPr>
      </w:pPr>
      <w:r>
        <w:rPr>
          <w:rFonts w:ascii="Courier New" w:cs="Courier New" w:eastAsia="Courier New" w:hAnsi="Courier New"/>
          <w:sz w:val="16"/>
          <w:szCs w:val="16"/>
          <w:color w:val="auto"/>
        </w:rPr>
        <w:t>reserve amounts as may be required to pay any expenses of termination,</w:t>
      </w:r>
    </w:p>
    <w:p>
      <w:pPr>
        <w:spacing w:after="0" w:line="8" w:lineRule="exact"/>
        <w:rPr>
          <w:sz w:val="20"/>
          <w:szCs w:val="20"/>
          <w:color w:val="auto"/>
        </w:rPr>
      </w:pPr>
    </w:p>
    <w:p>
      <w:pPr>
        <w:ind w:left="979"/>
        <w:spacing w:after="0"/>
        <w:rPr>
          <w:sz w:val="20"/>
          <w:szCs w:val="20"/>
          <w:color w:val="auto"/>
        </w:rPr>
      </w:pPr>
      <w:r>
        <w:rPr>
          <w:rFonts w:ascii="Courier New" w:cs="Courier New" w:eastAsia="Courier New" w:hAnsi="Courier New"/>
          <w:sz w:val="16"/>
          <w:szCs w:val="16"/>
          <w:color w:val="auto"/>
        </w:rPr>
        <w:t>liquidation, and distribution and shall then segregate each</w:t>
      </w:r>
    </w:p>
    <w:p>
      <w:pPr>
        <w:spacing w:after="0" w:line="8" w:lineRule="exact"/>
        <w:rPr>
          <w:sz w:val="20"/>
          <w:szCs w:val="20"/>
          <w:color w:val="auto"/>
        </w:rPr>
      </w:pPr>
    </w:p>
    <w:p>
      <w:pPr>
        <w:ind w:left="979"/>
        <w:spacing w:after="0"/>
        <w:rPr>
          <w:sz w:val="20"/>
          <w:szCs w:val="20"/>
          <w:color w:val="auto"/>
        </w:rPr>
      </w:pPr>
      <w:r>
        <w:rPr>
          <w:rFonts w:ascii="Courier New" w:cs="Courier New" w:eastAsia="Courier New" w:hAnsi="Courier New"/>
          <w:sz w:val="16"/>
          <w:szCs w:val="16"/>
          <w:color w:val="auto"/>
        </w:rPr>
        <w:t>participant's trust fund share in a special account.</w:t>
      </w:r>
    </w:p>
    <w:p>
      <w:pPr>
        <w:spacing w:after="0" w:line="168" w:lineRule="exact"/>
        <w:rPr>
          <w:sz w:val="20"/>
          <w:szCs w:val="20"/>
          <w:color w:val="auto"/>
        </w:rPr>
      </w:pPr>
    </w:p>
    <w:p>
      <w:pPr>
        <w:ind w:left="99"/>
        <w:spacing w:after="0"/>
        <w:rPr>
          <w:sz w:val="20"/>
          <w:szCs w:val="20"/>
          <w:color w:val="auto"/>
        </w:rPr>
      </w:pPr>
      <w:r>
        <w:rPr>
          <w:rFonts w:ascii="Courier New" w:cs="Courier New" w:eastAsia="Courier New" w:hAnsi="Courier New"/>
          <w:sz w:val="16"/>
          <w:szCs w:val="16"/>
          <w:color w:val="auto"/>
        </w:rPr>
        <w:t>(Continued)</w:t>
      </w:r>
    </w:p>
    <w:p>
      <w:pPr>
        <w:sectPr>
          <w:pgSz w:w="11900" w:h="16838" w:orient="portrait"/>
          <w:cols w:equalWidth="0" w:num="1">
            <w:col w:w="10218"/>
          </w:cols>
          <w:pgMar w:left="241" w:top="845" w:right="1440" w:bottom="1440" w:gutter="0" w:footer="0" w:header="0"/>
        </w:sectPr>
      </w:pPr>
    </w:p>
    <w:bookmarkStart w:id="11" w:name="page12"/>
    <w:bookmarkEnd w:id="11"/>
    <w:p>
      <w:pPr>
        <w:ind w:left="3940"/>
        <w:spacing w:after="0"/>
        <w:rPr>
          <w:sz w:val="20"/>
          <w:szCs w:val="20"/>
          <w:color w:val="auto"/>
        </w:rPr>
      </w:pPr>
      <w:r>
        <w:rPr>
          <w:rFonts w:ascii="Courier New" w:cs="Courier New" w:eastAsia="Courier New" w:hAnsi="Courier New"/>
          <w:sz w:val="16"/>
          <w:szCs w:val="16"/>
          <w:color w:val="auto"/>
        </w:rPr>
        <w:t>4</w:t>
      </w:r>
    </w:p>
    <w:p>
      <w:pPr>
        <w:spacing w:after="0" w:line="38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THE TORO COMPANY MATCHING STOCK PLAN</w:t>
      </w:r>
    </w:p>
    <w:p>
      <w:pPr>
        <w:spacing w:after="0" w:line="388"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The Company merged the Plan with the Toro profit sharing plans,</w:t>
      </w:r>
    </w:p>
    <w:p>
      <w:pPr>
        <w:spacing w:after="0" w:line="38" w:lineRule="exact"/>
        <w:rPr>
          <w:sz w:val="20"/>
          <w:szCs w:val="20"/>
          <w:color w:val="auto"/>
        </w:rPr>
      </w:pPr>
    </w:p>
    <w:p>
      <w:pPr>
        <w:ind w:left="980" w:right="3619"/>
        <w:spacing w:after="0" w:line="337" w:lineRule="auto"/>
        <w:rPr>
          <w:sz w:val="20"/>
          <w:szCs w:val="20"/>
          <w:color w:val="auto"/>
        </w:rPr>
      </w:pPr>
      <w:r>
        <w:rPr>
          <w:rFonts w:ascii="Courier New" w:cs="Courier New" w:eastAsia="Courier New" w:hAnsi="Courier New"/>
          <w:sz w:val="16"/>
          <w:szCs w:val="16"/>
          <w:color w:val="auto"/>
        </w:rPr>
        <w:t>effective August 1, 1995. Vesting policies for the merged plan are consistent with those under the current Plan.</w:t>
      </w:r>
    </w:p>
    <w:p>
      <w:pPr>
        <w:spacing w:after="0" w:line="30" w:lineRule="exact"/>
        <w:rPr>
          <w:sz w:val="20"/>
          <w:szCs w:val="20"/>
          <w:color w:val="auto"/>
        </w:rPr>
      </w:pPr>
    </w:p>
    <w:p>
      <w:pPr>
        <w:ind w:left="500" w:hanging="499"/>
        <w:spacing w:after="0"/>
        <w:tabs>
          <w:tab w:leader="none" w:pos="5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198" w:lineRule="exact"/>
        <w:rPr>
          <w:sz w:val="20"/>
          <w:szCs w:val="20"/>
          <w:color w:val="auto"/>
        </w:rPr>
      </w:pPr>
    </w:p>
    <w:p>
      <w:pPr>
        <w:ind w:left="980" w:right="2619" w:hanging="295"/>
        <w:spacing w:after="0" w:line="276" w:lineRule="auto"/>
        <w:rPr>
          <w:sz w:val="20"/>
          <w:szCs w:val="20"/>
          <w:color w:val="auto"/>
        </w:rPr>
      </w:pPr>
      <w:r>
        <w:rPr>
          <w:rFonts w:ascii="Courier New" w:cs="Courier New" w:eastAsia="Courier New" w:hAnsi="Courier New"/>
          <w:sz w:val="16"/>
          <w:szCs w:val="16"/>
          <w:color w:val="auto"/>
        </w:rPr>
        <w:t>Under the terms of the trust agreement, the trustees manage investment funds on behalf of the Plan. The trustees have been granted discretionary authority concerning the purchases and sales of the investments of the investment funds. In accordance with the trust agreement, certain assets of the Plan are held together with assets of other plans sponsored by the Company in the master trust.</w:t>
      </w:r>
    </w:p>
    <w:p>
      <w:pPr>
        <w:spacing w:after="0" w:line="76" w:lineRule="exact"/>
        <w:rPr>
          <w:sz w:val="20"/>
          <w:szCs w:val="20"/>
          <w:color w:val="auto"/>
        </w:rPr>
      </w:pPr>
    </w:p>
    <w:p>
      <w:pPr>
        <w:ind w:left="980" w:right="3219" w:hanging="295"/>
        <w:spacing w:after="0" w:line="270" w:lineRule="auto"/>
        <w:rPr>
          <w:sz w:val="20"/>
          <w:szCs w:val="20"/>
          <w:color w:val="auto"/>
        </w:rPr>
      </w:pPr>
      <w:r>
        <w:rPr>
          <w:rFonts w:ascii="Courier New" w:cs="Courier New" w:eastAsia="Courier New" w:hAnsi="Courier New"/>
          <w:sz w:val="16"/>
          <w:szCs w:val="16"/>
          <w:color w:val="auto"/>
        </w:rPr>
        <w:t>Guaranteed investment contracts of the Toro Stable Value Fund of $2,134,493 issued by Confederation Life Insurance Company</w:t>
      </w:r>
    </w:p>
    <w:p>
      <w:pPr>
        <w:spacing w:after="0" w:line="1" w:lineRule="exact"/>
        <w:rPr>
          <w:sz w:val="20"/>
          <w:szCs w:val="20"/>
          <w:color w:val="auto"/>
        </w:rPr>
      </w:pPr>
    </w:p>
    <w:p>
      <w:pPr>
        <w:ind w:left="980" w:right="2339"/>
        <w:spacing w:after="0" w:line="268" w:lineRule="auto"/>
        <w:rPr>
          <w:sz w:val="20"/>
          <w:szCs w:val="20"/>
          <w:color w:val="auto"/>
        </w:rPr>
      </w:pPr>
      <w:r>
        <w:rPr>
          <w:rFonts w:ascii="Courier New" w:cs="Courier New" w:eastAsia="Courier New" w:hAnsi="Courier New"/>
          <w:sz w:val="16"/>
          <w:szCs w:val="16"/>
          <w:color w:val="auto"/>
        </w:rPr>
        <w:t>(CL) were held at July 31, 1995. On August 12, 1994, CL was placed under court supervised rehabilitation. Since the date CL was placed in rehabilitation to July 31, 1995, payments to plan participants (or their beneficiaries) from the Plan included 100% of the interests of plan participants in the annuity contracts based on the valuation of the CL annuity contracts as of August 11, 1994.</w:t>
      </w:r>
    </w:p>
    <w:p>
      <w:pPr>
        <w:spacing w:after="0" w:line="83" w:lineRule="exact"/>
        <w:rPr>
          <w:sz w:val="20"/>
          <w:szCs w:val="20"/>
          <w:color w:val="auto"/>
        </w:rPr>
      </w:pPr>
    </w:p>
    <w:p>
      <w:pPr>
        <w:ind w:left="980" w:right="2719" w:hanging="295"/>
        <w:spacing w:after="0" w:line="270" w:lineRule="auto"/>
        <w:rPr>
          <w:sz w:val="20"/>
          <w:szCs w:val="20"/>
          <w:color w:val="auto"/>
        </w:rPr>
      </w:pPr>
      <w:r>
        <w:rPr>
          <w:rFonts w:ascii="Courier New" w:cs="Courier New" w:eastAsia="Courier New" w:hAnsi="Courier New"/>
          <w:sz w:val="16"/>
          <w:szCs w:val="16"/>
          <w:color w:val="auto"/>
        </w:rPr>
        <w:t>Beginning August 1, 1995, payments from the CL annuity contracts have been suspended pending further court action until such time</w:t>
      </w:r>
    </w:p>
    <w:p>
      <w:pPr>
        <w:spacing w:after="0" w:line="1" w:lineRule="exact"/>
        <w:rPr>
          <w:sz w:val="20"/>
          <w:szCs w:val="20"/>
          <w:color w:val="auto"/>
        </w:rPr>
      </w:pPr>
    </w:p>
    <w:p>
      <w:pPr>
        <w:ind w:left="980" w:right="2339"/>
        <w:spacing w:after="0" w:line="263" w:lineRule="auto"/>
        <w:rPr>
          <w:sz w:val="20"/>
          <w:szCs w:val="20"/>
          <w:color w:val="auto"/>
        </w:rPr>
      </w:pPr>
      <w:r>
        <w:rPr>
          <w:rFonts w:ascii="Courier New" w:cs="Courier New" w:eastAsia="Courier New" w:hAnsi="Courier New"/>
          <w:sz w:val="16"/>
          <w:szCs w:val="16"/>
          <w:color w:val="auto"/>
        </w:rPr>
        <w:t>as the fair market value of the CL annuity contracts can be determined. The action suspending distributions was consistent with procedures published by the Internal Revenue Service. Effective August 1, 1995, a loan agreement has been established between the Company and the Plan providing the Company to fund payments to plan participants (or their beneficiaries) for 100% of the interests of plan participants in the CL annuity contracts based on the valuation of the CL annuity contracts as of August 11, 1994.</w:t>
      </w:r>
    </w:p>
    <w:p>
      <w:pPr>
        <w:spacing w:after="0" w:line="87" w:lineRule="exact"/>
        <w:rPr>
          <w:sz w:val="20"/>
          <w:szCs w:val="20"/>
          <w:color w:val="auto"/>
        </w:rPr>
      </w:pPr>
    </w:p>
    <w:p>
      <w:pPr>
        <w:ind w:left="980" w:right="2619" w:hanging="295"/>
        <w:spacing w:after="0" w:line="293" w:lineRule="auto"/>
        <w:rPr>
          <w:sz w:val="20"/>
          <w:szCs w:val="20"/>
          <w:color w:val="auto"/>
        </w:rPr>
      </w:pPr>
      <w:r>
        <w:rPr>
          <w:rFonts w:ascii="Courier New" w:cs="Courier New" w:eastAsia="Courier New" w:hAnsi="Courier New"/>
          <w:sz w:val="16"/>
          <w:szCs w:val="16"/>
          <w:color w:val="auto"/>
        </w:rPr>
        <w:t>The CL annuity contracts are recorded in the accompanying financial statements and schedules at cost plus accrued interest as of August 11, 1994. No earnings have been accrued in the Plan's financial statements since August 11, 1994.</w:t>
      </w:r>
    </w:p>
    <w:p>
      <w:pPr>
        <w:spacing w:after="0" w:line="63" w:lineRule="exact"/>
        <w:rPr>
          <w:sz w:val="20"/>
          <w:szCs w:val="20"/>
          <w:color w:val="auto"/>
        </w:rPr>
      </w:pPr>
    </w:p>
    <w:p>
      <w:pPr>
        <w:ind w:left="980" w:right="2439" w:hanging="279"/>
        <w:spacing w:after="0" w:line="293" w:lineRule="auto"/>
        <w:tabs>
          <w:tab w:leader="none" w:pos="960" w:val="left"/>
        </w:tabs>
        <w:rPr>
          <w:sz w:val="20"/>
          <w:szCs w:val="20"/>
          <w:color w:val="auto"/>
        </w:rPr>
      </w:pPr>
      <w:r>
        <w:rPr>
          <w:rFonts w:ascii="Courier New" w:cs="Courier New" w:eastAsia="Courier New" w:hAnsi="Courier New"/>
          <w:sz w:val="16"/>
          <w:szCs w:val="16"/>
          <w:color w:val="auto"/>
        </w:rPr>
        <w:t>As</w:t>
        <w:tab/>
        <w:t>of the date of this report, the Company is not aware of any principal loss associated with these investments. Accordingly, no provision for loss on the CL annuity contracts has been recognized in the accompanying financial statements.</w:t>
      </w:r>
    </w:p>
    <w:p>
      <w:pPr>
        <w:spacing w:after="0" w:line="63"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The net assets available for benefits of the master trust at July 31,</w:t>
      </w:r>
    </w:p>
    <w:p>
      <w:pPr>
        <w:spacing w:after="0" w:line="38"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1995 were as follows:</w:t>
      </w:r>
    </w:p>
    <w:p>
      <w:pPr>
        <w:spacing w:after="0" w:line="200" w:lineRule="exact"/>
        <w:rPr>
          <w:sz w:val="20"/>
          <w:szCs w:val="20"/>
          <w:color w:val="auto"/>
        </w:rPr>
      </w:pPr>
    </w:p>
    <w:p>
      <w:pPr>
        <w:spacing w:after="0" w:line="347" w:lineRule="exact"/>
        <w:rPr>
          <w:sz w:val="20"/>
          <w:szCs w:val="20"/>
          <w:color w:val="auto"/>
        </w:rPr>
      </w:pPr>
    </w:p>
    <w:p>
      <w:pPr>
        <w:ind w:left="5220"/>
        <w:spacing w:after="0"/>
        <w:rPr>
          <w:sz w:val="20"/>
          <w:szCs w:val="20"/>
          <w:color w:val="auto"/>
        </w:rPr>
      </w:pPr>
      <w:r>
        <w:rPr>
          <w:rFonts w:ascii="Courier New" w:cs="Courier New" w:eastAsia="Courier New" w:hAnsi="Courier New"/>
          <w:sz w:val="16"/>
          <w:szCs w:val="16"/>
          <w:color w:val="auto"/>
        </w:rPr>
        <w:t>Toro Stable</w:t>
      </w:r>
    </w:p>
    <w:p>
      <w:pPr>
        <w:spacing w:after="0" w:line="38" w:lineRule="exact"/>
        <w:rPr>
          <w:sz w:val="20"/>
          <w:szCs w:val="20"/>
          <w:color w:val="auto"/>
        </w:rPr>
      </w:pPr>
    </w:p>
    <w:p>
      <w:pPr>
        <w:ind w:left="5220"/>
        <w:spacing w:after="0"/>
        <w:rPr>
          <w:sz w:val="20"/>
          <w:szCs w:val="20"/>
          <w:color w:val="auto"/>
        </w:rPr>
      </w:pPr>
      <w:r>
        <w:rPr>
          <w:rFonts w:ascii="Courier New" w:cs="Courier New" w:eastAsia="Courier New" w:hAnsi="Courier New"/>
          <w:sz w:val="16"/>
          <w:szCs w:val="16"/>
          <w:color w:val="auto"/>
        </w:rPr>
        <w:t>Value Fund/</w:t>
      </w:r>
    </w:p>
    <w:p>
      <w:pPr>
        <w:spacing w:after="0" w:line="8" w:lineRule="exact"/>
        <w:rPr>
          <w:sz w:val="20"/>
          <w:szCs w:val="20"/>
          <w:color w:val="auto"/>
        </w:rPr>
      </w:pPr>
    </w:p>
    <w:p>
      <w:pPr>
        <w:ind w:left="5520"/>
        <w:spacing w:after="0"/>
        <w:rPr>
          <w:sz w:val="20"/>
          <w:szCs w:val="20"/>
          <w:color w:val="auto"/>
        </w:rPr>
      </w:pPr>
      <w:r>
        <w:rPr>
          <w:rFonts w:ascii="Courier New" w:cs="Courier New" w:eastAsia="Courier New" w:hAnsi="Courier New"/>
          <w:sz w:val="16"/>
          <w:szCs w:val="16"/>
          <w:color w:val="auto"/>
        </w:rPr>
        <w:t>Toro</w:t>
      </w:r>
    </w:p>
    <w:p>
      <w:pPr>
        <w:spacing w:after="0" w:line="8" w:lineRule="exact"/>
        <w:rPr>
          <w:sz w:val="20"/>
          <w:szCs w:val="20"/>
          <w:color w:val="auto"/>
        </w:rPr>
      </w:pPr>
    </w:p>
    <w:p>
      <w:pPr>
        <w:ind w:left="5220"/>
        <w:spacing w:after="0"/>
        <w:rPr>
          <w:sz w:val="20"/>
          <w:szCs w:val="20"/>
          <w:color w:val="auto"/>
        </w:rPr>
      </w:pPr>
      <w:r>
        <w:rPr>
          <w:rFonts w:ascii="Courier New" w:cs="Courier New" w:eastAsia="Courier New" w:hAnsi="Courier New"/>
          <w:sz w:val="16"/>
          <w:szCs w:val="16"/>
          <w:color w:val="auto"/>
        </w:rPr>
        <w:t>Investment</w:t>
      </w:r>
    </w:p>
    <w:p>
      <w:pPr>
        <w:spacing w:after="0" w:line="8" w:lineRule="exact"/>
        <w:rPr>
          <w:sz w:val="20"/>
          <w:szCs w:val="20"/>
          <w:color w:val="auto"/>
        </w:rPr>
      </w:pPr>
    </w:p>
    <w:p>
      <w:pPr>
        <w:ind w:left="5520"/>
        <w:spacing w:after="0"/>
        <w:rPr>
          <w:sz w:val="20"/>
          <w:szCs w:val="20"/>
          <w:color w:val="auto"/>
        </w:rPr>
      </w:pPr>
      <w:r>
        <w:rPr>
          <w:rFonts w:ascii="Courier New" w:cs="Courier New" w:eastAsia="Courier New" w:hAnsi="Courier New"/>
          <w:sz w:val="16"/>
          <w:szCs w:val="16"/>
          <w:color w:val="auto"/>
        </w:rPr>
        <w:t>Fund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Investments:</w:t>
            </w:r>
          </w:p>
        </w:tc>
        <w:tc>
          <w:tcPr>
            <w:tcW w:w="1080" w:type="dxa"/>
            <w:vAlign w:val="bottom"/>
          </w:tcPr>
          <w:p>
            <w:pPr>
              <w:spacing w:after="0"/>
              <w:rPr>
                <w:sz w:val="16"/>
                <w:szCs w:val="16"/>
                <w:color w:val="auto"/>
              </w:rPr>
            </w:pPr>
          </w:p>
        </w:tc>
        <w:tc>
          <w:tcPr>
            <w:tcW w:w="192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funds</w:t>
            </w:r>
          </w:p>
        </w:tc>
        <w:tc>
          <w:tcPr>
            <w:tcW w:w="21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$ 16,129,261</w:t>
            </w:r>
          </w:p>
        </w:tc>
        <w:tc>
          <w:tcPr>
            <w:tcW w:w="0" w:type="dxa"/>
            <w:vAlign w:val="bottom"/>
          </w:tcPr>
          <w:p>
            <w:pPr>
              <w:spacing w:after="0"/>
              <w:rPr>
                <w:sz w:val="1"/>
                <w:szCs w:val="1"/>
                <w:color w:val="auto"/>
              </w:rPr>
            </w:pPr>
          </w:p>
        </w:tc>
      </w:tr>
      <w:tr>
        <w:trPr>
          <w:trHeight w:val="190"/>
        </w:trPr>
        <w:tc>
          <w:tcPr>
            <w:tcW w:w="2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Short term investment</w:t>
            </w:r>
          </w:p>
        </w:tc>
        <w:tc>
          <w:tcPr>
            <w:tcW w:w="1920" w:type="dxa"/>
            <w:vAlign w:val="bottom"/>
            <w:vMerge w:val="continue"/>
          </w:tcPr>
          <w:p>
            <w:pPr>
              <w:spacing w:after="0"/>
              <w:rPr>
                <w:sz w:val="16"/>
                <w:szCs w:val="16"/>
                <w:color w:val="auto"/>
              </w:rPr>
            </w:pPr>
          </w:p>
        </w:tc>
        <w:tc>
          <w:tcPr>
            <w:tcW w:w="2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Guaranteed</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investment</w:t>
            </w:r>
          </w:p>
        </w:tc>
        <w:tc>
          <w:tcPr>
            <w:tcW w:w="1920" w:type="dxa"/>
            <w:vAlign w:val="bottom"/>
          </w:tcPr>
          <w:p>
            <w:pPr>
              <w:ind w:left="40"/>
              <w:spacing w:after="0"/>
              <w:rPr>
                <w:sz w:val="20"/>
                <w:szCs w:val="20"/>
                <w:color w:val="auto"/>
              </w:rPr>
            </w:pPr>
            <w:r>
              <w:rPr>
                <w:rFonts w:ascii="Courier New" w:cs="Courier New" w:eastAsia="Courier New" w:hAnsi="Courier New"/>
                <w:sz w:val="16"/>
                <w:szCs w:val="16"/>
                <w:color w:val="auto"/>
              </w:rPr>
              <w:t>contracts</w:t>
            </w:r>
          </w:p>
        </w:tc>
        <w:tc>
          <w:tcPr>
            <w:tcW w:w="2160" w:type="dxa"/>
            <w:vAlign w:val="bottom"/>
          </w:tcPr>
          <w:p>
            <w:pPr>
              <w:jc w:val="right"/>
              <w:spacing w:after="0"/>
              <w:rPr>
                <w:sz w:val="20"/>
                <w:szCs w:val="20"/>
                <w:color w:val="auto"/>
              </w:rPr>
            </w:pPr>
            <w:r>
              <w:rPr>
                <w:rFonts w:ascii="Courier New" w:cs="Courier New" w:eastAsia="Courier New" w:hAnsi="Courier New"/>
                <w:sz w:val="16"/>
                <w:szCs w:val="16"/>
                <w:color w:val="auto"/>
              </w:rPr>
              <w:t>62,439,846</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68" w:lineRule="exact"/>
        <w:rPr>
          <w:sz w:val="20"/>
          <w:szCs w:val="20"/>
          <w:color w:val="auto"/>
        </w:rPr>
      </w:pPr>
    </w:p>
    <w:tbl>
      <w:tblPr>
        <w:tblLayout w:type="fixed"/>
        <w:tblInd w:w="700" w:type="dxa"/>
        <w:tblCellMar>
          <w:top w:w="0" w:type="dxa"/>
          <w:left w:w="0" w:type="dxa"/>
          <w:bottom w:w="0" w:type="dxa"/>
          <w:right w:w="0" w:type="dxa"/>
        </w:tblCellMar>
      </w:tblPr>
      <w:tr>
        <w:trPr>
          <w:trHeight w:val="220"/>
        </w:trPr>
        <w:tc>
          <w:tcPr>
            <w:tcW w:w="3100" w:type="dxa"/>
            <w:vAlign w:val="bottom"/>
          </w:tcPr>
          <w:p>
            <w:pPr>
              <w:spacing w:after="0"/>
              <w:rPr>
                <w:sz w:val="20"/>
                <w:szCs w:val="20"/>
                <w:color w:val="auto"/>
              </w:rPr>
            </w:pPr>
            <w:r>
              <w:rPr>
                <w:rFonts w:ascii="Courier New" w:cs="Courier New" w:eastAsia="Courier New" w:hAnsi="Courier New"/>
                <w:sz w:val="16"/>
                <w:szCs w:val="16"/>
                <w:color w:val="auto"/>
              </w:rPr>
              <w:t>Total investments</w:t>
            </w:r>
          </w:p>
        </w:tc>
        <w:tc>
          <w:tcPr>
            <w:tcW w:w="2600" w:type="dxa"/>
            <w:vAlign w:val="bottom"/>
          </w:tcPr>
          <w:p>
            <w:pPr>
              <w:jc w:val="right"/>
              <w:spacing w:after="0"/>
              <w:rPr>
                <w:sz w:val="20"/>
                <w:szCs w:val="20"/>
                <w:color w:val="auto"/>
              </w:rPr>
            </w:pPr>
            <w:r>
              <w:rPr>
                <w:rFonts w:ascii="Courier New" w:cs="Courier New" w:eastAsia="Courier New" w:hAnsi="Courier New"/>
                <w:sz w:val="16"/>
                <w:szCs w:val="16"/>
                <w:color w:val="auto"/>
              </w:rPr>
              <w:t>$ 78,569,107</w:t>
            </w:r>
          </w:p>
        </w:tc>
      </w:tr>
    </w:tbl>
    <w:p>
      <w:pPr>
        <w:ind w:left="200" w:hanging="199"/>
        <w:spacing w:after="0"/>
        <w:tabs>
          <w:tab w:leader="none" w:pos="2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7"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6"/>
          <w:szCs w:val="16"/>
          <w:color w:val="auto"/>
        </w:rPr>
        <w:t>(Continued)</w:t>
      </w:r>
    </w:p>
    <w:p>
      <w:pPr>
        <w:sectPr>
          <w:pgSz w:w="11900" w:h="16838" w:orient="portrait"/>
          <w:cols w:equalWidth="0" w:num="1">
            <w:col w:w="10219"/>
          </w:cols>
          <w:pgMar w:left="240" w:top="655" w:right="1440" w:bottom="1440" w:gutter="0" w:footer="0" w:header="0"/>
        </w:sectPr>
      </w:pPr>
    </w:p>
    <w:bookmarkStart w:id="12" w:name="page13"/>
    <w:bookmarkEnd w:id="12"/>
    <w:p>
      <w:pPr>
        <w:ind w:left="4140"/>
        <w:spacing w:after="0"/>
        <w:rPr>
          <w:sz w:val="20"/>
          <w:szCs w:val="20"/>
          <w:color w:val="auto"/>
        </w:rPr>
      </w:pPr>
      <w:r>
        <w:rPr>
          <w:rFonts w:ascii="Courier New" w:cs="Courier New" w:eastAsia="Courier New" w:hAnsi="Courier New"/>
          <w:sz w:val="16"/>
          <w:szCs w:val="16"/>
          <w:color w:val="auto"/>
        </w:rPr>
        <w:t>5</w:t>
      </w:r>
    </w:p>
    <w:p>
      <w:pPr>
        <w:spacing w:after="0" w:line="38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THE TORO COMPANY MATCHING STOCK PLAN</w:t>
      </w:r>
    </w:p>
    <w:p>
      <w:pPr>
        <w:spacing w:after="0" w:line="200" w:lineRule="exact"/>
        <w:rPr>
          <w:sz w:val="20"/>
          <w:szCs w:val="20"/>
          <w:color w:val="auto"/>
        </w:rPr>
      </w:pPr>
    </w:p>
    <w:p>
      <w:pPr>
        <w:spacing w:after="0" w:line="377"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The net assets available for benefits of the master trust at July 31,</w:t>
      </w:r>
    </w:p>
    <w:p>
      <w:pPr>
        <w:spacing w:after="0" w:line="38"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1994 were as follows:</w:t>
      </w:r>
    </w:p>
    <w:p>
      <w:pPr>
        <w:spacing w:after="0" w:line="200" w:lineRule="exact"/>
        <w:rPr>
          <w:sz w:val="20"/>
          <w:szCs w:val="20"/>
          <w:color w:val="auto"/>
        </w:rPr>
      </w:pPr>
    </w:p>
    <w:p>
      <w:pPr>
        <w:spacing w:after="0" w:line="347" w:lineRule="exact"/>
        <w:rPr>
          <w:sz w:val="20"/>
          <w:szCs w:val="20"/>
          <w:color w:val="auto"/>
        </w:rPr>
      </w:pPr>
    </w:p>
    <w:tbl>
      <w:tblPr>
        <w:tblLayout w:type="fixed"/>
        <w:tblInd w:w="3940" w:type="dxa"/>
        <w:tblCellMar>
          <w:top w:w="0" w:type="dxa"/>
          <w:left w:w="0" w:type="dxa"/>
          <w:bottom w:w="0" w:type="dxa"/>
          <w:right w:w="0" w:type="dxa"/>
        </w:tblCellMar>
      </w:tblPr>
      <w:tr>
        <w:trPr>
          <w:trHeight w:val="190"/>
        </w:trPr>
        <w:tc>
          <w:tcPr>
            <w:tcW w:w="1240" w:type="dxa"/>
            <w:vAlign w:val="bottom"/>
          </w:tcPr>
          <w:p>
            <w:pPr>
              <w:jc w:val="center"/>
              <w:ind w:right="158"/>
              <w:spacing w:after="0"/>
              <w:rPr>
                <w:sz w:val="20"/>
                <w:szCs w:val="20"/>
                <w:color w:val="auto"/>
              </w:rPr>
            </w:pPr>
            <w:r>
              <w:rPr>
                <w:rFonts w:ascii="Courier New" w:cs="Courier New" w:eastAsia="Courier New" w:hAnsi="Courier New"/>
                <w:sz w:val="16"/>
                <w:szCs w:val="16"/>
                <w:color w:val="auto"/>
              </w:rPr>
              <w:t>Toro</w:t>
            </w:r>
          </w:p>
        </w:tc>
        <w:tc>
          <w:tcPr>
            <w:tcW w:w="1480" w:type="dxa"/>
            <w:vAlign w:val="bottom"/>
          </w:tcPr>
          <w:p>
            <w:pPr>
              <w:jc w:val="center"/>
              <w:spacing w:after="0"/>
              <w:rPr>
                <w:sz w:val="20"/>
                <w:szCs w:val="20"/>
                <w:color w:val="auto"/>
              </w:rPr>
            </w:pPr>
            <w:r>
              <w:rPr>
                <w:rFonts w:ascii="Courier New" w:cs="Courier New" w:eastAsia="Courier New" w:hAnsi="Courier New"/>
                <w:sz w:val="16"/>
                <w:szCs w:val="16"/>
                <w:color w:val="auto"/>
              </w:rPr>
              <w:t>Toro</w:t>
            </w:r>
          </w:p>
        </w:tc>
        <w:tc>
          <w:tcPr>
            <w:tcW w:w="1220" w:type="dxa"/>
            <w:vAlign w:val="bottom"/>
          </w:tcPr>
          <w:p>
            <w:pPr>
              <w:jc w:val="center"/>
              <w:ind w:left="178"/>
              <w:spacing w:after="0"/>
              <w:rPr>
                <w:sz w:val="20"/>
                <w:szCs w:val="20"/>
                <w:color w:val="auto"/>
              </w:rPr>
            </w:pPr>
            <w:r>
              <w:rPr>
                <w:rFonts w:ascii="Courier New" w:cs="Courier New" w:eastAsia="Courier New" w:hAnsi="Courier New"/>
                <w:sz w:val="16"/>
                <w:szCs w:val="16"/>
                <w:color w:val="auto"/>
              </w:rPr>
              <w:t>Toro</w:t>
            </w:r>
          </w:p>
        </w:tc>
      </w:tr>
      <w:tr>
        <w:trPr>
          <w:trHeight w:val="190"/>
        </w:trPr>
        <w:tc>
          <w:tcPr>
            <w:tcW w:w="1240" w:type="dxa"/>
            <w:vAlign w:val="bottom"/>
          </w:tcPr>
          <w:p>
            <w:pPr>
              <w:jc w:val="center"/>
              <w:ind w:right="158"/>
              <w:spacing w:after="0"/>
              <w:rPr>
                <w:sz w:val="20"/>
                <w:szCs w:val="20"/>
                <w:color w:val="auto"/>
              </w:rPr>
            </w:pPr>
            <w:r>
              <w:rPr>
                <w:rFonts w:ascii="Courier New" w:cs="Courier New" w:eastAsia="Courier New" w:hAnsi="Courier New"/>
                <w:sz w:val="16"/>
                <w:szCs w:val="16"/>
                <w:color w:val="auto"/>
              </w:rPr>
              <w:t>Investment</w:t>
            </w:r>
          </w:p>
        </w:tc>
        <w:tc>
          <w:tcPr>
            <w:tcW w:w="1480" w:type="dxa"/>
            <w:vAlign w:val="bottom"/>
          </w:tcPr>
          <w:p>
            <w:pPr>
              <w:jc w:val="center"/>
              <w:spacing w:after="0"/>
              <w:rPr>
                <w:sz w:val="20"/>
                <w:szCs w:val="20"/>
                <w:color w:val="auto"/>
              </w:rPr>
            </w:pPr>
            <w:r>
              <w:rPr>
                <w:rFonts w:ascii="Courier New" w:cs="Courier New" w:eastAsia="Courier New" w:hAnsi="Courier New"/>
                <w:sz w:val="16"/>
                <w:szCs w:val="16"/>
                <w:color w:val="auto"/>
              </w:rPr>
              <w:t>Investment</w:t>
            </w:r>
          </w:p>
        </w:tc>
        <w:tc>
          <w:tcPr>
            <w:tcW w:w="1220" w:type="dxa"/>
            <w:vAlign w:val="bottom"/>
          </w:tcPr>
          <w:p>
            <w:pPr>
              <w:jc w:val="center"/>
              <w:ind w:left="158"/>
              <w:spacing w:after="0"/>
              <w:rPr>
                <w:sz w:val="20"/>
                <w:szCs w:val="20"/>
                <w:color w:val="auto"/>
              </w:rPr>
            </w:pPr>
            <w:r>
              <w:rPr>
                <w:rFonts w:ascii="Courier New" w:cs="Courier New" w:eastAsia="Courier New" w:hAnsi="Courier New"/>
                <w:sz w:val="16"/>
                <w:szCs w:val="16"/>
                <w:color w:val="auto"/>
              </w:rPr>
              <w:t>Investment</w:t>
            </w:r>
          </w:p>
        </w:tc>
      </w:tr>
      <w:tr>
        <w:trPr>
          <w:trHeight w:val="220"/>
        </w:trPr>
        <w:tc>
          <w:tcPr>
            <w:tcW w:w="1240" w:type="dxa"/>
            <w:vAlign w:val="bottom"/>
          </w:tcPr>
          <w:p>
            <w:pPr>
              <w:jc w:val="center"/>
              <w:ind w:right="158"/>
              <w:spacing w:after="0"/>
              <w:rPr>
                <w:sz w:val="20"/>
                <w:szCs w:val="20"/>
                <w:color w:val="auto"/>
              </w:rPr>
            </w:pPr>
            <w:r>
              <w:rPr>
                <w:rFonts w:ascii="Courier New" w:cs="Courier New" w:eastAsia="Courier New" w:hAnsi="Courier New"/>
                <w:sz w:val="16"/>
                <w:szCs w:val="16"/>
                <w:color w:val="auto"/>
              </w:rPr>
              <w:t>Fund A</w:t>
            </w:r>
          </w:p>
        </w:tc>
        <w:tc>
          <w:tcPr>
            <w:tcW w:w="1480" w:type="dxa"/>
            <w:vAlign w:val="bottom"/>
          </w:tcPr>
          <w:p>
            <w:pPr>
              <w:jc w:val="center"/>
              <w:spacing w:after="0"/>
              <w:rPr>
                <w:sz w:val="20"/>
                <w:szCs w:val="20"/>
                <w:color w:val="auto"/>
              </w:rPr>
            </w:pPr>
            <w:r>
              <w:rPr>
                <w:rFonts w:ascii="Courier New" w:cs="Courier New" w:eastAsia="Courier New" w:hAnsi="Courier New"/>
                <w:sz w:val="16"/>
                <w:szCs w:val="16"/>
                <w:color w:val="auto"/>
              </w:rPr>
              <w:t>Fund B</w:t>
            </w:r>
          </w:p>
        </w:tc>
        <w:tc>
          <w:tcPr>
            <w:tcW w:w="1220" w:type="dxa"/>
            <w:vAlign w:val="bottom"/>
          </w:tcPr>
          <w:p>
            <w:pPr>
              <w:jc w:val="center"/>
              <w:ind w:left="178"/>
              <w:spacing w:after="0"/>
              <w:rPr>
                <w:sz w:val="20"/>
                <w:szCs w:val="20"/>
                <w:color w:val="auto"/>
              </w:rPr>
            </w:pPr>
            <w:r>
              <w:rPr>
                <w:rFonts w:ascii="Courier New" w:cs="Courier New" w:eastAsia="Courier New" w:hAnsi="Courier New"/>
                <w:sz w:val="16"/>
                <w:szCs w:val="16"/>
                <w:color w:val="auto"/>
              </w:rPr>
              <w:t>Fund C</w:t>
            </w:r>
          </w:p>
        </w:tc>
      </w:tr>
    </w:tbl>
    <w:p>
      <w:pPr>
        <w:spacing w:after="0"/>
        <w:rPr>
          <w:sz w:val="20"/>
          <w:szCs w:val="20"/>
          <w:color w:val="auto"/>
        </w:rPr>
      </w:pPr>
      <w:r>
        <w:rPr>
          <w:rFonts w:ascii="Courier New" w:cs="Courier New" w:eastAsia="Courier New" w:hAnsi="Courier New"/>
          <w:sz w:val="16"/>
          <w:szCs w:val="16"/>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Investments:</w:t>
            </w:r>
          </w:p>
        </w:tc>
        <w:tc>
          <w:tcPr>
            <w:tcW w:w="232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investment funds</w:t>
            </w:r>
          </w:p>
        </w:tc>
        <w:tc>
          <w:tcPr>
            <w:tcW w:w="1660" w:type="dxa"/>
            <w:vAlign w:val="bottom"/>
            <w:vMerge w:val="restart"/>
          </w:tcPr>
          <w:p>
            <w:pPr>
              <w:jc w:val="right"/>
              <w:ind w:right="198"/>
              <w:spacing w:after="0"/>
              <w:rPr>
                <w:sz w:val="20"/>
                <w:szCs w:val="20"/>
                <w:color w:val="auto"/>
              </w:rPr>
            </w:pPr>
            <w:r>
              <w:rPr>
                <w:rFonts w:ascii="Courier New" w:cs="Courier New" w:eastAsia="Courier New" w:hAnsi="Courier New"/>
                <w:sz w:val="16"/>
                <w:szCs w:val="16"/>
                <w:color w:val="auto"/>
              </w:rPr>
              <w:t>$ 2,113,024</w:t>
            </w:r>
          </w:p>
        </w:tc>
        <w:tc>
          <w:tcPr>
            <w:tcW w:w="148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4,692</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18,267</w:t>
            </w:r>
          </w:p>
        </w:tc>
        <w:tc>
          <w:tcPr>
            <w:tcW w:w="0" w:type="dxa"/>
            <w:vAlign w:val="bottom"/>
          </w:tcPr>
          <w:p>
            <w:pPr>
              <w:spacing w:after="0"/>
              <w:rPr>
                <w:sz w:val="1"/>
                <w:szCs w:val="1"/>
                <w:color w:val="auto"/>
              </w:rPr>
            </w:pPr>
          </w:p>
        </w:tc>
      </w:tr>
      <w:tr>
        <w:trPr>
          <w:trHeight w:val="190"/>
        </w:trPr>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Short term</w:t>
            </w:r>
          </w:p>
        </w:tc>
        <w:tc>
          <w:tcPr>
            <w:tcW w:w="232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Guaranteed</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investment contracts</w:t>
            </w:r>
          </w:p>
        </w:tc>
        <w:tc>
          <w:tcPr>
            <w:tcW w:w="16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65,342,674</w:t>
            </w: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90"/>
        </w:trPr>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IAI Stable</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Income Fund</w:t>
            </w:r>
          </w:p>
        </w:tc>
        <w:tc>
          <w:tcPr>
            <w:tcW w:w="16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2,944,590</w:t>
            </w: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220"/>
        </w:trPr>
        <w:tc>
          <w:tcPr>
            <w:tcW w:w="35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Common stocks</w:t>
            </w:r>
          </w:p>
        </w:tc>
        <w:tc>
          <w:tcPr>
            <w:tcW w:w="16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0</w:t>
            </w: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5,670,892</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3,810,789</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3200" w:type="dxa"/>
            <w:vAlign w:val="bottom"/>
          </w:tcPr>
          <w:p>
            <w:pPr>
              <w:ind w:left="600"/>
              <w:spacing w:after="0"/>
              <w:rPr>
                <w:sz w:val="20"/>
                <w:szCs w:val="20"/>
                <w:color w:val="auto"/>
              </w:rPr>
            </w:pPr>
            <w:r>
              <w:rPr>
                <w:rFonts w:ascii="Courier New" w:cs="Courier New" w:eastAsia="Courier New" w:hAnsi="Courier New"/>
                <w:sz w:val="16"/>
                <w:szCs w:val="16"/>
                <w:color w:val="auto"/>
              </w:rPr>
              <w:t>Total investments</w:t>
            </w:r>
          </w:p>
        </w:tc>
        <w:tc>
          <w:tcPr>
            <w:tcW w:w="20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70,400,288</w:t>
            </w: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5,675,584</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3,829,056</w:t>
            </w:r>
          </w:p>
        </w:tc>
      </w:tr>
      <w:tr>
        <w:trPr>
          <w:trHeight w:val="292"/>
        </w:trPr>
        <w:tc>
          <w:tcPr>
            <w:tcW w:w="3200" w:type="dxa"/>
            <w:vAlign w:val="bottom"/>
          </w:tcPr>
          <w:p>
            <w:pPr>
              <w:spacing w:after="0"/>
              <w:rPr>
                <w:sz w:val="20"/>
                <w:szCs w:val="20"/>
                <w:color w:val="auto"/>
              </w:rPr>
            </w:pPr>
            <w:r>
              <w:rPr>
                <w:rFonts w:ascii="Courier New" w:cs="Courier New" w:eastAsia="Courier New" w:hAnsi="Courier New"/>
                <w:sz w:val="16"/>
                <w:szCs w:val="16"/>
                <w:color w:val="auto"/>
              </w:rPr>
              <w:t>Accrued investment income</w:t>
            </w:r>
          </w:p>
        </w:tc>
        <w:tc>
          <w:tcPr>
            <w:tcW w:w="20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1,524,052</w:t>
            </w: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33</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bl>
    <w:p>
      <w:pPr>
        <w:spacing w:after="0"/>
        <w:rPr>
          <w:sz w:val="20"/>
          <w:szCs w:val="20"/>
          <w:color w:val="auto"/>
        </w:rPr>
      </w:pPr>
      <w:r>
        <w:rPr>
          <w:rFonts w:ascii="Courier New" w:cs="Courier New" w:eastAsia="Courier New" w:hAnsi="Courier New"/>
          <w:sz w:val="16"/>
          <w:szCs w:val="16"/>
          <w:color w:val="auto"/>
        </w:rPr>
        <w:t>- --------------------------------------------------------------------------------</w:t>
      </w:r>
    </w:p>
    <w:p>
      <w:pPr>
        <w:spacing w:after="0" w:line="168" w:lineRule="exact"/>
        <w:rPr>
          <w:sz w:val="20"/>
          <w:szCs w:val="20"/>
          <w:color w:val="auto"/>
        </w:rPr>
      </w:pPr>
    </w:p>
    <w:tbl>
      <w:tblPr>
        <w:tblLayout w:type="fixed"/>
        <w:tblInd w:w="600" w:type="dxa"/>
        <w:tblCellMar>
          <w:top w:w="0" w:type="dxa"/>
          <w:left w:w="0" w:type="dxa"/>
          <w:bottom w:w="0" w:type="dxa"/>
          <w:right w:w="0" w:type="dxa"/>
        </w:tblCellMar>
      </w:tblPr>
      <w:tr>
        <w:trPr>
          <w:trHeight w:val="190"/>
        </w:trPr>
        <w:tc>
          <w:tcPr>
            <w:tcW w:w="2860" w:type="dxa"/>
            <w:vAlign w:val="bottom"/>
          </w:tcPr>
          <w:p>
            <w:pPr>
              <w:spacing w:after="0"/>
              <w:rPr>
                <w:sz w:val="20"/>
                <w:szCs w:val="20"/>
                <w:color w:val="auto"/>
              </w:rPr>
            </w:pPr>
            <w:r>
              <w:rPr>
                <w:rFonts w:ascii="Courier New" w:cs="Courier New" w:eastAsia="Courier New" w:hAnsi="Courier New"/>
                <w:sz w:val="16"/>
                <w:szCs w:val="16"/>
                <w:color w:val="auto"/>
              </w:rPr>
              <w:t>Total assets available for</w:t>
            </w:r>
          </w:p>
        </w:tc>
        <w:tc>
          <w:tcPr>
            <w:tcW w:w="1760" w:type="dxa"/>
            <w:vAlign w:val="bottom"/>
            <w:vMerge w:val="restart"/>
          </w:tcPr>
          <w:p>
            <w:pPr>
              <w:jc w:val="right"/>
              <w:ind w:right="198"/>
              <w:spacing w:after="0"/>
              <w:rPr>
                <w:sz w:val="20"/>
                <w:szCs w:val="20"/>
                <w:color w:val="auto"/>
              </w:rPr>
            </w:pPr>
            <w:r>
              <w:rPr>
                <w:rFonts w:ascii="Courier New" w:cs="Courier New" w:eastAsia="Courier New" w:hAnsi="Courier New"/>
                <w:sz w:val="16"/>
                <w:szCs w:val="16"/>
                <w:color w:val="auto"/>
              </w:rPr>
              <w:t>$ 71,924,340</w:t>
            </w:r>
          </w:p>
        </w:tc>
        <w:tc>
          <w:tcPr>
            <w:tcW w:w="148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5,675,617</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3,829,096</w:t>
            </w:r>
          </w:p>
        </w:tc>
        <w:tc>
          <w:tcPr>
            <w:tcW w:w="0" w:type="dxa"/>
            <w:vAlign w:val="bottom"/>
          </w:tcPr>
          <w:p>
            <w:pPr>
              <w:spacing w:after="0"/>
              <w:rPr>
                <w:sz w:val="1"/>
                <w:szCs w:val="1"/>
                <w:color w:val="auto"/>
              </w:rPr>
            </w:pPr>
          </w:p>
        </w:tc>
      </w:tr>
      <w:tr>
        <w:trPr>
          <w:trHeight w:val="220"/>
        </w:trPr>
        <w:tc>
          <w:tcPr>
            <w:tcW w:w="2860" w:type="dxa"/>
            <w:vAlign w:val="bottom"/>
          </w:tcPr>
          <w:p>
            <w:pPr>
              <w:ind w:left="180"/>
              <w:spacing w:after="0"/>
              <w:rPr>
                <w:sz w:val="20"/>
                <w:szCs w:val="20"/>
                <w:color w:val="auto"/>
              </w:rPr>
            </w:pPr>
            <w:r>
              <w:rPr>
                <w:rFonts w:ascii="Courier New" w:cs="Courier New" w:eastAsia="Courier New" w:hAnsi="Courier New"/>
                <w:sz w:val="16"/>
                <w:szCs w:val="16"/>
                <w:color w:val="auto"/>
              </w:rPr>
              <w:t>benefits</w:t>
            </w:r>
          </w:p>
        </w:tc>
        <w:tc>
          <w:tcPr>
            <w:tcW w:w="1760" w:type="dxa"/>
            <w:vAlign w:val="bottom"/>
            <w:vMerge w:val="continue"/>
          </w:tcPr>
          <w:p>
            <w:pPr>
              <w:spacing w:after="0"/>
              <w:rPr>
                <w:sz w:val="19"/>
                <w:szCs w:val="19"/>
                <w:color w:val="auto"/>
              </w:rPr>
            </w:pPr>
          </w:p>
        </w:tc>
        <w:tc>
          <w:tcPr>
            <w:tcW w:w="14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ind w:left="200" w:hanging="199"/>
        <w:spacing w:after="0"/>
        <w:tabs>
          <w:tab w:leader="none" w:pos="2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8" w:lineRule="exact"/>
        <w:rPr>
          <w:sz w:val="20"/>
          <w:szCs w:val="20"/>
          <w:color w:val="auto"/>
        </w:rPr>
      </w:pPr>
    </w:p>
    <w:p>
      <w:pPr>
        <w:ind w:left="980" w:right="2439" w:hanging="295"/>
        <w:spacing w:after="0" w:line="377" w:lineRule="auto"/>
        <w:rPr>
          <w:sz w:val="20"/>
          <w:szCs w:val="20"/>
          <w:color w:val="auto"/>
        </w:rPr>
      </w:pPr>
      <w:r>
        <w:rPr>
          <w:rFonts w:ascii="Courier New" w:cs="Courier New" w:eastAsia="Courier New" w:hAnsi="Courier New"/>
          <w:sz w:val="16"/>
          <w:szCs w:val="16"/>
          <w:color w:val="auto"/>
        </w:rPr>
        <w:t>The changes in net assets available for benefits of the master trust for the year ended July 31, 1995 were as follows:</w:t>
      </w:r>
    </w:p>
    <w:p>
      <w:pPr>
        <w:spacing w:after="0" w:line="379" w:lineRule="exact"/>
        <w:rPr>
          <w:sz w:val="20"/>
          <w:szCs w:val="20"/>
          <w:color w:val="auto"/>
        </w:rPr>
      </w:pPr>
    </w:p>
    <w:tbl>
      <w:tblPr>
        <w:tblLayout w:type="fixed"/>
        <w:tblInd w:w="3840" w:type="dxa"/>
        <w:tblCellMar>
          <w:top w:w="0" w:type="dxa"/>
          <w:left w:w="0" w:type="dxa"/>
          <w:bottom w:w="0" w:type="dxa"/>
          <w:right w:w="0" w:type="dxa"/>
        </w:tblCellMar>
      </w:tblPr>
      <w:tr>
        <w:trPr>
          <w:trHeight w:val="190"/>
        </w:trPr>
        <w:tc>
          <w:tcPr>
            <w:tcW w:w="1340" w:type="dxa"/>
            <w:vAlign w:val="bottom"/>
          </w:tcPr>
          <w:p>
            <w:pPr>
              <w:spacing w:after="0"/>
              <w:rPr>
                <w:sz w:val="20"/>
                <w:szCs w:val="20"/>
                <w:color w:val="auto"/>
              </w:rPr>
            </w:pPr>
            <w:r>
              <w:rPr>
                <w:rFonts w:ascii="Courier New" w:cs="Courier New" w:eastAsia="Courier New" w:hAnsi="Courier New"/>
                <w:sz w:val="16"/>
                <w:szCs w:val="16"/>
                <w:color w:val="auto"/>
              </w:rPr>
              <w:t>Toro Stable</w:t>
            </w:r>
          </w:p>
        </w:tc>
        <w:tc>
          <w:tcPr>
            <w:tcW w:w="1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40" w:type="dxa"/>
            <w:vAlign w:val="bottom"/>
          </w:tcPr>
          <w:p>
            <w:pPr>
              <w:spacing w:after="0"/>
              <w:rPr>
                <w:sz w:val="20"/>
                <w:szCs w:val="20"/>
                <w:color w:val="auto"/>
              </w:rPr>
            </w:pPr>
            <w:r>
              <w:rPr>
                <w:rFonts w:ascii="Courier New" w:cs="Courier New" w:eastAsia="Courier New" w:hAnsi="Courier New"/>
                <w:sz w:val="16"/>
                <w:szCs w:val="16"/>
                <w:color w:val="auto"/>
              </w:rPr>
              <w:t>Value Fund/</w:t>
            </w:r>
          </w:p>
        </w:tc>
        <w:tc>
          <w:tcPr>
            <w:tcW w:w="142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rPr>
              <w:t>Toro</w:t>
            </w:r>
          </w:p>
        </w:tc>
        <w:tc>
          <w:tcPr>
            <w:tcW w:w="940" w:type="dxa"/>
            <w:vAlign w:val="bottom"/>
            <w:vMerge w:val="restart"/>
          </w:tcPr>
          <w:p>
            <w:pPr>
              <w:jc w:val="center"/>
              <w:ind w:left="378"/>
              <w:spacing w:after="0"/>
              <w:rPr>
                <w:sz w:val="20"/>
                <w:szCs w:val="20"/>
                <w:color w:val="auto"/>
              </w:rPr>
            </w:pPr>
            <w:r>
              <w:rPr>
                <w:rFonts w:ascii="Courier New" w:cs="Courier New" w:eastAsia="Courier New" w:hAnsi="Courier New"/>
                <w:sz w:val="16"/>
                <w:szCs w:val="16"/>
                <w:color w:val="auto"/>
              </w:rPr>
              <w:t>Toro</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40" w:type="dxa"/>
            <w:vAlign w:val="bottom"/>
          </w:tcPr>
          <w:p>
            <w:pPr>
              <w:jc w:val="center"/>
              <w:ind w:right="258"/>
              <w:spacing w:after="0"/>
              <w:rPr>
                <w:sz w:val="20"/>
                <w:szCs w:val="20"/>
                <w:color w:val="auto"/>
              </w:rPr>
            </w:pPr>
            <w:r>
              <w:rPr>
                <w:rFonts w:ascii="Courier New" w:cs="Courier New" w:eastAsia="Courier New" w:hAnsi="Courier New"/>
                <w:sz w:val="16"/>
                <w:szCs w:val="16"/>
                <w:color w:val="auto"/>
              </w:rPr>
              <w:t>Toro</w:t>
            </w:r>
          </w:p>
        </w:tc>
        <w:tc>
          <w:tcPr>
            <w:tcW w:w="14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40" w:type="dxa"/>
            <w:vAlign w:val="bottom"/>
          </w:tcPr>
          <w:p>
            <w:pPr>
              <w:spacing w:after="0"/>
              <w:rPr>
                <w:sz w:val="20"/>
                <w:szCs w:val="20"/>
                <w:color w:val="auto"/>
              </w:rPr>
            </w:pPr>
            <w:r>
              <w:rPr>
                <w:rFonts w:ascii="Courier New" w:cs="Courier New" w:eastAsia="Courier New" w:hAnsi="Courier New"/>
                <w:sz w:val="16"/>
                <w:szCs w:val="16"/>
                <w:color w:val="auto"/>
              </w:rPr>
              <w:t>Investment</w:t>
            </w:r>
          </w:p>
        </w:tc>
        <w:tc>
          <w:tcPr>
            <w:tcW w:w="1420" w:type="dxa"/>
            <w:vAlign w:val="bottom"/>
          </w:tcPr>
          <w:p>
            <w:pPr>
              <w:jc w:val="center"/>
              <w:spacing w:after="0"/>
              <w:rPr>
                <w:sz w:val="20"/>
                <w:szCs w:val="20"/>
                <w:color w:val="auto"/>
              </w:rPr>
            </w:pPr>
            <w:r>
              <w:rPr>
                <w:rFonts w:ascii="Courier New" w:cs="Courier New" w:eastAsia="Courier New" w:hAnsi="Courier New"/>
                <w:sz w:val="16"/>
                <w:szCs w:val="16"/>
                <w:color w:val="auto"/>
              </w:rPr>
              <w:t>Investment</w:t>
            </w:r>
          </w:p>
        </w:tc>
        <w:tc>
          <w:tcPr>
            <w:tcW w:w="1180" w:type="dxa"/>
            <w:vAlign w:val="bottom"/>
            <w:gridSpan w:val="2"/>
          </w:tcPr>
          <w:p>
            <w:pPr>
              <w:jc w:val="center"/>
              <w:ind w:left="118"/>
              <w:spacing w:after="0"/>
              <w:rPr>
                <w:sz w:val="20"/>
                <w:szCs w:val="20"/>
                <w:color w:val="auto"/>
              </w:rPr>
            </w:pPr>
            <w:r>
              <w:rPr>
                <w:rFonts w:ascii="Courier New" w:cs="Courier New" w:eastAsia="Courier New" w:hAnsi="Courier New"/>
                <w:sz w:val="16"/>
                <w:szCs w:val="16"/>
                <w:color w:val="auto"/>
              </w:rPr>
              <w:t>Investment</w:t>
            </w:r>
          </w:p>
        </w:tc>
        <w:tc>
          <w:tcPr>
            <w:tcW w:w="0" w:type="dxa"/>
            <w:vAlign w:val="bottom"/>
          </w:tcPr>
          <w:p>
            <w:pPr>
              <w:spacing w:after="0"/>
              <w:rPr>
                <w:sz w:val="1"/>
                <w:szCs w:val="1"/>
                <w:color w:val="auto"/>
              </w:rPr>
            </w:pPr>
          </w:p>
        </w:tc>
      </w:tr>
      <w:tr>
        <w:trPr>
          <w:trHeight w:val="220"/>
        </w:trPr>
        <w:tc>
          <w:tcPr>
            <w:tcW w:w="1340" w:type="dxa"/>
            <w:vAlign w:val="bottom"/>
          </w:tcPr>
          <w:p>
            <w:pPr>
              <w:jc w:val="center"/>
              <w:ind w:right="258"/>
              <w:spacing w:after="0"/>
              <w:rPr>
                <w:sz w:val="20"/>
                <w:szCs w:val="20"/>
                <w:color w:val="auto"/>
              </w:rPr>
            </w:pPr>
            <w:r>
              <w:rPr>
                <w:rFonts w:ascii="Courier New" w:cs="Courier New" w:eastAsia="Courier New" w:hAnsi="Courier New"/>
                <w:sz w:val="16"/>
                <w:szCs w:val="16"/>
                <w:color w:val="auto"/>
              </w:rPr>
              <w:t>Fund A</w:t>
            </w:r>
          </w:p>
        </w:tc>
        <w:tc>
          <w:tcPr>
            <w:tcW w:w="1420" w:type="dxa"/>
            <w:vAlign w:val="bottom"/>
          </w:tcPr>
          <w:p>
            <w:pPr>
              <w:jc w:val="center"/>
              <w:spacing w:after="0"/>
              <w:rPr>
                <w:sz w:val="20"/>
                <w:szCs w:val="20"/>
                <w:color w:val="auto"/>
              </w:rPr>
            </w:pPr>
            <w:r>
              <w:rPr>
                <w:rFonts w:ascii="Courier New" w:cs="Courier New" w:eastAsia="Courier New" w:hAnsi="Courier New"/>
                <w:sz w:val="16"/>
                <w:szCs w:val="16"/>
                <w:color w:val="auto"/>
              </w:rPr>
              <w:t>Fund B</w:t>
            </w:r>
          </w:p>
        </w:tc>
        <w:tc>
          <w:tcPr>
            <w:tcW w:w="940" w:type="dxa"/>
            <w:vAlign w:val="bottom"/>
          </w:tcPr>
          <w:p>
            <w:pPr>
              <w:jc w:val="center"/>
              <w:ind w:left="378"/>
              <w:spacing w:after="0"/>
              <w:rPr>
                <w:sz w:val="20"/>
                <w:szCs w:val="20"/>
                <w:color w:val="auto"/>
              </w:rPr>
            </w:pPr>
            <w:r>
              <w:rPr>
                <w:rFonts w:ascii="Courier New" w:cs="Courier New" w:eastAsia="Courier New" w:hAnsi="Courier New"/>
                <w:sz w:val="16"/>
                <w:szCs w:val="16"/>
                <w:color w:val="auto"/>
              </w:rPr>
              <w:t>Fund</w:t>
            </w: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rPr>
              <w:t>C</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Investment</w:t>
            </w:r>
          </w:p>
        </w:tc>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income:</w:t>
            </w:r>
          </w:p>
        </w:tc>
        <w:tc>
          <w:tcPr>
            <w:tcW w:w="1780" w:type="dxa"/>
            <w:vAlign w:val="bottom"/>
          </w:tcPr>
          <w:p>
            <w:pPr>
              <w:spacing w:after="0"/>
              <w:rPr>
                <w:sz w:val="16"/>
                <w:szCs w:val="16"/>
                <w:color w:val="auto"/>
              </w:rPr>
            </w:pPr>
          </w:p>
        </w:tc>
        <w:tc>
          <w:tcPr>
            <w:tcW w:w="30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restart"/>
          </w:tcPr>
          <w:p>
            <w:pPr>
              <w:jc w:val="right"/>
              <w:ind w:right="198"/>
              <w:spacing w:after="0"/>
              <w:rPr>
                <w:sz w:val="20"/>
                <w:szCs w:val="20"/>
                <w:color w:val="auto"/>
              </w:rPr>
            </w:pPr>
            <w:r>
              <w:rPr>
                <w:rFonts w:ascii="Courier New" w:cs="Courier New" w:eastAsia="Courier New" w:hAnsi="Courier New"/>
                <w:sz w:val="16"/>
                <w:szCs w:val="16"/>
                <w:color w:val="auto"/>
              </w:rPr>
              <w:t>4,889,639</w:t>
            </w:r>
          </w:p>
        </w:tc>
        <w:tc>
          <w:tcPr>
            <w:tcW w:w="1580" w:type="dxa"/>
            <w:vAlign w:val="bottom"/>
            <w:vMerge w:val="restart"/>
          </w:tcPr>
          <w:p>
            <w:pPr>
              <w:jc w:val="right"/>
              <w:ind w:right="318"/>
              <w:spacing w:after="0"/>
              <w:rPr>
                <w:sz w:val="20"/>
                <w:szCs w:val="20"/>
                <w:color w:val="auto"/>
              </w:rPr>
            </w:pPr>
            <w:r>
              <w:rPr>
                <w:rFonts w:ascii="Courier New" w:cs="Courier New" w:eastAsia="Courier New" w:hAnsi="Courier New"/>
                <w:sz w:val="16"/>
                <w:szCs w:val="16"/>
                <w:color w:val="auto"/>
              </w:rPr>
              <w:t>6,374</w:t>
            </w:r>
          </w:p>
        </w:tc>
        <w:tc>
          <w:tcPr>
            <w:tcW w:w="118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3,935</w:t>
            </w:r>
          </w:p>
        </w:tc>
        <w:tc>
          <w:tcPr>
            <w:tcW w:w="0" w:type="dxa"/>
            <w:vAlign w:val="bottom"/>
          </w:tcPr>
          <w:p>
            <w:pPr>
              <w:spacing w:after="0"/>
              <w:rPr>
                <w:sz w:val="1"/>
                <w:szCs w:val="1"/>
                <w:color w:val="auto"/>
              </w:rPr>
            </w:pPr>
          </w:p>
        </w:tc>
      </w:tr>
      <w:tr>
        <w:trPr>
          <w:trHeight w:val="190"/>
        </w:trPr>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Interest</w:t>
            </w:r>
          </w:p>
        </w:tc>
        <w:tc>
          <w:tcPr>
            <w:tcW w:w="25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and dividends</w:t>
            </w:r>
          </w:p>
        </w:tc>
        <w:tc>
          <w:tcPr>
            <w:tcW w:w="30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8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Net appreciation</w:t>
            </w:r>
          </w:p>
        </w:tc>
        <w:tc>
          <w:tcPr>
            <w:tcW w:w="1780" w:type="dxa"/>
            <w:vAlign w:val="bottom"/>
          </w:tcPr>
          <w:p>
            <w:pPr>
              <w:ind w:left="60"/>
              <w:spacing w:after="0"/>
              <w:rPr>
                <w:sz w:val="20"/>
                <w:szCs w:val="20"/>
                <w:color w:val="auto"/>
              </w:rPr>
            </w:pPr>
            <w:r>
              <w:rPr>
                <w:rFonts w:ascii="Courier New" w:cs="Courier New" w:eastAsia="Courier New" w:hAnsi="Courier New"/>
                <w:sz w:val="16"/>
                <w:szCs w:val="16"/>
                <w:color w:val="auto"/>
              </w:rPr>
              <w:t>(depreciation)</w:t>
            </w:r>
          </w:p>
        </w:tc>
        <w:tc>
          <w:tcPr>
            <w:tcW w:w="300" w:type="dxa"/>
            <w:vAlign w:val="bottom"/>
          </w:tcPr>
          <w:p>
            <w:pPr>
              <w:spacing w:after="0"/>
              <w:rPr>
                <w:sz w:val="16"/>
                <w:szCs w:val="16"/>
                <w:color w:val="auto"/>
              </w:rPr>
            </w:pPr>
          </w:p>
        </w:tc>
        <w:tc>
          <w:tcPr>
            <w:tcW w:w="1320" w:type="dxa"/>
            <w:vAlign w:val="bottom"/>
            <w:vMerge w:val="restart"/>
          </w:tcPr>
          <w:p>
            <w:pPr>
              <w:jc w:val="right"/>
              <w:ind w:right="198"/>
              <w:spacing w:after="0"/>
              <w:rPr>
                <w:sz w:val="20"/>
                <w:szCs w:val="20"/>
                <w:color w:val="auto"/>
              </w:rPr>
            </w:pPr>
            <w:r>
              <w:rPr>
                <w:rFonts w:ascii="Courier New" w:cs="Courier New" w:eastAsia="Courier New" w:hAnsi="Courier New"/>
                <w:sz w:val="16"/>
                <w:szCs w:val="16"/>
                <w:color w:val="auto"/>
              </w:rPr>
              <w:t>141,826</w:t>
            </w:r>
          </w:p>
        </w:tc>
        <w:tc>
          <w:tcPr>
            <w:tcW w:w="158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(983,449)</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(425,213)</w:t>
            </w:r>
          </w:p>
        </w:tc>
        <w:tc>
          <w:tcPr>
            <w:tcW w:w="0" w:type="dxa"/>
            <w:vAlign w:val="bottom"/>
          </w:tcPr>
          <w:p>
            <w:pPr>
              <w:spacing w:after="0"/>
              <w:rPr>
                <w:sz w:val="1"/>
                <w:szCs w:val="1"/>
                <w:color w:val="auto"/>
              </w:rPr>
            </w:pPr>
          </w:p>
        </w:tc>
      </w:tr>
      <w:tr>
        <w:trPr>
          <w:trHeight w:val="190"/>
        </w:trPr>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in</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fair</w:t>
            </w:r>
          </w:p>
        </w:tc>
        <w:tc>
          <w:tcPr>
            <w:tcW w:w="20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value of investments</w:t>
            </w:r>
          </w:p>
        </w:tc>
        <w:tc>
          <w:tcPr>
            <w:tcW w:w="3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Gain</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on sales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1780" w:type="dxa"/>
            <w:vAlign w:val="bottom"/>
          </w:tcPr>
          <w:p>
            <w:pPr>
              <w:ind w:left="60"/>
              <w:spacing w:after="0"/>
              <w:rPr>
                <w:sz w:val="20"/>
                <w:szCs w:val="20"/>
                <w:color w:val="auto"/>
              </w:rPr>
            </w:pPr>
            <w:r>
              <w:rPr>
                <w:rFonts w:ascii="Courier New" w:cs="Courier New" w:eastAsia="Courier New" w:hAnsi="Courier New"/>
                <w:sz w:val="16"/>
                <w:szCs w:val="16"/>
                <w:color w:val="auto"/>
              </w:rPr>
              <w:t>investments</w:t>
            </w:r>
          </w:p>
        </w:tc>
        <w:tc>
          <w:tcPr>
            <w:tcW w:w="300" w:type="dxa"/>
            <w:vAlign w:val="bottom"/>
          </w:tcPr>
          <w:p>
            <w:pPr>
              <w:spacing w:after="0"/>
              <w:rPr>
                <w:sz w:val="19"/>
                <w:szCs w:val="19"/>
                <w:color w:val="auto"/>
              </w:rPr>
            </w:pPr>
          </w:p>
        </w:tc>
        <w:tc>
          <w:tcPr>
            <w:tcW w:w="13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0</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1,838,203</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836,239</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356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Total investment income</w:t>
            </w:r>
          </w:p>
        </w:tc>
        <w:tc>
          <w:tcPr>
            <w:tcW w:w="18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5,031,465</w:t>
            </w:r>
          </w:p>
        </w:tc>
        <w:tc>
          <w:tcPr>
            <w:tcW w:w="14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861,128</w:t>
            </w:r>
          </w:p>
        </w:tc>
        <w:tc>
          <w:tcPr>
            <w:tcW w:w="11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414,961</w:t>
            </w:r>
          </w:p>
        </w:tc>
      </w:tr>
      <w:tr>
        <w:trPr>
          <w:trHeight w:val="292"/>
        </w:trPr>
        <w:tc>
          <w:tcPr>
            <w:tcW w:w="356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Commissions, fees, and expenses</w:t>
            </w:r>
          </w:p>
        </w:tc>
        <w:tc>
          <w:tcPr>
            <w:tcW w:w="182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(34,400)</w:t>
            </w:r>
          </w:p>
        </w:tc>
        <w:tc>
          <w:tcPr>
            <w:tcW w:w="14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(5,499)</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(9,778)</w:t>
            </w:r>
          </w:p>
        </w:tc>
      </w:tr>
    </w:tbl>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Net</w:t>
            </w:r>
          </w:p>
        </w:tc>
        <w:tc>
          <w:tcPr>
            <w:tcW w:w="2560" w:type="dxa"/>
            <w:vAlign w:val="bottom"/>
          </w:tcPr>
          <w:p>
            <w:pPr>
              <w:ind w:left="40"/>
              <w:spacing w:after="0"/>
              <w:rPr>
                <w:sz w:val="20"/>
                <w:szCs w:val="20"/>
                <w:color w:val="auto"/>
              </w:rPr>
            </w:pPr>
            <w:r>
              <w:rPr>
                <w:rFonts w:ascii="Courier New" w:cs="Courier New" w:eastAsia="Courier New" w:hAnsi="Courier New"/>
                <w:sz w:val="16"/>
                <w:szCs w:val="16"/>
                <w:color w:val="auto"/>
              </w:rPr>
              <w:t>investment income</w:t>
            </w:r>
          </w:p>
        </w:tc>
        <w:tc>
          <w:tcPr>
            <w:tcW w:w="15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4,997,065</w:t>
            </w: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855,629</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405,183</w:t>
            </w:r>
          </w:p>
        </w:tc>
      </w:tr>
      <w:tr>
        <w:trPr>
          <w:trHeight w:val="262"/>
        </w:trPr>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Deposits by</w:t>
            </w:r>
          </w:p>
        </w:tc>
        <w:tc>
          <w:tcPr>
            <w:tcW w:w="2560" w:type="dxa"/>
            <w:vAlign w:val="bottom"/>
          </w:tcPr>
          <w:p>
            <w:pPr>
              <w:ind w:left="40"/>
              <w:spacing w:after="0"/>
              <w:rPr>
                <w:sz w:val="20"/>
                <w:szCs w:val="20"/>
                <w:color w:val="auto"/>
              </w:rPr>
            </w:pPr>
            <w:r>
              <w:rPr>
                <w:rFonts w:ascii="Courier New" w:cs="Courier New" w:eastAsia="Courier New" w:hAnsi="Courier New"/>
                <w:sz w:val="16"/>
                <w:szCs w:val="16"/>
                <w:color w:val="auto"/>
              </w:rPr>
              <w:t>participating plans</w:t>
            </w:r>
          </w:p>
        </w:tc>
        <w:tc>
          <w:tcPr>
            <w:tcW w:w="15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1,862,879</w:t>
            </w: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486,186</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370,269</w:t>
            </w:r>
          </w:p>
        </w:tc>
      </w:tr>
      <w:tr>
        <w:trPr>
          <w:trHeight w:val="220"/>
        </w:trPr>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Withdrawals</w:t>
            </w:r>
          </w:p>
        </w:tc>
        <w:tc>
          <w:tcPr>
            <w:tcW w:w="2560" w:type="dxa"/>
            <w:vAlign w:val="bottom"/>
          </w:tcPr>
          <w:p>
            <w:pPr>
              <w:ind w:left="40"/>
              <w:spacing w:after="0"/>
              <w:rPr>
                <w:sz w:val="20"/>
                <w:szCs w:val="20"/>
                <w:color w:val="auto"/>
              </w:rPr>
            </w:pPr>
            <w:r>
              <w:rPr>
                <w:rFonts w:ascii="Courier New" w:cs="Courier New" w:eastAsia="Courier New" w:hAnsi="Courier New"/>
                <w:sz w:val="16"/>
                <w:szCs w:val="16"/>
                <w:color w:val="auto"/>
              </w:rPr>
              <w:t>by participating plans</w:t>
            </w:r>
          </w:p>
        </w:tc>
        <w:tc>
          <w:tcPr>
            <w:tcW w:w="1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(215,177)</w:t>
            </w:r>
          </w:p>
        </w:tc>
        <w:tc>
          <w:tcPr>
            <w:tcW w:w="1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(7,017,432)</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(4,604,548)</w:t>
            </w: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68"/>
        </w:trPr>
        <w:tc>
          <w:tcPr>
            <w:tcW w:w="3640" w:type="dxa"/>
            <w:vAlign w:val="bottom"/>
          </w:tcPr>
          <w:p>
            <w:pPr>
              <w:ind w:left="780"/>
              <w:spacing w:after="0" w:line="168" w:lineRule="exact"/>
              <w:rPr>
                <w:sz w:val="20"/>
                <w:szCs w:val="20"/>
                <w:color w:val="auto"/>
              </w:rPr>
            </w:pPr>
            <w:r>
              <w:rPr>
                <w:rFonts w:ascii="Courier New" w:cs="Courier New" w:eastAsia="Courier New" w:hAnsi="Courier New"/>
                <w:sz w:val="16"/>
                <w:szCs w:val="16"/>
                <w:color w:val="auto"/>
              </w:rPr>
              <w:t>Increase (decrease) in</w:t>
            </w:r>
          </w:p>
        </w:tc>
        <w:tc>
          <w:tcPr>
            <w:tcW w:w="1540" w:type="dxa"/>
            <w:vAlign w:val="bottom"/>
            <w:vMerge w:val="restart"/>
          </w:tcPr>
          <w:p>
            <w:pPr>
              <w:jc w:val="right"/>
              <w:ind w:right="158"/>
              <w:spacing w:after="0"/>
              <w:rPr>
                <w:sz w:val="20"/>
                <w:szCs w:val="20"/>
                <w:color w:val="auto"/>
              </w:rPr>
            </w:pPr>
            <w:r>
              <w:rPr>
                <w:rFonts w:ascii="Courier New" w:cs="Courier New" w:eastAsia="Courier New" w:hAnsi="Courier New"/>
                <w:sz w:val="16"/>
                <w:szCs w:val="16"/>
                <w:color w:val="auto"/>
              </w:rPr>
              <w:t>6,644,767</w:t>
            </w:r>
          </w:p>
        </w:tc>
        <w:tc>
          <w:tcPr>
            <w:tcW w:w="152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(5,675,617)</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(3,829,096)</w:t>
            </w:r>
          </w:p>
        </w:tc>
        <w:tc>
          <w:tcPr>
            <w:tcW w:w="0" w:type="dxa"/>
            <w:vAlign w:val="bottom"/>
          </w:tcPr>
          <w:p>
            <w:pPr>
              <w:spacing w:after="0"/>
              <w:rPr>
                <w:sz w:val="1"/>
                <w:szCs w:val="1"/>
                <w:color w:val="auto"/>
              </w:rPr>
            </w:pPr>
          </w:p>
        </w:tc>
      </w:tr>
      <w:tr>
        <w:trPr>
          <w:trHeight w:val="277"/>
        </w:trPr>
        <w:tc>
          <w:tcPr>
            <w:tcW w:w="3640" w:type="dxa"/>
            <w:vAlign w:val="bottom"/>
          </w:tcPr>
          <w:p>
            <w:pPr>
              <w:ind w:left="980"/>
              <w:spacing w:after="0"/>
              <w:rPr>
                <w:sz w:val="20"/>
                <w:szCs w:val="20"/>
                <w:color w:val="auto"/>
              </w:rPr>
            </w:pPr>
            <w:r>
              <w:rPr>
                <w:rFonts w:ascii="Courier New" w:cs="Courier New" w:eastAsia="Courier New" w:hAnsi="Courier New"/>
                <w:sz w:val="16"/>
                <w:szCs w:val="16"/>
                <w:color w:val="auto"/>
              </w:rPr>
              <w:t>net assets</w:t>
            </w:r>
          </w:p>
        </w:tc>
        <w:tc>
          <w:tcPr>
            <w:tcW w:w="1540" w:type="dxa"/>
            <w:vAlign w:val="bottom"/>
            <w:vMerge w:val="continue"/>
          </w:tcPr>
          <w:p>
            <w:pPr>
              <w:spacing w:after="0"/>
              <w:rPr>
                <w:sz w:val="24"/>
                <w:szCs w:val="24"/>
                <w:color w:val="auto"/>
              </w:rPr>
            </w:pPr>
          </w:p>
        </w:tc>
        <w:tc>
          <w:tcPr>
            <w:tcW w:w="15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640" w:type="dxa"/>
            <w:vAlign w:val="bottom"/>
          </w:tcPr>
          <w:p>
            <w:pPr>
              <w:spacing w:after="0"/>
              <w:rPr>
                <w:sz w:val="20"/>
                <w:szCs w:val="20"/>
                <w:color w:val="auto"/>
              </w:rPr>
            </w:pPr>
            <w:r>
              <w:rPr>
                <w:rFonts w:ascii="Courier New" w:cs="Courier New" w:eastAsia="Courier New" w:hAnsi="Courier New"/>
                <w:sz w:val="16"/>
                <w:szCs w:val="16"/>
                <w:color w:val="auto"/>
              </w:rPr>
              <w:t>Net assets available for benefits:</w:t>
            </w:r>
          </w:p>
        </w:tc>
        <w:tc>
          <w:tcPr>
            <w:tcW w:w="1540" w:type="dxa"/>
            <w:vAlign w:val="bottom"/>
            <w:vMerge w:val="restart"/>
          </w:tcPr>
          <w:p>
            <w:pPr>
              <w:jc w:val="right"/>
              <w:ind w:right="158"/>
              <w:spacing w:after="0"/>
              <w:rPr>
                <w:sz w:val="20"/>
                <w:szCs w:val="20"/>
                <w:color w:val="auto"/>
              </w:rPr>
            </w:pPr>
            <w:r>
              <w:rPr>
                <w:rFonts w:ascii="Courier New" w:cs="Courier New" w:eastAsia="Courier New" w:hAnsi="Courier New"/>
                <w:sz w:val="16"/>
                <w:szCs w:val="16"/>
                <w:color w:val="auto"/>
              </w:rPr>
              <w:t>71,924,340</w:t>
            </w:r>
          </w:p>
        </w:tc>
        <w:tc>
          <w:tcPr>
            <w:tcW w:w="152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5,675,617</w:t>
            </w:r>
          </w:p>
        </w:tc>
        <w:tc>
          <w:tcPr>
            <w:tcW w:w="128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3,829,096</w:t>
            </w:r>
          </w:p>
        </w:tc>
        <w:tc>
          <w:tcPr>
            <w:tcW w:w="0" w:type="dxa"/>
            <w:vAlign w:val="bottom"/>
          </w:tcPr>
          <w:p>
            <w:pPr>
              <w:spacing w:after="0"/>
              <w:rPr>
                <w:sz w:val="1"/>
                <w:szCs w:val="1"/>
                <w:color w:val="auto"/>
              </w:rPr>
            </w:pPr>
          </w:p>
        </w:tc>
      </w:tr>
      <w:tr>
        <w:trPr>
          <w:trHeight w:val="220"/>
        </w:trPr>
        <w:tc>
          <w:tcPr>
            <w:tcW w:w="3640" w:type="dxa"/>
            <w:vAlign w:val="bottom"/>
          </w:tcPr>
          <w:p>
            <w:pPr>
              <w:ind w:left="200"/>
              <w:spacing w:after="0"/>
              <w:rPr>
                <w:sz w:val="20"/>
                <w:szCs w:val="20"/>
                <w:color w:val="auto"/>
              </w:rPr>
            </w:pPr>
            <w:r>
              <w:rPr>
                <w:rFonts w:ascii="Courier New" w:cs="Courier New" w:eastAsia="Courier New" w:hAnsi="Courier New"/>
                <w:sz w:val="16"/>
                <w:szCs w:val="16"/>
                <w:color w:val="auto"/>
              </w:rPr>
              <w:t>Beginning of period</w:t>
            </w:r>
          </w:p>
        </w:tc>
        <w:tc>
          <w:tcPr>
            <w:tcW w:w="1540" w:type="dxa"/>
            <w:vAlign w:val="bottom"/>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68"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2360" w:type="dxa"/>
            <w:vAlign w:val="bottom"/>
          </w:tcPr>
          <w:p>
            <w:pPr>
              <w:spacing w:after="0"/>
              <w:rPr>
                <w:sz w:val="20"/>
                <w:szCs w:val="20"/>
                <w:color w:val="auto"/>
              </w:rPr>
            </w:pPr>
            <w:r>
              <w:rPr>
                <w:rFonts w:ascii="Courier New" w:cs="Courier New" w:eastAsia="Courier New" w:hAnsi="Courier New"/>
                <w:sz w:val="16"/>
                <w:szCs w:val="16"/>
                <w:color w:val="auto"/>
              </w:rPr>
              <w:t>End of period</w:t>
            </w:r>
          </w:p>
        </w:tc>
        <w:tc>
          <w:tcPr>
            <w:tcW w:w="306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  78,569,107</w:t>
            </w:r>
          </w:p>
        </w:tc>
        <w:tc>
          <w:tcPr>
            <w:tcW w:w="148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bl>
    <w:p>
      <w:pPr>
        <w:ind w:left="200" w:hanging="199"/>
        <w:spacing w:after="0"/>
        <w:tabs>
          <w:tab w:leader="none" w:pos="2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7"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(Continued)</w:t>
      </w:r>
    </w:p>
    <w:p>
      <w:pPr>
        <w:sectPr>
          <w:pgSz w:w="11900" w:h="16838" w:orient="portrait"/>
          <w:cols w:equalWidth="0" w:num="1">
            <w:col w:w="10219"/>
          </w:cols>
          <w:pgMar w:left="240" w:top="845" w:right="1440" w:bottom="1440" w:gutter="0" w:footer="0" w:header="0"/>
        </w:sectPr>
      </w:pPr>
    </w:p>
    <w:bookmarkStart w:id="13" w:name="page14"/>
    <w:bookmarkEnd w:id="13"/>
    <w:p>
      <w:pPr>
        <w:ind w:left="3940"/>
        <w:spacing w:after="0"/>
        <w:rPr>
          <w:sz w:val="20"/>
          <w:szCs w:val="20"/>
          <w:color w:val="auto"/>
        </w:rPr>
      </w:pPr>
      <w:r>
        <w:rPr>
          <w:rFonts w:ascii="Courier New" w:cs="Courier New" w:eastAsia="Courier New" w:hAnsi="Courier New"/>
          <w:sz w:val="16"/>
          <w:szCs w:val="16"/>
          <w:color w:val="auto"/>
        </w:rPr>
        <w:t>6</w:t>
      </w:r>
    </w:p>
    <w:p>
      <w:pPr>
        <w:spacing w:after="0" w:line="38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THE TORO COMPANY MATCHING STOCK PLAN</w:t>
      </w:r>
    </w:p>
    <w:p>
      <w:pPr>
        <w:spacing w:after="0" w:line="388" w:lineRule="exact"/>
        <w:rPr>
          <w:sz w:val="20"/>
          <w:szCs w:val="20"/>
          <w:color w:val="auto"/>
        </w:rPr>
      </w:pPr>
    </w:p>
    <w:p>
      <w:pPr>
        <w:ind w:left="980" w:right="2439" w:hanging="295"/>
        <w:spacing w:after="0" w:line="377" w:lineRule="auto"/>
        <w:rPr>
          <w:sz w:val="20"/>
          <w:szCs w:val="20"/>
          <w:color w:val="auto"/>
        </w:rPr>
      </w:pPr>
      <w:r>
        <w:rPr>
          <w:rFonts w:ascii="Courier New" w:cs="Courier New" w:eastAsia="Courier New" w:hAnsi="Courier New"/>
          <w:sz w:val="16"/>
          <w:szCs w:val="16"/>
          <w:color w:val="auto"/>
        </w:rPr>
        <w:t>The changes in net assets available for benefits of the master trust for the year ended July 31, 1994 were as follows:</w:t>
      </w:r>
    </w:p>
    <w:p>
      <w:pPr>
        <w:spacing w:after="0" w:line="379" w:lineRule="exact"/>
        <w:rPr>
          <w:sz w:val="20"/>
          <w:szCs w:val="20"/>
          <w:color w:val="auto"/>
        </w:rPr>
      </w:pPr>
    </w:p>
    <w:tbl>
      <w:tblPr>
        <w:tblLayout w:type="fixed"/>
        <w:tblInd w:w="4040" w:type="dxa"/>
        <w:tblCellMar>
          <w:top w:w="0" w:type="dxa"/>
          <w:left w:w="0" w:type="dxa"/>
          <w:bottom w:w="0" w:type="dxa"/>
          <w:right w:w="0" w:type="dxa"/>
        </w:tblCellMar>
      </w:tblPr>
      <w:tr>
        <w:trPr>
          <w:trHeight w:val="190"/>
        </w:trPr>
        <w:tc>
          <w:tcPr>
            <w:tcW w:w="1240" w:type="dxa"/>
            <w:vAlign w:val="bottom"/>
          </w:tcPr>
          <w:p>
            <w:pPr>
              <w:jc w:val="center"/>
              <w:ind w:right="158"/>
              <w:spacing w:after="0"/>
              <w:rPr>
                <w:sz w:val="20"/>
                <w:szCs w:val="20"/>
                <w:color w:val="auto"/>
              </w:rPr>
            </w:pPr>
            <w:r>
              <w:rPr>
                <w:rFonts w:ascii="Courier New" w:cs="Courier New" w:eastAsia="Courier New" w:hAnsi="Courier New"/>
                <w:sz w:val="16"/>
                <w:szCs w:val="16"/>
                <w:color w:val="auto"/>
              </w:rPr>
              <w:t>Toro</w:t>
            </w:r>
          </w:p>
        </w:tc>
        <w:tc>
          <w:tcPr>
            <w:tcW w:w="1420" w:type="dxa"/>
            <w:vAlign w:val="bottom"/>
          </w:tcPr>
          <w:p>
            <w:pPr>
              <w:jc w:val="center"/>
              <w:spacing w:after="0"/>
              <w:rPr>
                <w:sz w:val="20"/>
                <w:szCs w:val="20"/>
                <w:color w:val="auto"/>
              </w:rPr>
            </w:pPr>
            <w:r>
              <w:rPr>
                <w:rFonts w:ascii="Courier New" w:cs="Courier New" w:eastAsia="Courier New" w:hAnsi="Courier New"/>
                <w:sz w:val="16"/>
                <w:szCs w:val="16"/>
                <w:color w:val="auto"/>
              </w:rPr>
              <w:t>Toro</w:t>
            </w:r>
          </w:p>
        </w:tc>
        <w:tc>
          <w:tcPr>
            <w:tcW w:w="1180" w:type="dxa"/>
            <w:vAlign w:val="bottom"/>
          </w:tcPr>
          <w:p>
            <w:pPr>
              <w:jc w:val="center"/>
              <w:ind w:left="138"/>
              <w:spacing w:after="0"/>
              <w:rPr>
                <w:sz w:val="20"/>
                <w:szCs w:val="20"/>
                <w:color w:val="auto"/>
              </w:rPr>
            </w:pPr>
            <w:r>
              <w:rPr>
                <w:rFonts w:ascii="Courier New" w:cs="Courier New" w:eastAsia="Courier New" w:hAnsi="Courier New"/>
                <w:sz w:val="16"/>
                <w:szCs w:val="16"/>
                <w:color w:val="auto"/>
              </w:rPr>
              <w:t>Toro</w:t>
            </w:r>
          </w:p>
        </w:tc>
      </w:tr>
      <w:tr>
        <w:trPr>
          <w:trHeight w:val="190"/>
        </w:trPr>
        <w:tc>
          <w:tcPr>
            <w:tcW w:w="1240" w:type="dxa"/>
            <w:vAlign w:val="bottom"/>
          </w:tcPr>
          <w:p>
            <w:pPr>
              <w:jc w:val="center"/>
              <w:ind w:right="178"/>
              <w:spacing w:after="0"/>
              <w:rPr>
                <w:sz w:val="20"/>
                <w:szCs w:val="20"/>
                <w:color w:val="auto"/>
              </w:rPr>
            </w:pPr>
            <w:r>
              <w:rPr>
                <w:rFonts w:ascii="Courier New" w:cs="Courier New" w:eastAsia="Courier New" w:hAnsi="Courier New"/>
                <w:sz w:val="16"/>
                <w:szCs w:val="16"/>
                <w:color w:val="auto"/>
              </w:rPr>
              <w:t>Investment</w:t>
            </w:r>
          </w:p>
        </w:tc>
        <w:tc>
          <w:tcPr>
            <w:tcW w:w="1420" w:type="dxa"/>
            <w:vAlign w:val="bottom"/>
          </w:tcPr>
          <w:p>
            <w:pPr>
              <w:jc w:val="center"/>
              <w:spacing w:after="0"/>
              <w:rPr>
                <w:sz w:val="20"/>
                <w:szCs w:val="20"/>
                <w:color w:val="auto"/>
              </w:rPr>
            </w:pPr>
            <w:r>
              <w:rPr>
                <w:rFonts w:ascii="Courier New" w:cs="Courier New" w:eastAsia="Courier New" w:hAnsi="Courier New"/>
                <w:sz w:val="16"/>
                <w:szCs w:val="16"/>
                <w:color w:val="auto"/>
              </w:rPr>
              <w:t>Investment</w:t>
            </w:r>
          </w:p>
        </w:tc>
        <w:tc>
          <w:tcPr>
            <w:tcW w:w="1180" w:type="dxa"/>
            <w:vAlign w:val="bottom"/>
          </w:tcPr>
          <w:p>
            <w:pPr>
              <w:jc w:val="center"/>
              <w:ind w:left="118"/>
              <w:spacing w:after="0"/>
              <w:rPr>
                <w:sz w:val="20"/>
                <w:szCs w:val="20"/>
                <w:color w:val="auto"/>
              </w:rPr>
            </w:pPr>
            <w:r>
              <w:rPr>
                <w:rFonts w:ascii="Courier New" w:cs="Courier New" w:eastAsia="Courier New" w:hAnsi="Courier New"/>
                <w:sz w:val="16"/>
                <w:szCs w:val="16"/>
                <w:color w:val="auto"/>
              </w:rPr>
              <w:t>Investment</w:t>
            </w:r>
          </w:p>
        </w:tc>
      </w:tr>
      <w:tr>
        <w:trPr>
          <w:trHeight w:val="220"/>
        </w:trPr>
        <w:tc>
          <w:tcPr>
            <w:tcW w:w="1240" w:type="dxa"/>
            <w:vAlign w:val="bottom"/>
          </w:tcPr>
          <w:p>
            <w:pPr>
              <w:jc w:val="center"/>
              <w:ind w:right="158"/>
              <w:spacing w:after="0"/>
              <w:rPr>
                <w:sz w:val="20"/>
                <w:szCs w:val="20"/>
                <w:color w:val="auto"/>
              </w:rPr>
            </w:pPr>
            <w:r>
              <w:rPr>
                <w:rFonts w:ascii="Courier New" w:cs="Courier New" w:eastAsia="Courier New" w:hAnsi="Courier New"/>
                <w:sz w:val="16"/>
                <w:szCs w:val="16"/>
                <w:color w:val="auto"/>
              </w:rPr>
              <w:t>Fund A</w:t>
            </w:r>
          </w:p>
        </w:tc>
        <w:tc>
          <w:tcPr>
            <w:tcW w:w="1420" w:type="dxa"/>
            <w:vAlign w:val="bottom"/>
          </w:tcPr>
          <w:p>
            <w:pPr>
              <w:jc w:val="center"/>
              <w:spacing w:after="0"/>
              <w:rPr>
                <w:sz w:val="20"/>
                <w:szCs w:val="20"/>
                <w:color w:val="auto"/>
              </w:rPr>
            </w:pPr>
            <w:r>
              <w:rPr>
                <w:rFonts w:ascii="Courier New" w:cs="Courier New" w:eastAsia="Courier New" w:hAnsi="Courier New"/>
                <w:sz w:val="16"/>
                <w:szCs w:val="16"/>
                <w:color w:val="auto"/>
              </w:rPr>
              <w:t>Fund B</w:t>
            </w:r>
          </w:p>
        </w:tc>
        <w:tc>
          <w:tcPr>
            <w:tcW w:w="1180" w:type="dxa"/>
            <w:vAlign w:val="bottom"/>
          </w:tcPr>
          <w:p>
            <w:pPr>
              <w:jc w:val="center"/>
              <w:ind w:left="138"/>
              <w:spacing w:after="0"/>
              <w:rPr>
                <w:sz w:val="20"/>
                <w:szCs w:val="20"/>
                <w:color w:val="auto"/>
              </w:rPr>
            </w:pPr>
            <w:r>
              <w:rPr>
                <w:rFonts w:ascii="Courier New" w:cs="Courier New" w:eastAsia="Courier New" w:hAnsi="Courier New"/>
                <w:sz w:val="16"/>
                <w:szCs w:val="16"/>
                <w:color w:val="auto"/>
              </w:rPr>
              <w:t>Fund C</w:t>
            </w:r>
          </w:p>
        </w:tc>
      </w:tr>
    </w:tbl>
    <w:p>
      <w:pPr>
        <w:spacing w:after="0"/>
        <w:rPr>
          <w:sz w:val="20"/>
          <w:szCs w:val="20"/>
          <w:color w:val="auto"/>
        </w:rPr>
      </w:pPr>
      <w:r>
        <w:rPr>
          <w:rFonts w:ascii="Courier New" w:cs="Courier New" w:eastAsia="Courier New" w:hAnsi="Courier New"/>
          <w:sz w:val="16"/>
          <w:szCs w:val="16"/>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Investment</w:t>
            </w:r>
          </w:p>
        </w:tc>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income:</w:t>
            </w:r>
          </w:p>
        </w:tc>
        <w:tc>
          <w:tcPr>
            <w:tcW w:w="1880" w:type="dxa"/>
            <w:vAlign w:val="bottom"/>
          </w:tcPr>
          <w:p>
            <w:pPr>
              <w:spacing w:after="0"/>
              <w:rPr>
                <w:sz w:val="16"/>
                <w:szCs w:val="16"/>
                <w:color w:val="auto"/>
              </w:rPr>
            </w:pPr>
          </w:p>
        </w:tc>
        <w:tc>
          <w:tcPr>
            <w:tcW w:w="1680" w:type="dxa"/>
            <w:vAlign w:val="bottom"/>
            <w:vMerge w:val="restart"/>
          </w:tcPr>
          <w:p>
            <w:pPr>
              <w:jc w:val="right"/>
              <w:ind w:right="358"/>
              <w:spacing w:after="0"/>
              <w:rPr>
                <w:sz w:val="20"/>
                <w:szCs w:val="20"/>
                <w:color w:val="auto"/>
              </w:rPr>
            </w:pPr>
            <w:r>
              <w:rPr>
                <w:rFonts w:ascii="Courier New" w:cs="Courier New" w:eastAsia="Courier New" w:hAnsi="Courier New"/>
                <w:sz w:val="16"/>
                <w:szCs w:val="16"/>
                <w:color w:val="auto"/>
              </w:rPr>
              <w:t>$ 4,686,208</w:t>
            </w:r>
          </w:p>
        </w:tc>
        <w:tc>
          <w:tcPr>
            <w:tcW w:w="1420" w:type="dxa"/>
            <w:vAlign w:val="bottom"/>
            <w:vMerge w:val="restart"/>
          </w:tcPr>
          <w:p>
            <w:pPr>
              <w:jc w:val="right"/>
              <w:ind w:right="318"/>
              <w:spacing w:after="0"/>
              <w:rPr>
                <w:sz w:val="20"/>
                <w:szCs w:val="20"/>
                <w:color w:val="auto"/>
              </w:rPr>
            </w:pPr>
            <w:r>
              <w:rPr>
                <w:rFonts w:ascii="Courier New" w:cs="Courier New" w:eastAsia="Courier New" w:hAnsi="Courier New"/>
                <w:sz w:val="16"/>
                <w:szCs w:val="16"/>
                <w:color w:val="auto"/>
              </w:rPr>
              <w:t>928</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1,273</w:t>
            </w:r>
          </w:p>
        </w:tc>
        <w:tc>
          <w:tcPr>
            <w:tcW w:w="0" w:type="dxa"/>
            <w:vAlign w:val="bottom"/>
          </w:tcPr>
          <w:p>
            <w:pPr>
              <w:spacing w:after="0"/>
              <w:rPr>
                <w:sz w:val="1"/>
                <w:szCs w:val="1"/>
                <w:color w:val="auto"/>
              </w:rPr>
            </w:pPr>
          </w:p>
        </w:tc>
      </w:tr>
      <w:tr>
        <w:trPr>
          <w:trHeight w:val="190"/>
        </w:trPr>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Interest</w:t>
            </w:r>
          </w:p>
        </w:tc>
        <w:tc>
          <w:tcPr>
            <w:tcW w:w="26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and dividends</w:t>
            </w:r>
          </w:p>
        </w:tc>
        <w:tc>
          <w:tcPr>
            <w:tcW w:w="168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8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Net appreciation</w:t>
            </w:r>
          </w:p>
        </w:tc>
        <w:tc>
          <w:tcPr>
            <w:tcW w:w="1880" w:type="dxa"/>
            <w:vAlign w:val="bottom"/>
          </w:tcPr>
          <w:p>
            <w:pPr>
              <w:ind w:left="60"/>
              <w:spacing w:after="0"/>
              <w:rPr>
                <w:sz w:val="20"/>
                <w:szCs w:val="20"/>
                <w:color w:val="auto"/>
              </w:rPr>
            </w:pPr>
            <w:r>
              <w:rPr>
                <w:rFonts w:ascii="Courier New" w:cs="Courier New" w:eastAsia="Courier New" w:hAnsi="Courier New"/>
                <w:sz w:val="16"/>
                <w:szCs w:val="16"/>
                <w:color w:val="auto"/>
              </w:rPr>
              <w:t>(depreciation)</w:t>
            </w:r>
          </w:p>
        </w:tc>
        <w:tc>
          <w:tcPr>
            <w:tcW w:w="1680" w:type="dxa"/>
            <w:vAlign w:val="bottom"/>
            <w:vMerge w:val="restart"/>
          </w:tcPr>
          <w:p>
            <w:pPr>
              <w:jc w:val="right"/>
              <w:ind w:right="278"/>
              <w:spacing w:after="0"/>
              <w:rPr>
                <w:sz w:val="20"/>
                <w:szCs w:val="20"/>
                <w:color w:val="auto"/>
              </w:rPr>
            </w:pPr>
            <w:r>
              <w:rPr>
                <w:rFonts w:ascii="Courier New" w:cs="Courier New" w:eastAsia="Courier New" w:hAnsi="Courier New"/>
                <w:sz w:val="16"/>
                <w:szCs w:val="16"/>
                <w:color w:val="auto"/>
              </w:rPr>
              <w:t>(9,782)</w:t>
            </w:r>
          </w:p>
        </w:tc>
        <w:tc>
          <w:tcPr>
            <w:tcW w:w="1420" w:type="dxa"/>
            <w:vAlign w:val="bottom"/>
            <w:vMerge w:val="restart"/>
          </w:tcPr>
          <w:p>
            <w:pPr>
              <w:jc w:val="right"/>
              <w:ind w:right="318"/>
              <w:spacing w:after="0"/>
              <w:rPr>
                <w:sz w:val="20"/>
                <w:szCs w:val="20"/>
                <w:color w:val="auto"/>
              </w:rPr>
            </w:pPr>
            <w:r>
              <w:rPr>
                <w:rFonts w:ascii="Courier New" w:cs="Courier New" w:eastAsia="Courier New" w:hAnsi="Courier New"/>
                <w:sz w:val="16"/>
                <w:szCs w:val="16"/>
                <w:color w:val="auto"/>
              </w:rPr>
              <w:t>224,011</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198,125</w:t>
            </w:r>
          </w:p>
        </w:tc>
        <w:tc>
          <w:tcPr>
            <w:tcW w:w="0" w:type="dxa"/>
            <w:vAlign w:val="bottom"/>
          </w:tcPr>
          <w:p>
            <w:pPr>
              <w:spacing w:after="0"/>
              <w:rPr>
                <w:sz w:val="1"/>
                <w:szCs w:val="1"/>
                <w:color w:val="auto"/>
              </w:rPr>
            </w:pPr>
          </w:p>
        </w:tc>
      </w:tr>
      <w:tr>
        <w:trPr>
          <w:trHeight w:val="190"/>
        </w:trPr>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in</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fair</w:t>
            </w:r>
          </w:p>
        </w:tc>
        <w:tc>
          <w:tcPr>
            <w:tcW w:w="21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value of investments</w:t>
            </w:r>
          </w:p>
        </w:tc>
        <w:tc>
          <w:tcPr>
            <w:tcW w:w="168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Gain</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on sales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1880" w:type="dxa"/>
            <w:vAlign w:val="bottom"/>
          </w:tcPr>
          <w:p>
            <w:pPr>
              <w:ind w:left="60"/>
              <w:spacing w:after="0"/>
              <w:rPr>
                <w:sz w:val="20"/>
                <w:szCs w:val="20"/>
                <w:color w:val="auto"/>
              </w:rPr>
            </w:pPr>
            <w:r>
              <w:rPr>
                <w:rFonts w:ascii="Courier New" w:cs="Courier New" w:eastAsia="Courier New" w:hAnsi="Courier New"/>
                <w:sz w:val="16"/>
                <w:szCs w:val="16"/>
                <w:color w:val="auto"/>
              </w:rPr>
              <w:t>investments</w:t>
            </w:r>
          </w:p>
        </w:tc>
        <w:tc>
          <w:tcPr>
            <w:tcW w:w="16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158,380</w:t>
            </w:r>
          </w:p>
        </w:tc>
        <w:tc>
          <w:tcPr>
            <w:tcW w:w="142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47,336</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61,490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356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Total investment income</w:t>
            </w:r>
          </w:p>
        </w:tc>
        <w:tc>
          <w:tcPr>
            <w:tcW w:w="18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4,834,806</w:t>
            </w:r>
          </w:p>
        </w:tc>
        <w:tc>
          <w:tcPr>
            <w:tcW w:w="14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272,275</w:t>
            </w: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260,888</w:t>
            </w:r>
          </w:p>
        </w:tc>
      </w:tr>
      <w:tr>
        <w:trPr>
          <w:trHeight w:val="292"/>
        </w:trPr>
        <w:tc>
          <w:tcPr>
            <w:tcW w:w="356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Commissions, fees, and expenses</w:t>
            </w:r>
          </w:p>
        </w:tc>
        <w:tc>
          <w:tcPr>
            <w:tcW w:w="182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(43,382)</w:t>
            </w:r>
          </w:p>
        </w:tc>
        <w:tc>
          <w:tcPr>
            <w:tcW w:w="14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(7,940)</w:t>
            </w: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w w:val="98"/>
              </w:rPr>
              <w:t>(13,892)</w:t>
            </w:r>
          </w:p>
        </w:tc>
      </w:tr>
    </w:tbl>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Net</w:t>
            </w:r>
          </w:p>
        </w:tc>
        <w:tc>
          <w:tcPr>
            <w:tcW w:w="2500" w:type="dxa"/>
            <w:vAlign w:val="bottom"/>
          </w:tcPr>
          <w:p>
            <w:pPr>
              <w:ind w:left="40"/>
              <w:spacing w:after="0"/>
              <w:rPr>
                <w:sz w:val="20"/>
                <w:szCs w:val="20"/>
                <w:color w:val="auto"/>
              </w:rPr>
            </w:pPr>
            <w:r>
              <w:rPr>
                <w:rFonts w:ascii="Courier New" w:cs="Courier New" w:eastAsia="Courier New" w:hAnsi="Courier New"/>
                <w:sz w:val="16"/>
                <w:szCs w:val="16"/>
                <w:color w:val="auto"/>
              </w:rPr>
              <w:t>investment income</w:t>
            </w:r>
          </w:p>
        </w:tc>
        <w:tc>
          <w:tcPr>
            <w:tcW w:w="17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4,791,424</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264,335</w:t>
            </w:r>
          </w:p>
        </w:tc>
        <w:tc>
          <w:tcPr>
            <w:tcW w:w="12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246,996</w:t>
            </w:r>
          </w:p>
        </w:tc>
      </w:tr>
      <w:tr>
        <w:trPr>
          <w:trHeight w:val="262"/>
        </w:trPr>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Deposits by</w:t>
            </w:r>
          </w:p>
        </w:tc>
        <w:tc>
          <w:tcPr>
            <w:tcW w:w="2500" w:type="dxa"/>
            <w:vAlign w:val="bottom"/>
          </w:tcPr>
          <w:p>
            <w:pPr>
              <w:ind w:left="40"/>
              <w:spacing w:after="0"/>
              <w:rPr>
                <w:sz w:val="20"/>
                <w:szCs w:val="20"/>
                <w:color w:val="auto"/>
              </w:rPr>
            </w:pPr>
            <w:r>
              <w:rPr>
                <w:rFonts w:ascii="Courier New" w:cs="Courier New" w:eastAsia="Courier New" w:hAnsi="Courier New"/>
                <w:sz w:val="16"/>
                <w:szCs w:val="16"/>
                <w:color w:val="auto"/>
              </w:rPr>
              <w:t>participating plans</w:t>
            </w:r>
          </w:p>
        </w:tc>
        <w:tc>
          <w:tcPr>
            <w:tcW w:w="17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2,835,846</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643,651</w:t>
            </w:r>
          </w:p>
        </w:tc>
        <w:tc>
          <w:tcPr>
            <w:tcW w:w="12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769,205</w:t>
            </w:r>
          </w:p>
        </w:tc>
      </w:tr>
      <w:tr>
        <w:trPr>
          <w:trHeight w:val="220"/>
        </w:trPr>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Withdrawals</w:t>
            </w:r>
          </w:p>
        </w:tc>
        <w:tc>
          <w:tcPr>
            <w:tcW w:w="2500" w:type="dxa"/>
            <w:vAlign w:val="bottom"/>
          </w:tcPr>
          <w:p>
            <w:pPr>
              <w:ind w:left="40"/>
              <w:spacing w:after="0"/>
              <w:rPr>
                <w:sz w:val="20"/>
                <w:szCs w:val="20"/>
                <w:color w:val="auto"/>
              </w:rPr>
            </w:pPr>
            <w:r>
              <w:rPr>
                <w:rFonts w:ascii="Courier New" w:cs="Courier New" w:eastAsia="Courier New" w:hAnsi="Courier New"/>
                <w:sz w:val="16"/>
                <w:szCs w:val="16"/>
                <w:color w:val="auto"/>
              </w:rPr>
              <w:t>by participating plans</w:t>
            </w:r>
          </w:p>
        </w:tc>
        <w:tc>
          <w:tcPr>
            <w:tcW w:w="17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(1,744,320)</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(412,309)</w:t>
            </w:r>
          </w:p>
        </w:tc>
      </w:tr>
    </w:tbl>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3640" w:type="dxa"/>
            <w:vAlign w:val="bottom"/>
          </w:tcPr>
          <w:p>
            <w:pPr>
              <w:ind w:left="780"/>
              <w:spacing w:after="0"/>
              <w:rPr>
                <w:sz w:val="20"/>
                <w:szCs w:val="20"/>
                <w:color w:val="auto"/>
              </w:rPr>
            </w:pPr>
            <w:r>
              <w:rPr>
                <w:rFonts w:ascii="Courier New" w:cs="Courier New" w:eastAsia="Courier New" w:hAnsi="Courier New"/>
                <w:sz w:val="16"/>
                <w:szCs w:val="16"/>
                <w:color w:val="auto"/>
              </w:rPr>
              <w:t>Increase in net assets</w:t>
            </w:r>
          </w:p>
        </w:tc>
        <w:tc>
          <w:tcPr>
            <w:tcW w:w="15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5,882,950</w:t>
            </w: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907,986</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603,892</w:t>
            </w:r>
          </w:p>
        </w:tc>
        <w:tc>
          <w:tcPr>
            <w:tcW w:w="0" w:type="dxa"/>
            <w:vAlign w:val="bottom"/>
          </w:tcPr>
          <w:p>
            <w:pPr>
              <w:spacing w:after="0"/>
              <w:rPr>
                <w:sz w:val="1"/>
                <w:szCs w:val="1"/>
                <w:color w:val="auto"/>
              </w:rPr>
            </w:pPr>
          </w:p>
        </w:tc>
      </w:tr>
      <w:tr>
        <w:trPr>
          <w:trHeight w:val="262"/>
        </w:trPr>
        <w:tc>
          <w:tcPr>
            <w:tcW w:w="3640" w:type="dxa"/>
            <w:vAlign w:val="bottom"/>
          </w:tcPr>
          <w:p>
            <w:pPr>
              <w:spacing w:after="0"/>
              <w:rPr>
                <w:sz w:val="20"/>
                <w:szCs w:val="20"/>
                <w:color w:val="auto"/>
              </w:rPr>
            </w:pPr>
            <w:r>
              <w:rPr>
                <w:rFonts w:ascii="Courier New" w:cs="Courier New" w:eastAsia="Courier New" w:hAnsi="Courier New"/>
                <w:sz w:val="16"/>
                <w:szCs w:val="16"/>
                <w:color w:val="auto"/>
              </w:rPr>
              <w:t>Net assets available for benefits:</w:t>
            </w:r>
          </w:p>
        </w:tc>
        <w:tc>
          <w:tcPr>
            <w:tcW w:w="1580" w:type="dxa"/>
            <w:vAlign w:val="bottom"/>
            <w:vMerge w:val="restart"/>
          </w:tcPr>
          <w:p>
            <w:pPr>
              <w:jc w:val="right"/>
              <w:ind w:right="198"/>
              <w:spacing w:after="0"/>
              <w:rPr>
                <w:sz w:val="20"/>
                <w:szCs w:val="20"/>
                <w:color w:val="auto"/>
              </w:rPr>
            </w:pPr>
            <w:r>
              <w:rPr>
                <w:rFonts w:ascii="Courier New" w:cs="Courier New" w:eastAsia="Courier New" w:hAnsi="Courier New"/>
                <w:sz w:val="16"/>
                <w:szCs w:val="16"/>
                <w:color w:val="auto"/>
              </w:rPr>
              <w:t>66,041,390</w:t>
            </w:r>
          </w:p>
        </w:tc>
        <w:tc>
          <w:tcPr>
            <w:tcW w:w="148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4,767,631</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3,225,204</w:t>
            </w:r>
          </w:p>
        </w:tc>
        <w:tc>
          <w:tcPr>
            <w:tcW w:w="0" w:type="dxa"/>
            <w:vAlign w:val="bottom"/>
          </w:tcPr>
          <w:p>
            <w:pPr>
              <w:spacing w:after="0"/>
              <w:rPr>
                <w:sz w:val="1"/>
                <w:szCs w:val="1"/>
                <w:color w:val="auto"/>
              </w:rPr>
            </w:pPr>
          </w:p>
        </w:tc>
      </w:tr>
      <w:tr>
        <w:trPr>
          <w:trHeight w:val="220"/>
        </w:trPr>
        <w:tc>
          <w:tcPr>
            <w:tcW w:w="3640" w:type="dxa"/>
            <w:vAlign w:val="bottom"/>
          </w:tcPr>
          <w:p>
            <w:pPr>
              <w:ind w:left="200"/>
              <w:spacing w:after="0"/>
              <w:rPr>
                <w:sz w:val="20"/>
                <w:szCs w:val="20"/>
                <w:color w:val="auto"/>
              </w:rPr>
            </w:pPr>
            <w:r>
              <w:rPr>
                <w:rFonts w:ascii="Courier New" w:cs="Courier New" w:eastAsia="Courier New" w:hAnsi="Courier New"/>
                <w:sz w:val="16"/>
                <w:szCs w:val="16"/>
                <w:color w:val="auto"/>
              </w:rPr>
              <w:t>Beginning of period</w:t>
            </w:r>
          </w:p>
        </w:tc>
        <w:tc>
          <w:tcPr>
            <w:tcW w:w="1580" w:type="dxa"/>
            <w:vAlign w:val="bottom"/>
            <w:vMerge w:val="continue"/>
          </w:tcPr>
          <w:p>
            <w:pPr>
              <w:spacing w:after="0"/>
              <w:rPr>
                <w:sz w:val="19"/>
                <w:szCs w:val="19"/>
                <w:color w:val="auto"/>
              </w:rPr>
            </w:pPr>
          </w:p>
        </w:tc>
        <w:tc>
          <w:tcPr>
            <w:tcW w:w="14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68"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2460" w:type="dxa"/>
            <w:vAlign w:val="bottom"/>
          </w:tcPr>
          <w:p>
            <w:pPr>
              <w:spacing w:after="0"/>
              <w:rPr>
                <w:sz w:val="20"/>
                <w:szCs w:val="20"/>
                <w:color w:val="auto"/>
              </w:rPr>
            </w:pPr>
            <w:r>
              <w:rPr>
                <w:rFonts w:ascii="Courier New" w:cs="Courier New" w:eastAsia="Courier New" w:hAnsi="Courier New"/>
                <w:sz w:val="16"/>
                <w:szCs w:val="16"/>
                <w:color w:val="auto"/>
              </w:rPr>
              <w:t>End of period</w:t>
            </w:r>
          </w:p>
        </w:tc>
        <w:tc>
          <w:tcPr>
            <w:tcW w:w="25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$71,924,340</w:t>
            </w: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5,675,617</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3,829,096</w:t>
            </w:r>
          </w:p>
        </w:tc>
      </w:tr>
    </w:tbl>
    <w:p>
      <w:pPr>
        <w:ind w:left="200" w:hanging="199"/>
        <w:spacing w:after="0"/>
        <w:tabs>
          <w:tab w:leader="none" w:pos="2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8" w:lineRule="exact"/>
        <w:rPr>
          <w:sz w:val="20"/>
          <w:szCs w:val="20"/>
          <w:color w:val="auto"/>
        </w:rPr>
      </w:pPr>
    </w:p>
    <w:p>
      <w:pPr>
        <w:ind w:left="980" w:right="2519" w:hanging="295"/>
        <w:spacing w:after="0" w:line="293" w:lineRule="auto"/>
        <w:rPr>
          <w:sz w:val="20"/>
          <w:szCs w:val="20"/>
          <w:color w:val="auto"/>
        </w:rPr>
      </w:pPr>
      <w:r>
        <w:rPr>
          <w:rFonts w:ascii="Courier New" w:cs="Courier New" w:eastAsia="Courier New" w:hAnsi="Courier New"/>
          <w:sz w:val="16"/>
          <w:szCs w:val="16"/>
          <w:color w:val="auto"/>
        </w:rPr>
        <w:t>The Plan's proportionate share of net investment income from the master trust is based upon the percentage of the fair value of the Plan's investment in each Toro Investment Fund assets to the total Toro Investment Fund assets.</w:t>
      </w:r>
    </w:p>
    <w:p>
      <w:pPr>
        <w:spacing w:after="0" w:line="63" w:lineRule="exact"/>
        <w:rPr>
          <w:sz w:val="20"/>
          <w:szCs w:val="20"/>
          <w:color w:val="auto"/>
        </w:rPr>
      </w:pPr>
    </w:p>
    <w:p>
      <w:pPr>
        <w:ind w:left="980" w:right="2439" w:hanging="295"/>
        <w:spacing w:after="0" w:line="377" w:lineRule="auto"/>
        <w:rPr>
          <w:sz w:val="20"/>
          <w:szCs w:val="20"/>
          <w:color w:val="auto"/>
        </w:rPr>
      </w:pPr>
      <w:r>
        <w:rPr>
          <w:rFonts w:ascii="Courier New" w:cs="Courier New" w:eastAsia="Courier New" w:hAnsi="Courier New"/>
          <w:sz w:val="16"/>
          <w:szCs w:val="16"/>
          <w:color w:val="auto"/>
        </w:rPr>
        <w:t>The Plan's percentage interest in the net assets of the master trust are as follows:</w:t>
      </w:r>
    </w:p>
    <w:p>
      <w:pPr>
        <w:spacing w:after="0" w:line="379" w:lineRule="exact"/>
        <w:rPr>
          <w:sz w:val="20"/>
          <w:szCs w:val="20"/>
          <w:color w:val="auto"/>
        </w:rPr>
      </w:pPr>
    </w:p>
    <w:p>
      <w:pPr>
        <w:ind w:left="4640"/>
        <w:spacing w:after="0"/>
        <w:tabs>
          <w:tab w:leader="none" w:pos="6100" w:val="left"/>
        </w:tabs>
        <w:rPr>
          <w:sz w:val="20"/>
          <w:szCs w:val="20"/>
          <w:color w:val="auto"/>
        </w:rPr>
      </w:pPr>
      <w:r>
        <w:rPr>
          <w:rFonts w:ascii="Courier New" w:cs="Courier New" w:eastAsia="Courier New" w:hAnsi="Courier New"/>
          <w:sz w:val="16"/>
          <w:szCs w:val="16"/>
          <w:color w:val="auto"/>
        </w:rPr>
        <w:t>July 31, 1995</w:t>
        <w:tab/>
        <w:t>July 31, 1994</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gridSpan w:val="4"/>
          </w:tcPr>
          <w:p>
            <w:pPr>
              <w:spacing w:after="0"/>
              <w:rPr>
                <w:sz w:val="20"/>
                <w:szCs w:val="20"/>
                <w:color w:val="auto"/>
              </w:rPr>
            </w:pPr>
            <w:r>
              <w:rPr>
                <w:rFonts w:ascii="Courier New" w:cs="Courier New" w:eastAsia="Courier New" w:hAnsi="Courier New"/>
                <w:sz w:val="16"/>
                <w:szCs w:val="16"/>
                <w:color w:val="auto"/>
              </w:rPr>
              <w:t>Toro Stable Value Fund/Toro Investment Fund A</w:t>
            </w:r>
          </w:p>
        </w:tc>
        <w:tc>
          <w:tcPr>
            <w:tcW w:w="1280" w:type="dxa"/>
            <w:vAlign w:val="bottom"/>
          </w:tcPr>
          <w:p>
            <w:pPr>
              <w:ind w:left="280"/>
              <w:spacing w:after="0"/>
              <w:rPr>
                <w:sz w:val="20"/>
                <w:szCs w:val="20"/>
                <w:color w:val="auto"/>
              </w:rPr>
            </w:pPr>
            <w:r>
              <w:rPr>
                <w:rFonts w:ascii="Courier New" w:cs="Courier New" w:eastAsia="Courier New" w:hAnsi="Courier New"/>
                <w:sz w:val="16"/>
                <w:szCs w:val="16"/>
                <w:color w:val="auto"/>
              </w:rPr>
              <w:t>.200%</w:t>
            </w:r>
          </w:p>
        </w:tc>
        <w:tc>
          <w:tcPr>
            <w:tcW w:w="980" w:type="dxa"/>
            <w:vAlign w:val="bottom"/>
          </w:tcPr>
          <w:p>
            <w:pPr>
              <w:ind w:left="480"/>
              <w:spacing w:after="0"/>
              <w:rPr>
                <w:sz w:val="20"/>
                <w:szCs w:val="20"/>
                <w:color w:val="auto"/>
              </w:rPr>
            </w:pPr>
            <w:r>
              <w:rPr>
                <w:rFonts w:ascii="Courier New" w:cs="Courier New" w:eastAsia="Courier New" w:hAnsi="Courier New"/>
                <w:sz w:val="16"/>
                <w:szCs w:val="16"/>
                <w:color w:val="auto"/>
                <w:w w:val="99"/>
              </w:rPr>
              <w:t>.099%</w:t>
            </w:r>
          </w:p>
        </w:tc>
      </w:tr>
      <w:tr>
        <w:trPr>
          <w:trHeight w:val="190"/>
        </w:trPr>
        <w:tc>
          <w:tcPr>
            <w:tcW w:w="440" w:type="dxa"/>
            <w:vAlign w:val="bottom"/>
          </w:tcPr>
          <w:p>
            <w:pPr>
              <w:spacing w:after="0"/>
              <w:rPr>
                <w:sz w:val="20"/>
                <w:szCs w:val="20"/>
                <w:color w:val="auto"/>
              </w:rPr>
            </w:pPr>
            <w:r>
              <w:rPr>
                <w:rFonts w:ascii="Courier New" w:cs="Courier New" w:eastAsia="Courier New" w:hAnsi="Courier New"/>
                <w:sz w:val="16"/>
                <w:szCs w:val="16"/>
                <w:color w:val="auto"/>
              </w:rPr>
              <w:t>Toro</w:t>
            </w:r>
          </w:p>
        </w:tc>
        <w:tc>
          <w:tcPr>
            <w:tcW w:w="1080" w:type="dxa"/>
            <w:vAlign w:val="bottom"/>
          </w:tcPr>
          <w:p>
            <w:pPr>
              <w:ind w:left="60"/>
              <w:spacing w:after="0"/>
              <w:rPr>
                <w:sz w:val="20"/>
                <w:szCs w:val="20"/>
                <w:color w:val="auto"/>
              </w:rPr>
            </w:pPr>
            <w:r>
              <w:rPr>
                <w:rFonts w:ascii="Courier New" w:cs="Courier New" w:eastAsia="Courier New" w:hAnsi="Courier New"/>
                <w:sz w:val="16"/>
                <w:szCs w:val="16"/>
                <w:color w:val="auto"/>
              </w:rPr>
              <w:t>Investment</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Fund</w:t>
            </w:r>
          </w:p>
        </w:tc>
        <w:tc>
          <w:tcPr>
            <w:tcW w:w="272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1280" w:type="dxa"/>
            <w:vAlign w:val="bottom"/>
          </w:tcPr>
          <w:p>
            <w:pPr>
              <w:ind w:left="280"/>
              <w:spacing w:after="0"/>
              <w:rPr>
                <w:sz w:val="20"/>
                <w:szCs w:val="20"/>
                <w:color w:val="auto"/>
              </w:rPr>
            </w:pPr>
            <w:r>
              <w:rPr>
                <w:rFonts w:ascii="Courier New" w:cs="Courier New" w:eastAsia="Courier New" w:hAnsi="Courier New"/>
                <w:sz w:val="16"/>
                <w:szCs w:val="16"/>
                <w:color w:val="auto"/>
              </w:rPr>
              <w:t>.000</w:t>
            </w:r>
          </w:p>
        </w:tc>
        <w:tc>
          <w:tcPr>
            <w:tcW w:w="980" w:type="dxa"/>
            <w:vAlign w:val="bottom"/>
          </w:tcPr>
          <w:p>
            <w:pPr>
              <w:ind w:left="480"/>
              <w:spacing w:after="0"/>
              <w:rPr>
                <w:sz w:val="20"/>
                <w:szCs w:val="20"/>
                <w:color w:val="auto"/>
              </w:rPr>
            </w:pPr>
            <w:r>
              <w:rPr>
                <w:rFonts w:ascii="Courier New" w:cs="Courier New" w:eastAsia="Courier New" w:hAnsi="Courier New"/>
                <w:sz w:val="16"/>
                <w:szCs w:val="16"/>
                <w:color w:val="auto"/>
              </w:rPr>
              <w:t>.300</w:t>
            </w:r>
          </w:p>
        </w:tc>
      </w:tr>
      <w:tr>
        <w:trPr>
          <w:trHeight w:val="277"/>
        </w:trPr>
        <w:tc>
          <w:tcPr>
            <w:tcW w:w="440" w:type="dxa"/>
            <w:vAlign w:val="bottom"/>
          </w:tcPr>
          <w:p>
            <w:pPr>
              <w:spacing w:after="0"/>
              <w:rPr>
                <w:sz w:val="20"/>
                <w:szCs w:val="20"/>
                <w:color w:val="auto"/>
              </w:rPr>
            </w:pPr>
            <w:r>
              <w:rPr>
                <w:rFonts w:ascii="Courier New" w:cs="Courier New" w:eastAsia="Courier New" w:hAnsi="Courier New"/>
                <w:sz w:val="16"/>
                <w:szCs w:val="16"/>
                <w:color w:val="auto"/>
              </w:rPr>
              <w:t>Toro</w:t>
            </w:r>
          </w:p>
        </w:tc>
        <w:tc>
          <w:tcPr>
            <w:tcW w:w="1080" w:type="dxa"/>
            <w:vAlign w:val="bottom"/>
          </w:tcPr>
          <w:p>
            <w:pPr>
              <w:ind w:left="60"/>
              <w:spacing w:after="0"/>
              <w:rPr>
                <w:sz w:val="20"/>
                <w:szCs w:val="20"/>
                <w:color w:val="auto"/>
              </w:rPr>
            </w:pPr>
            <w:r>
              <w:rPr>
                <w:rFonts w:ascii="Courier New" w:cs="Courier New" w:eastAsia="Courier New" w:hAnsi="Courier New"/>
                <w:sz w:val="16"/>
                <w:szCs w:val="16"/>
                <w:color w:val="auto"/>
              </w:rPr>
              <w:t>Investment</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Fund</w:t>
            </w:r>
          </w:p>
        </w:tc>
        <w:tc>
          <w:tcPr>
            <w:tcW w:w="2720" w:type="dxa"/>
            <w:vAlign w:val="bottom"/>
          </w:tcPr>
          <w:p>
            <w:pPr>
              <w:ind w:left="60"/>
              <w:spacing w:after="0"/>
              <w:rPr>
                <w:sz w:val="20"/>
                <w:szCs w:val="20"/>
                <w:color w:val="auto"/>
              </w:rPr>
            </w:pPr>
            <w:r>
              <w:rPr>
                <w:rFonts w:ascii="Courier New" w:cs="Courier New" w:eastAsia="Courier New" w:hAnsi="Courier New"/>
                <w:sz w:val="16"/>
                <w:szCs w:val="16"/>
                <w:color w:val="auto"/>
              </w:rPr>
              <w:t>C</w:t>
            </w:r>
          </w:p>
        </w:tc>
        <w:tc>
          <w:tcPr>
            <w:tcW w:w="1280" w:type="dxa"/>
            <w:vAlign w:val="bottom"/>
          </w:tcPr>
          <w:p>
            <w:pPr>
              <w:ind w:left="280"/>
              <w:spacing w:after="0"/>
              <w:rPr>
                <w:sz w:val="20"/>
                <w:szCs w:val="20"/>
                <w:color w:val="auto"/>
              </w:rPr>
            </w:pPr>
            <w:r>
              <w:rPr>
                <w:rFonts w:ascii="Courier New" w:cs="Courier New" w:eastAsia="Courier New" w:hAnsi="Courier New"/>
                <w:sz w:val="16"/>
                <w:szCs w:val="16"/>
                <w:color w:val="auto"/>
              </w:rPr>
              <w:t>.000</w:t>
            </w:r>
          </w:p>
        </w:tc>
        <w:tc>
          <w:tcPr>
            <w:tcW w:w="980" w:type="dxa"/>
            <w:vAlign w:val="bottom"/>
          </w:tcPr>
          <w:p>
            <w:pPr>
              <w:ind w:left="480"/>
              <w:spacing w:after="0"/>
              <w:rPr>
                <w:sz w:val="20"/>
                <w:szCs w:val="20"/>
                <w:color w:val="auto"/>
              </w:rPr>
            </w:pPr>
            <w:r>
              <w:rPr>
                <w:rFonts w:ascii="Courier New" w:cs="Courier New" w:eastAsia="Courier New" w:hAnsi="Courier New"/>
                <w:sz w:val="16"/>
                <w:szCs w:val="16"/>
                <w:color w:val="auto"/>
              </w:rPr>
              <w:t>.000</w:t>
            </w:r>
          </w:p>
        </w:tc>
      </w:tr>
    </w:tbl>
    <w:p>
      <w:pPr>
        <w:spacing w:after="0" w:line="292" w:lineRule="exact"/>
        <w:rPr>
          <w:sz w:val="20"/>
          <w:szCs w:val="20"/>
          <w:color w:val="auto"/>
        </w:rPr>
      </w:pPr>
    </w:p>
    <w:p>
      <w:pPr>
        <w:ind w:left="980" w:right="2519" w:hanging="295"/>
        <w:spacing w:after="0" w:line="377" w:lineRule="auto"/>
        <w:rPr>
          <w:sz w:val="20"/>
          <w:szCs w:val="20"/>
          <w:color w:val="auto"/>
        </w:rPr>
      </w:pPr>
      <w:r>
        <w:rPr>
          <w:rFonts w:ascii="Courier New" w:cs="Courier New" w:eastAsia="Courier New" w:hAnsi="Courier New"/>
          <w:sz w:val="16"/>
          <w:szCs w:val="16"/>
          <w:color w:val="auto"/>
        </w:rPr>
        <w:t>The following investments represent 5% or more of the Plan's net assets available for plan benefits at July 31, 1995 and 1994:</w:t>
      </w:r>
    </w:p>
    <w:p>
      <w:pPr>
        <w:spacing w:after="0" w:line="379" w:lineRule="exact"/>
        <w:rPr>
          <w:sz w:val="20"/>
          <w:szCs w:val="20"/>
          <w:color w:val="auto"/>
        </w:rPr>
      </w:pPr>
    </w:p>
    <w:p>
      <w:pPr>
        <w:ind w:left="4140"/>
        <w:spacing w:after="0"/>
        <w:tabs>
          <w:tab w:leader="none" w:pos="5700" w:val="left"/>
        </w:tabs>
        <w:rPr>
          <w:sz w:val="20"/>
          <w:szCs w:val="20"/>
          <w:color w:val="auto"/>
        </w:rPr>
      </w:pPr>
      <w:r>
        <w:rPr>
          <w:rFonts w:ascii="Courier New" w:cs="Courier New" w:eastAsia="Courier New" w:hAnsi="Courier New"/>
          <w:sz w:val="16"/>
          <w:szCs w:val="16"/>
          <w:color w:val="auto"/>
        </w:rPr>
        <w:t>1995</w:t>
      </w:r>
      <w:r>
        <w:rPr>
          <w:sz w:val="20"/>
          <w:szCs w:val="20"/>
          <w:color w:val="auto"/>
        </w:rPr>
        <w:tab/>
      </w:r>
      <w:r>
        <w:rPr>
          <w:rFonts w:ascii="Courier New" w:cs="Courier New" w:eastAsia="Courier New" w:hAnsi="Courier New"/>
          <w:sz w:val="16"/>
          <w:szCs w:val="16"/>
          <w:color w:val="auto"/>
        </w:rPr>
        <w:t>1994</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3300" w:type="dxa"/>
            <w:vAlign w:val="bottom"/>
          </w:tcPr>
          <w:p>
            <w:pPr>
              <w:spacing w:after="0"/>
              <w:rPr>
                <w:sz w:val="20"/>
                <w:szCs w:val="20"/>
                <w:color w:val="auto"/>
              </w:rPr>
            </w:pPr>
            <w:r>
              <w:rPr>
                <w:rFonts w:ascii="Courier New" w:cs="Courier New" w:eastAsia="Courier New" w:hAnsi="Courier New"/>
                <w:sz w:val="16"/>
                <w:szCs w:val="16"/>
                <w:color w:val="auto"/>
              </w:rPr>
              <w:t>The Toro Company Common Stock</w:t>
            </w:r>
          </w:p>
        </w:tc>
        <w:tc>
          <w:tcPr>
            <w:tcW w:w="19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$ 12,375,908</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8,448,322</w:t>
            </w:r>
          </w:p>
        </w:tc>
      </w:tr>
    </w:tbl>
    <w:p>
      <w:pPr>
        <w:spacing w:after="0" w:line="292" w:lineRule="exact"/>
        <w:rPr>
          <w:sz w:val="20"/>
          <w:szCs w:val="20"/>
          <w:color w:val="auto"/>
        </w:rPr>
      </w:pPr>
    </w:p>
    <w:p>
      <w:pPr>
        <w:ind w:left="980" w:right="2439" w:hanging="295"/>
        <w:spacing w:after="0" w:line="377" w:lineRule="auto"/>
        <w:rPr>
          <w:sz w:val="20"/>
          <w:szCs w:val="20"/>
          <w:color w:val="auto"/>
        </w:rPr>
      </w:pPr>
      <w:r>
        <w:rPr>
          <w:rFonts w:ascii="Courier New" w:cs="Courier New" w:eastAsia="Courier New" w:hAnsi="Courier New"/>
          <w:sz w:val="16"/>
          <w:szCs w:val="16"/>
          <w:color w:val="auto"/>
        </w:rPr>
        <w:t>The data presented above have been derived from information certified as complete and accurate by the trustee.</w:t>
      </w:r>
    </w:p>
    <w:p>
      <w:pPr>
        <w:spacing w:after="0" w:line="379" w:lineRule="exact"/>
        <w:rPr>
          <w:sz w:val="20"/>
          <w:szCs w:val="20"/>
          <w:color w:val="auto"/>
        </w:rPr>
      </w:pPr>
    </w:p>
    <w:p>
      <w:pPr>
        <w:ind w:left="6700"/>
        <w:spacing w:after="0"/>
        <w:rPr>
          <w:sz w:val="20"/>
          <w:szCs w:val="20"/>
          <w:color w:val="auto"/>
        </w:rPr>
      </w:pPr>
      <w:r>
        <w:rPr>
          <w:rFonts w:ascii="Courier New" w:cs="Courier New" w:eastAsia="Courier New" w:hAnsi="Courier New"/>
          <w:sz w:val="16"/>
          <w:szCs w:val="16"/>
          <w:color w:val="auto"/>
        </w:rPr>
        <w:t>(Continued)</w:t>
      </w:r>
    </w:p>
    <w:p>
      <w:pPr>
        <w:sectPr>
          <w:pgSz w:w="11900" w:h="16838" w:orient="portrait"/>
          <w:cols w:equalWidth="0" w:num="1">
            <w:col w:w="10219"/>
          </w:cols>
          <w:pgMar w:left="240" w:top="845" w:right="1440" w:bottom="839" w:gutter="0" w:footer="0" w:header="0"/>
        </w:sectPr>
      </w:pPr>
    </w:p>
    <w:bookmarkStart w:id="14" w:name="page15"/>
    <w:bookmarkEnd w:id="14"/>
    <w:p>
      <w:pPr>
        <w:ind w:left="3940"/>
        <w:spacing w:after="0"/>
        <w:rPr>
          <w:sz w:val="20"/>
          <w:szCs w:val="20"/>
          <w:color w:val="auto"/>
        </w:rPr>
      </w:pPr>
      <w:r>
        <w:rPr>
          <w:rFonts w:ascii="Courier New" w:cs="Courier New" w:eastAsia="Courier New" w:hAnsi="Courier New"/>
          <w:sz w:val="16"/>
          <w:szCs w:val="16"/>
          <w:color w:val="auto"/>
        </w:rPr>
        <w:t>7</w:t>
      </w:r>
    </w:p>
    <w:p>
      <w:pPr>
        <w:spacing w:after="0" w:line="38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THE TORO COMPANY MATCHING STOCK PLAN</w:t>
      </w:r>
    </w:p>
    <w:p>
      <w:pPr>
        <w:spacing w:after="0" w:line="388" w:lineRule="exact"/>
        <w:rPr>
          <w:sz w:val="20"/>
          <w:szCs w:val="20"/>
          <w:color w:val="auto"/>
        </w:rPr>
      </w:pPr>
    </w:p>
    <w:p>
      <w:pPr>
        <w:ind w:left="500" w:hanging="499"/>
        <w:spacing w:after="0"/>
        <w:tabs>
          <w:tab w:leader="none" w:pos="5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FEDERAL INCOME TAXES</w:t>
      </w:r>
    </w:p>
    <w:p>
      <w:pPr>
        <w:spacing w:after="0" w:line="197" w:lineRule="exact"/>
        <w:rPr>
          <w:rFonts w:ascii="Courier New" w:cs="Courier New" w:eastAsia="Courier New" w:hAnsi="Courier New"/>
          <w:sz w:val="16"/>
          <w:szCs w:val="16"/>
          <w:color w:val="auto"/>
        </w:rPr>
      </w:pPr>
    </w:p>
    <w:p>
      <w:pPr>
        <w:ind w:left="980" w:right="2339" w:hanging="493"/>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administrator anticipates filing for a determination letter from the Internal Revenue Service stating that the Plan and all amendments to the Plan are qualified under Section 401(a) of the Internal Revenue Code and that the trust created under the Plan is exempt from federal income taxes under Section 501(a) of the Code. The plan administrator believes the Plan and all amendments to the Plan will qualify under the provisions of Sections 401(a) and 501(a) of the Code and be exempt from Federal income taxes.</w:t>
      </w:r>
    </w:p>
    <w:p>
      <w:pPr>
        <w:spacing w:after="0" w:line="81" w:lineRule="exact"/>
        <w:rPr>
          <w:rFonts w:ascii="Courier New" w:cs="Courier New" w:eastAsia="Courier New" w:hAnsi="Courier New"/>
          <w:sz w:val="16"/>
          <w:szCs w:val="16"/>
          <w:color w:val="auto"/>
        </w:rPr>
      </w:pPr>
    </w:p>
    <w:p>
      <w:pPr>
        <w:ind w:left="500" w:hanging="499"/>
        <w:spacing w:after="0"/>
        <w:tabs>
          <w:tab w:leader="none" w:pos="5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RECONCILIATION TO FORM 5500</w:t>
      </w:r>
    </w:p>
    <w:p>
      <w:pPr>
        <w:spacing w:after="0" w:line="197" w:lineRule="exact"/>
        <w:rPr>
          <w:rFonts w:ascii="Courier New" w:cs="Courier New" w:eastAsia="Courier New" w:hAnsi="Courier New"/>
          <w:sz w:val="16"/>
          <w:szCs w:val="16"/>
          <w:color w:val="auto"/>
        </w:rPr>
      </w:pPr>
    </w:p>
    <w:p>
      <w:pPr>
        <w:ind w:left="700" w:right="2619" w:hanging="197"/>
        <w:spacing w:after="0" w:line="37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accompanying financial statements for 1995 and 1994 differ from Form 5500, as filed with the Internal Revenue Service as follows:</w:t>
      </w:r>
    </w:p>
    <w:p>
      <w:pPr>
        <w:spacing w:after="0" w:line="379" w:lineRule="exact"/>
        <w:rPr>
          <w:sz w:val="20"/>
          <w:szCs w:val="20"/>
          <w:color w:val="auto"/>
        </w:rPr>
      </w:pPr>
    </w:p>
    <w:p>
      <w:pPr>
        <w:ind w:left="6220"/>
        <w:spacing w:after="0"/>
        <w:tabs>
          <w:tab w:leader="none" w:pos="7680" w:val="left"/>
        </w:tabs>
        <w:rPr>
          <w:sz w:val="20"/>
          <w:szCs w:val="20"/>
          <w:color w:val="auto"/>
        </w:rPr>
      </w:pPr>
      <w:r>
        <w:rPr>
          <w:rFonts w:ascii="Courier New" w:cs="Courier New" w:eastAsia="Courier New" w:hAnsi="Courier New"/>
          <w:sz w:val="16"/>
          <w:szCs w:val="16"/>
          <w:color w:val="auto"/>
        </w:rPr>
        <w:t>1995</w:t>
      </w:r>
      <w:r>
        <w:rPr>
          <w:sz w:val="20"/>
          <w:szCs w:val="20"/>
          <w:color w:val="auto"/>
        </w:rPr>
        <w:tab/>
      </w:r>
      <w:r>
        <w:rPr>
          <w:rFonts w:ascii="Courier New" w:cs="Courier New" w:eastAsia="Courier New" w:hAnsi="Courier New"/>
          <w:sz w:val="16"/>
          <w:szCs w:val="16"/>
          <w:color w:val="auto"/>
        </w:rPr>
        <w:t>1994</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20"/>
                <w:szCs w:val="20"/>
                <w:color w:val="auto"/>
              </w:rPr>
            </w:pPr>
            <w:r>
              <w:rPr>
                <w:rFonts w:ascii="Courier New" w:cs="Courier New" w:eastAsia="Courier New" w:hAnsi="Courier New"/>
                <w:sz w:val="16"/>
                <w:szCs w:val="16"/>
                <w:color w:val="auto"/>
              </w:rPr>
              <w:t>Net assets available for plan benefits per Form 5500</w:t>
            </w:r>
          </w:p>
        </w:tc>
        <w:tc>
          <w:tcPr>
            <w:tcW w:w="1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$ 12,965,850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8,892,838</w:t>
            </w:r>
          </w:p>
        </w:tc>
      </w:tr>
      <w:tr>
        <w:trPr>
          <w:trHeight w:val="220"/>
        </w:trPr>
        <w:tc>
          <w:tcPr>
            <w:tcW w:w="5420" w:type="dxa"/>
            <w:vAlign w:val="bottom"/>
          </w:tcPr>
          <w:p>
            <w:pPr>
              <w:spacing w:after="0"/>
              <w:rPr>
                <w:sz w:val="20"/>
                <w:szCs w:val="20"/>
                <w:color w:val="auto"/>
              </w:rPr>
            </w:pPr>
            <w:r>
              <w:rPr>
                <w:rFonts w:ascii="Courier New" w:cs="Courier New" w:eastAsia="Courier New" w:hAnsi="Courier New"/>
                <w:sz w:val="16"/>
                <w:szCs w:val="16"/>
                <w:color w:val="auto"/>
              </w:rPr>
              <w:t>Benefits payable</w:t>
            </w:r>
          </w:p>
        </w:tc>
        <w:tc>
          <w:tcPr>
            <w:tcW w:w="1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12,913</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bl>
    <w:p>
      <w:pPr>
        <w:spacing w:after="0"/>
        <w:rPr>
          <w:sz w:val="20"/>
          <w:szCs w:val="20"/>
          <w:color w:val="auto"/>
        </w:rPr>
      </w:pPr>
      <w:r>
        <w:rPr>
          <w:rFonts w:ascii="Courier New" w:cs="Courier New" w:eastAsia="Courier New" w:hAnsi="Courier New"/>
          <w:sz w:val="16"/>
          <w:szCs w:val="16"/>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Net assets available for</w:t>
            </w:r>
          </w:p>
        </w:tc>
        <w:tc>
          <w:tcPr>
            <w:tcW w:w="2520" w:type="dxa"/>
            <w:vAlign w:val="bottom"/>
          </w:tcPr>
          <w:p>
            <w:pPr>
              <w:ind w:left="40"/>
              <w:spacing w:after="0"/>
              <w:rPr>
                <w:sz w:val="20"/>
                <w:szCs w:val="20"/>
                <w:color w:val="auto"/>
              </w:rPr>
            </w:pPr>
            <w:r>
              <w:rPr>
                <w:rFonts w:ascii="Courier New" w:cs="Courier New" w:eastAsia="Courier New" w:hAnsi="Courier New"/>
                <w:sz w:val="16"/>
                <w:szCs w:val="16"/>
                <w:color w:val="auto"/>
              </w:rPr>
              <w:t>plan benefits per</w:t>
            </w:r>
          </w:p>
        </w:tc>
        <w:tc>
          <w:tcPr>
            <w:tcW w:w="226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$ 12,978,763</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8,892,838</w:t>
            </w:r>
          </w:p>
        </w:tc>
        <w:tc>
          <w:tcPr>
            <w:tcW w:w="0" w:type="dxa"/>
            <w:vAlign w:val="bottom"/>
          </w:tcPr>
          <w:p>
            <w:pPr>
              <w:spacing w:after="0"/>
              <w:rPr>
                <w:sz w:val="1"/>
                <w:szCs w:val="1"/>
                <w:color w:val="auto"/>
              </w:rPr>
            </w:pPr>
          </w:p>
        </w:tc>
      </w:tr>
      <w:tr>
        <w:trPr>
          <w:trHeight w:val="220"/>
        </w:trPr>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accompanying financial</w:t>
            </w:r>
          </w:p>
        </w:tc>
        <w:tc>
          <w:tcPr>
            <w:tcW w:w="2520" w:type="dxa"/>
            <w:vAlign w:val="bottom"/>
          </w:tcPr>
          <w:p>
            <w:pPr>
              <w:ind w:left="40"/>
              <w:spacing w:after="0"/>
              <w:rPr>
                <w:sz w:val="20"/>
                <w:szCs w:val="20"/>
                <w:color w:val="auto"/>
              </w:rPr>
            </w:pPr>
            <w:r>
              <w:rPr>
                <w:rFonts w:ascii="Courier New" w:cs="Courier New" w:eastAsia="Courier New" w:hAnsi="Courier New"/>
                <w:sz w:val="16"/>
                <w:szCs w:val="16"/>
                <w:color w:val="auto"/>
              </w:rPr>
              <w:t>statements</w:t>
            </w:r>
          </w:p>
        </w:tc>
        <w:tc>
          <w:tcPr>
            <w:tcW w:w="226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ind w:left="200" w:hanging="199"/>
        <w:spacing w:after="0"/>
        <w:tabs>
          <w:tab w:leader="none" w:pos="2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845" w:right="1440" w:bottom="1440" w:gutter="0" w:footer="0" w:header="0"/>
        </w:sectPr>
      </w:pPr>
    </w:p>
    <w:bookmarkStart w:id="15" w:name="page16"/>
    <w:bookmarkEnd w:id="15"/>
    <w:p>
      <w:pPr>
        <w:ind w:left="6600"/>
        <w:spacing w:after="0"/>
        <w:rPr>
          <w:sz w:val="20"/>
          <w:szCs w:val="20"/>
          <w:color w:val="auto"/>
        </w:rPr>
      </w:pPr>
      <w:r>
        <w:rPr>
          <w:rFonts w:ascii="Courier New" w:cs="Courier New" w:eastAsia="Courier New" w:hAnsi="Courier New"/>
          <w:sz w:val="16"/>
          <w:szCs w:val="16"/>
          <w:color w:val="auto"/>
        </w:rPr>
        <w:t>SCHEDULE 1</w:t>
      </w:r>
    </w:p>
    <w:p>
      <w:pPr>
        <w:spacing w:after="0" w:line="38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THE TORO COMPANY MATCHING STOCK PLAN</w:t>
      </w:r>
    </w:p>
    <w:p>
      <w:pPr>
        <w:spacing w:after="0" w:line="19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Item 27a--Schedule of Assets Held for Investment Purposes</w:t>
      </w:r>
    </w:p>
    <w:p>
      <w:pPr>
        <w:spacing w:after="0" w:line="19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July 31, 1995</w:t>
      </w:r>
    </w:p>
    <w:p>
      <w:pPr>
        <w:spacing w:after="0" w:line="200" w:lineRule="exact"/>
        <w:rPr>
          <w:sz w:val="20"/>
          <w:szCs w:val="20"/>
          <w:color w:val="auto"/>
        </w:rPr>
      </w:pPr>
    </w:p>
    <w:p>
      <w:pPr>
        <w:spacing w:after="0" w:line="377" w:lineRule="exact"/>
        <w:rPr>
          <w:sz w:val="20"/>
          <w:szCs w:val="20"/>
          <w:color w:val="auto"/>
        </w:rPr>
      </w:pPr>
    </w:p>
    <w:tbl>
      <w:tblPr>
        <w:tblLayout w:type="fixed"/>
        <w:tblInd w:w="600" w:type="dxa"/>
        <w:tblCellMar>
          <w:top w:w="0" w:type="dxa"/>
          <w:left w:w="0" w:type="dxa"/>
          <w:bottom w:w="0" w:type="dxa"/>
          <w:right w:w="0" w:type="dxa"/>
        </w:tblCellMar>
      </w:tblPr>
      <w:tr>
        <w:trPr>
          <w:trHeight w:val="190"/>
        </w:trPr>
        <w:tc>
          <w:tcPr>
            <w:tcW w:w="2120" w:type="dxa"/>
            <w:vAlign w:val="bottom"/>
            <w:vMerge w:val="restart"/>
          </w:tcPr>
          <w:p>
            <w:pPr>
              <w:spacing w:after="0"/>
              <w:rPr>
                <w:sz w:val="20"/>
                <w:szCs w:val="20"/>
                <w:color w:val="auto"/>
              </w:rPr>
            </w:pPr>
            <w:r>
              <w:rPr>
                <w:rFonts w:ascii="Courier New" w:cs="Courier New" w:eastAsia="Courier New" w:hAnsi="Courier New"/>
                <w:sz w:val="16"/>
                <w:szCs w:val="16"/>
                <w:color w:val="auto"/>
              </w:rPr>
              <w:t>Description</w:t>
            </w:r>
          </w:p>
        </w:tc>
        <w:tc>
          <w:tcPr>
            <w:tcW w:w="2400" w:type="dxa"/>
            <w:vAlign w:val="bottom"/>
          </w:tcPr>
          <w:p>
            <w:pPr>
              <w:ind w:left="1020"/>
              <w:spacing w:after="0"/>
              <w:rPr>
                <w:sz w:val="20"/>
                <w:szCs w:val="20"/>
                <w:color w:val="auto"/>
              </w:rPr>
            </w:pPr>
            <w:r>
              <w:rPr>
                <w:rFonts w:ascii="Courier New" w:cs="Courier New" w:eastAsia="Courier New" w:hAnsi="Courier New"/>
                <w:sz w:val="16"/>
                <w:szCs w:val="16"/>
                <w:color w:val="auto"/>
              </w:rPr>
              <w:t>Face amount</w:t>
            </w:r>
          </w:p>
        </w:tc>
        <w:tc>
          <w:tcPr>
            <w:tcW w:w="1200" w:type="dxa"/>
            <w:vAlign w:val="bottom"/>
            <w:vMerge w:val="restart"/>
          </w:tcPr>
          <w:p>
            <w:pPr>
              <w:ind w:left="300"/>
              <w:spacing w:after="0"/>
              <w:rPr>
                <w:sz w:val="20"/>
                <w:szCs w:val="20"/>
                <w:color w:val="auto"/>
              </w:rPr>
            </w:pPr>
            <w:r>
              <w:rPr>
                <w:rFonts w:ascii="Courier New" w:cs="Courier New" w:eastAsia="Courier New" w:hAnsi="Courier New"/>
                <w:sz w:val="16"/>
                <w:szCs w:val="16"/>
                <w:color w:val="auto"/>
              </w:rPr>
              <w:t>Cost</w:t>
            </w:r>
          </w:p>
        </w:tc>
        <w:tc>
          <w:tcPr>
            <w:tcW w:w="1080" w:type="dxa"/>
            <w:vAlign w:val="bottom"/>
          </w:tcPr>
          <w:p>
            <w:pPr>
              <w:ind w:left="480"/>
              <w:spacing w:after="0"/>
              <w:rPr>
                <w:sz w:val="20"/>
                <w:szCs w:val="20"/>
                <w:color w:val="auto"/>
              </w:rPr>
            </w:pPr>
            <w:r>
              <w:rPr>
                <w:rFonts w:ascii="Courier New" w:cs="Courier New" w:eastAsia="Courier New" w:hAnsi="Courier New"/>
                <w:sz w:val="16"/>
                <w:szCs w:val="16"/>
                <w:color w:val="auto"/>
              </w:rPr>
              <w:t>Market</w:t>
            </w:r>
          </w:p>
        </w:tc>
        <w:tc>
          <w:tcPr>
            <w:tcW w:w="0" w:type="dxa"/>
            <w:vAlign w:val="bottom"/>
          </w:tcPr>
          <w:p>
            <w:pPr>
              <w:spacing w:after="0"/>
              <w:rPr>
                <w:sz w:val="1"/>
                <w:szCs w:val="1"/>
                <w:color w:val="auto"/>
              </w:rPr>
            </w:pPr>
          </w:p>
        </w:tc>
      </w:tr>
      <w:tr>
        <w:trPr>
          <w:trHeight w:val="220"/>
        </w:trPr>
        <w:tc>
          <w:tcPr>
            <w:tcW w:w="2120" w:type="dxa"/>
            <w:vAlign w:val="bottom"/>
            <w:vMerge w:val="continue"/>
          </w:tcPr>
          <w:p>
            <w:pPr>
              <w:spacing w:after="0"/>
              <w:rPr>
                <w:sz w:val="19"/>
                <w:szCs w:val="19"/>
                <w:color w:val="auto"/>
              </w:rPr>
            </w:pPr>
          </w:p>
        </w:tc>
        <w:tc>
          <w:tcPr>
            <w:tcW w:w="2400" w:type="dxa"/>
            <w:vAlign w:val="bottom"/>
          </w:tcPr>
          <w:p>
            <w:pPr>
              <w:ind w:left="1020"/>
              <w:spacing w:after="0"/>
              <w:rPr>
                <w:sz w:val="20"/>
                <w:szCs w:val="20"/>
                <w:color w:val="auto"/>
              </w:rPr>
            </w:pPr>
            <w:r>
              <w:rPr>
                <w:rFonts w:ascii="Courier New" w:cs="Courier New" w:eastAsia="Courier New" w:hAnsi="Courier New"/>
                <w:sz w:val="16"/>
                <w:szCs w:val="16"/>
                <w:color w:val="auto"/>
              </w:rPr>
              <w:t>or shares</w:t>
            </w:r>
          </w:p>
        </w:tc>
        <w:tc>
          <w:tcPr>
            <w:tcW w:w="1200" w:type="dxa"/>
            <w:vAlign w:val="bottom"/>
            <w:vMerge w:val="continue"/>
          </w:tcPr>
          <w:p>
            <w:pPr>
              <w:spacing w:after="0"/>
              <w:rPr>
                <w:sz w:val="19"/>
                <w:szCs w:val="19"/>
                <w:color w:val="auto"/>
              </w:rPr>
            </w:pPr>
          </w:p>
        </w:tc>
        <w:tc>
          <w:tcPr>
            <w:tcW w:w="1080" w:type="dxa"/>
            <w:vAlign w:val="bottom"/>
          </w:tcPr>
          <w:p>
            <w:pPr>
              <w:ind w:left="480"/>
              <w:spacing w:after="0"/>
              <w:rPr>
                <w:sz w:val="20"/>
                <w:szCs w:val="20"/>
                <w:color w:val="auto"/>
              </w:rPr>
            </w:pPr>
            <w:r>
              <w:rPr>
                <w:rFonts w:ascii="Courier New" w:cs="Courier New" w:eastAsia="Courier New" w:hAnsi="Courier New"/>
                <w:sz w:val="16"/>
                <w:szCs w:val="16"/>
                <w:color w:val="auto"/>
              </w:rPr>
              <w:t>value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 w:type="dxa"/>
            <w:vAlign w:val="bottom"/>
          </w:tcPr>
          <w:p>
            <w:pPr>
              <w:spacing w:after="0"/>
              <w:rPr>
                <w:sz w:val="20"/>
                <w:szCs w:val="20"/>
                <w:color w:val="auto"/>
              </w:rPr>
            </w:pPr>
            <w:r>
              <w:rPr>
                <w:rFonts w:ascii="Courier New" w:cs="Courier New" w:eastAsia="Courier New" w:hAnsi="Courier New"/>
                <w:sz w:val="16"/>
                <w:szCs w:val="16"/>
                <w:color w:val="auto"/>
              </w:rPr>
              <w:t>Toro</w:t>
            </w:r>
          </w:p>
        </w:tc>
        <w:tc>
          <w:tcPr>
            <w:tcW w:w="2920" w:type="dxa"/>
            <w:vAlign w:val="bottom"/>
          </w:tcPr>
          <w:p>
            <w:pPr>
              <w:ind w:left="60"/>
              <w:spacing w:after="0"/>
              <w:rPr>
                <w:sz w:val="20"/>
                <w:szCs w:val="20"/>
                <w:color w:val="auto"/>
              </w:rPr>
            </w:pPr>
            <w:r>
              <w:rPr>
                <w:rFonts w:ascii="Courier New" w:cs="Courier New" w:eastAsia="Courier New" w:hAnsi="Courier New"/>
                <w:sz w:val="16"/>
                <w:szCs w:val="16"/>
                <w:color w:val="auto"/>
              </w:rPr>
              <w:t>Stable Value Fund</w:t>
            </w:r>
          </w:p>
        </w:tc>
        <w:tc>
          <w:tcPr>
            <w:tcW w:w="1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158,784</w:t>
            </w:r>
          </w:p>
        </w:tc>
        <w:tc>
          <w:tcPr>
            <w:tcW w:w="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158,784</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158,784</w:t>
            </w:r>
          </w:p>
        </w:tc>
      </w:tr>
      <w:tr>
        <w:trPr>
          <w:trHeight w:val="190"/>
        </w:trPr>
        <w:tc>
          <w:tcPr>
            <w:tcW w:w="3360" w:type="dxa"/>
            <w:vAlign w:val="bottom"/>
            <w:gridSpan w:val="2"/>
          </w:tcPr>
          <w:p>
            <w:pPr>
              <w:spacing w:after="0"/>
              <w:rPr>
                <w:sz w:val="20"/>
                <w:szCs w:val="20"/>
                <w:color w:val="auto"/>
              </w:rPr>
            </w:pPr>
            <w:r>
              <w:rPr>
                <w:rFonts w:ascii="Courier New" w:cs="Courier New" w:eastAsia="Courier New" w:hAnsi="Courier New"/>
                <w:sz w:val="16"/>
                <w:szCs w:val="16"/>
                <w:color w:val="auto"/>
              </w:rPr>
              <w:t>Putnam Growth &amp; Income Fund*</w:t>
            </w:r>
          </w:p>
        </w:tc>
        <w:tc>
          <w:tcPr>
            <w:tcW w:w="1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3,086</w:t>
            </w:r>
          </w:p>
        </w:tc>
        <w:tc>
          <w:tcPr>
            <w:tcW w:w="380" w:type="dxa"/>
            <w:vAlign w:val="bottom"/>
          </w:tcPr>
          <w:p>
            <w:pPr>
              <w:spacing w:after="0"/>
              <w:rPr>
                <w:sz w:val="16"/>
                <w:szCs w:val="16"/>
                <w:color w:val="auto"/>
              </w:rPr>
            </w:pPr>
          </w:p>
        </w:tc>
        <w:tc>
          <w:tcPr>
            <w:tcW w:w="12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43,983</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47,117</w:t>
            </w:r>
          </w:p>
        </w:tc>
      </w:tr>
      <w:tr>
        <w:trPr>
          <w:trHeight w:val="220"/>
        </w:trPr>
        <w:tc>
          <w:tcPr>
            <w:tcW w:w="440" w:type="dxa"/>
            <w:vAlign w:val="bottom"/>
          </w:tcPr>
          <w:p>
            <w:pPr>
              <w:spacing w:after="0"/>
              <w:rPr>
                <w:sz w:val="20"/>
                <w:szCs w:val="20"/>
                <w:color w:val="auto"/>
              </w:rPr>
            </w:pPr>
            <w:r>
              <w:rPr>
                <w:rFonts w:ascii="Courier New" w:cs="Courier New" w:eastAsia="Courier New" w:hAnsi="Courier New"/>
                <w:sz w:val="16"/>
                <w:szCs w:val="16"/>
                <w:color w:val="auto"/>
              </w:rPr>
              <w:t>Toro</w:t>
            </w:r>
          </w:p>
        </w:tc>
        <w:tc>
          <w:tcPr>
            <w:tcW w:w="2920" w:type="dxa"/>
            <w:vAlign w:val="bottom"/>
          </w:tcPr>
          <w:p>
            <w:pPr>
              <w:ind w:left="60"/>
              <w:spacing w:after="0"/>
              <w:rPr>
                <w:sz w:val="20"/>
                <w:szCs w:val="20"/>
                <w:color w:val="auto"/>
              </w:rPr>
            </w:pPr>
            <w:r>
              <w:rPr>
                <w:rFonts w:ascii="Courier New" w:cs="Courier New" w:eastAsia="Courier New" w:hAnsi="Courier New"/>
                <w:sz w:val="16"/>
                <w:szCs w:val="16"/>
                <w:color w:val="auto"/>
              </w:rPr>
              <w:t>Company Stock</w:t>
            </w:r>
          </w:p>
        </w:tc>
        <w:tc>
          <w:tcPr>
            <w:tcW w:w="1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432,346</w:t>
            </w:r>
          </w:p>
        </w:tc>
        <w:tc>
          <w:tcPr>
            <w:tcW w:w="380" w:type="dxa"/>
            <w:vAlign w:val="bottom"/>
          </w:tcPr>
          <w:p>
            <w:pPr>
              <w:spacing w:after="0"/>
              <w:rPr>
                <w:sz w:val="19"/>
                <w:szCs w:val="19"/>
                <w:color w:val="auto"/>
              </w:rPr>
            </w:pPr>
          </w:p>
        </w:tc>
        <w:tc>
          <w:tcPr>
            <w:tcW w:w="12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8,837,245</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12,375,908</w:t>
            </w:r>
          </w:p>
        </w:tc>
      </w:tr>
    </w:tbl>
    <w:p>
      <w:pPr>
        <w:spacing w:after="0"/>
        <w:rPr>
          <w:sz w:val="20"/>
          <w:szCs w:val="20"/>
          <w:color w:val="auto"/>
        </w:rPr>
      </w:pPr>
      <w:r>
        <w:rPr>
          <w:rFonts w:ascii="Courier New" w:cs="Courier New" w:eastAsia="Courier New" w:hAnsi="Courier New"/>
          <w:sz w:val="16"/>
          <w:szCs w:val="16"/>
          <w:color w:val="auto"/>
        </w:rPr>
        <w:t>- ------------------------------------------------------------------------------</w:t>
      </w:r>
    </w:p>
    <w:p>
      <w:pPr>
        <w:spacing w:after="0" w:line="168" w:lineRule="exact"/>
        <w:rPr>
          <w:sz w:val="20"/>
          <w:szCs w:val="20"/>
          <w:color w:val="auto"/>
        </w:rPr>
      </w:pPr>
    </w:p>
    <w:tbl>
      <w:tblPr>
        <w:tblLayout w:type="fixed"/>
        <w:tblInd w:w="400" w:type="dxa"/>
        <w:tblCellMar>
          <w:top w:w="0" w:type="dxa"/>
          <w:left w:w="0" w:type="dxa"/>
          <w:bottom w:w="0" w:type="dxa"/>
          <w:right w:w="0" w:type="dxa"/>
        </w:tblCellMar>
      </w:tblPr>
      <w:tr>
        <w:trPr>
          <w:trHeight w:val="220"/>
        </w:trPr>
        <w:tc>
          <w:tcPr>
            <w:tcW w:w="3160" w:type="dxa"/>
            <w:vAlign w:val="bottom"/>
          </w:tcPr>
          <w:p>
            <w:pPr>
              <w:spacing w:after="0"/>
              <w:rPr>
                <w:sz w:val="20"/>
                <w:szCs w:val="20"/>
                <w:color w:val="auto"/>
              </w:rPr>
            </w:pPr>
            <w:r>
              <w:rPr>
                <w:rFonts w:ascii="Courier New" w:cs="Courier New" w:eastAsia="Courier New" w:hAnsi="Courier New"/>
                <w:sz w:val="16"/>
                <w:szCs w:val="16"/>
                <w:color w:val="auto"/>
              </w:rPr>
              <w:t>Total investments</w:t>
            </w:r>
          </w:p>
        </w:tc>
        <w:tc>
          <w:tcPr>
            <w:tcW w:w="290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  9,040,012</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12,581,809</w:t>
            </w:r>
          </w:p>
        </w:tc>
      </w:tr>
    </w:tbl>
    <w:p>
      <w:pPr>
        <w:ind w:left="200" w:hanging="199"/>
        <w:spacing w:after="0"/>
        <w:tabs>
          <w:tab w:leader="none" w:pos="2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*Party-in-interest.</w:t>
      </w:r>
    </w:p>
    <w:p>
      <w:pPr>
        <w:spacing w:after="0" w:line="198" w:lineRule="exact"/>
        <w:rPr>
          <w:sz w:val="20"/>
          <w:szCs w:val="20"/>
          <w:color w:val="auto"/>
        </w:rPr>
      </w:pPr>
    </w:p>
    <w:p>
      <w:pPr>
        <w:ind w:left="700" w:right="2719" w:hanging="699"/>
        <w:spacing w:after="0" w:line="377" w:lineRule="auto"/>
        <w:tabs>
          <w:tab w:leader="none" w:pos="680" w:val="left"/>
        </w:tabs>
        <w:rPr>
          <w:sz w:val="20"/>
          <w:szCs w:val="20"/>
          <w:color w:val="auto"/>
        </w:rPr>
      </w:pPr>
      <w:r>
        <w:rPr>
          <w:rFonts w:ascii="Courier New" w:cs="Courier New" w:eastAsia="Courier New" w:hAnsi="Courier New"/>
          <w:sz w:val="16"/>
          <w:szCs w:val="16"/>
          <w:color w:val="auto"/>
        </w:rPr>
        <w:t>Note:</w:t>
        <w:tab/>
        <w:t>The data presented in this schedule has been derived from information certified as complete and accurate by the trustee.</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independent auditors' report.</w:t>
      </w:r>
    </w:p>
    <w:p>
      <w:pPr>
        <w:sectPr>
          <w:pgSz w:w="11900" w:h="16838" w:orient="portrait"/>
          <w:cols w:equalWidth="0" w:num="1">
            <w:col w:w="10219"/>
          </w:cols>
          <w:pgMar w:left="240" w:top="845" w:right="1440" w:bottom="1440" w:gutter="0" w:footer="0" w:header="0"/>
        </w:sectPr>
      </w:pPr>
    </w:p>
    <w:bookmarkStart w:id="16" w:name="page17"/>
    <w:bookmarkEnd w:id="16"/>
    <w:p>
      <w:pPr>
        <w:ind w:left="6900"/>
        <w:spacing w:after="0"/>
        <w:rPr>
          <w:sz w:val="20"/>
          <w:szCs w:val="20"/>
          <w:color w:val="auto"/>
        </w:rPr>
      </w:pPr>
      <w:r>
        <w:rPr>
          <w:rFonts w:ascii="Courier New" w:cs="Courier New" w:eastAsia="Courier New" w:hAnsi="Courier New"/>
          <w:sz w:val="16"/>
          <w:szCs w:val="16"/>
          <w:color w:val="auto"/>
        </w:rPr>
        <w:t>SCHEDULE 2</w:t>
      </w:r>
    </w:p>
    <w:p>
      <w:pPr>
        <w:spacing w:after="0" w:line="38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THE TORO COMPANY MATCHING STOCK PLAN</w:t>
      </w:r>
    </w:p>
    <w:p>
      <w:pPr>
        <w:spacing w:after="0" w:line="19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Item 27a--Schedule of Reportable Transactions</w:t>
      </w:r>
    </w:p>
    <w:p>
      <w:pPr>
        <w:spacing w:after="0" w:line="19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Year ended July 31,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3440" w:type="dxa"/>
            <w:vAlign w:val="bottom"/>
            <w:vMerge w:val="restart"/>
          </w:tcPr>
          <w:p>
            <w:pPr>
              <w:spacing w:after="0"/>
              <w:rPr>
                <w:sz w:val="20"/>
                <w:szCs w:val="20"/>
                <w:color w:val="auto"/>
              </w:rPr>
            </w:pPr>
            <w:r>
              <w:rPr>
                <w:rFonts w:ascii="Courier New" w:cs="Courier New" w:eastAsia="Courier New" w:hAnsi="Courier New"/>
                <w:sz w:val="16"/>
                <w:szCs w:val="16"/>
                <w:color w:val="auto"/>
              </w:rPr>
              <w:t>Description of assets</w:t>
            </w:r>
          </w:p>
        </w:tc>
        <w:tc>
          <w:tcPr>
            <w:tcW w:w="2220" w:type="dxa"/>
            <w:vAlign w:val="bottom"/>
            <w:vMerge w:val="restart"/>
          </w:tcPr>
          <w:p>
            <w:pPr>
              <w:ind w:left="1380"/>
              <w:spacing w:after="0"/>
              <w:rPr>
                <w:sz w:val="20"/>
                <w:szCs w:val="20"/>
                <w:color w:val="auto"/>
              </w:rPr>
            </w:pPr>
            <w:r>
              <w:rPr>
                <w:rFonts w:ascii="Courier New" w:cs="Courier New" w:eastAsia="Courier New" w:hAnsi="Courier New"/>
                <w:sz w:val="16"/>
                <w:szCs w:val="16"/>
                <w:color w:val="auto"/>
              </w:rPr>
              <w:t>Cost</w:t>
            </w:r>
          </w:p>
        </w:tc>
        <w:tc>
          <w:tcPr>
            <w:tcW w:w="13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Market</w:t>
            </w:r>
          </w:p>
        </w:tc>
        <w:tc>
          <w:tcPr>
            <w:tcW w:w="1140" w:type="dxa"/>
            <w:vAlign w:val="bottom"/>
          </w:tcPr>
          <w:p>
            <w:pPr>
              <w:jc w:val="center"/>
              <w:ind w:left="258"/>
              <w:spacing w:after="0"/>
              <w:rPr>
                <w:sz w:val="20"/>
                <w:szCs w:val="20"/>
                <w:color w:val="auto"/>
              </w:rPr>
            </w:pPr>
            <w:r>
              <w:rPr>
                <w:rFonts w:ascii="Courier New" w:cs="Courier New" w:eastAsia="Courier New" w:hAnsi="Courier New"/>
                <w:sz w:val="16"/>
                <w:szCs w:val="16"/>
                <w:color w:val="auto"/>
              </w:rPr>
              <w:t>Net gain</w:t>
            </w:r>
          </w:p>
        </w:tc>
        <w:tc>
          <w:tcPr>
            <w:tcW w:w="0" w:type="dxa"/>
            <w:vAlign w:val="bottom"/>
          </w:tcPr>
          <w:p>
            <w:pPr>
              <w:spacing w:after="0"/>
              <w:rPr>
                <w:sz w:val="1"/>
                <w:szCs w:val="1"/>
                <w:color w:val="auto"/>
              </w:rPr>
            </w:pPr>
          </w:p>
        </w:tc>
      </w:tr>
      <w:tr>
        <w:trPr>
          <w:trHeight w:val="220"/>
        </w:trPr>
        <w:tc>
          <w:tcPr>
            <w:tcW w:w="3440" w:type="dxa"/>
            <w:vAlign w:val="bottom"/>
            <w:vMerge w:val="continue"/>
          </w:tcPr>
          <w:p>
            <w:pPr>
              <w:spacing w:after="0"/>
              <w:rPr>
                <w:sz w:val="19"/>
                <w:szCs w:val="19"/>
                <w:color w:val="auto"/>
              </w:rPr>
            </w:pPr>
          </w:p>
        </w:tc>
        <w:tc>
          <w:tcPr>
            <w:tcW w:w="2220" w:type="dxa"/>
            <w:vAlign w:val="bottom"/>
            <w:vMerge w:val="continue"/>
          </w:tcPr>
          <w:p>
            <w:pPr>
              <w:spacing w:after="0"/>
              <w:rPr>
                <w:sz w:val="19"/>
                <w:szCs w:val="19"/>
                <w:color w:val="auto"/>
              </w:rPr>
            </w:pPr>
          </w:p>
        </w:tc>
        <w:tc>
          <w:tcPr>
            <w:tcW w:w="13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value</w:t>
            </w:r>
          </w:p>
        </w:tc>
        <w:tc>
          <w:tcPr>
            <w:tcW w:w="1140" w:type="dxa"/>
            <w:vAlign w:val="bottom"/>
          </w:tcPr>
          <w:p>
            <w:pPr>
              <w:jc w:val="center"/>
              <w:ind w:left="258"/>
              <w:spacing w:after="0"/>
              <w:rPr>
                <w:sz w:val="20"/>
                <w:szCs w:val="20"/>
                <w:color w:val="auto"/>
              </w:rPr>
            </w:pPr>
            <w:r>
              <w:rPr>
                <w:rFonts w:ascii="Courier New" w:cs="Courier New" w:eastAsia="Courier New" w:hAnsi="Courier New"/>
                <w:sz w:val="16"/>
                <w:szCs w:val="16"/>
                <w:color w:val="auto"/>
              </w:rPr>
              <w:t>(loss)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20"/>
                <w:szCs w:val="20"/>
                <w:color w:val="auto"/>
              </w:rPr>
            </w:pPr>
            <w:r>
              <w:rPr>
                <w:rFonts w:ascii="Courier New" w:cs="Courier New" w:eastAsia="Courier New" w:hAnsi="Courier New"/>
                <w:sz w:val="16"/>
                <w:szCs w:val="16"/>
                <w:color w:val="auto"/>
              </w:rPr>
              <w:t>Purchases:</w:t>
            </w:r>
          </w:p>
        </w:tc>
        <w:tc>
          <w:tcPr>
            <w:tcW w:w="1780" w:type="dxa"/>
            <w:vAlign w:val="bottom"/>
            <w:vMerge w:val="restart"/>
          </w:tcPr>
          <w:p>
            <w:pPr>
              <w:jc w:val="right"/>
              <w:ind w:right="158"/>
              <w:spacing w:after="0"/>
              <w:rPr>
                <w:sz w:val="20"/>
                <w:szCs w:val="20"/>
                <w:color w:val="auto"/>
              </w:rPr>
            </w:pPr>
            <w:r>
              <w:rPr>
                <w:rFonts w:ascii="Courier New" w:cs="Courier New" w:eastAsia="Courier New" w:hAnsi="Courier New"/>
                <w:sz w:val="16"/>
                <w:szCs w:val="16"/>
                <w:color w:val="auto"/>
              </w:rPr>
              <w:t>$  2,163,708</w:t>
            </w:r>
          </w:p>
        </w:tc>
        <w:tc>
          <w:tcPr>
            <w:tcW w:w="1520" w:type="dxa"/>
            <w:vAlign w:val="bottom"/>
            <w:vMerge w:val="restart"/>
          </w:tcPr>
          <w:p>
            <w:pPr>
              <w:jc w:val="right"/>
              <w:ind w:right="298"/>
              <w:spacing w:after="0"/>
              <w:rPr>
                <w:sz w:val="20"/>
                <w:szCs w:val="20"/>
                <w:color w:val="auto"/>
              </w:rPr>
            </w:pPr>
            <w:r>
              <w:rPr>
                <w:rFonts w:ascii="Courier New" w:cs="Courier New" w:eastAsia="Courier New" w:hAnsi="Courier New"/>
                <w:sz w:val="16"/>
                <w:szCs w:val="16"/>
                <w:color w:val="auto"/>
              </w:rPr>
              <w:t>2,163,708</w:t>
            </w:r>
          </w:p>
        </w:tc>
        <w:tc>
          <w:tcPr>
            <w:tcW w:w="5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90"/>
        </w:trPr>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First Common Short Term Investment Fund*</w:t>
            </w:r>
          </w:p>
        </w:tc>
        <w:tc>
          <w:tcPr>
            <w:tcW w:w="178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The Toro Company Common Stock</w:t>
            </w:r>
          </w:p>
        </w:tc>
        <w:tc>
          <w:tcPr>
            <w:tcW w:w="17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1,684,472</w:t>
            </w:r>
          </w:p>
        </w:tc>
        <w:tc>
          <w:tcPr>
            <w:tcW w:w="15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1,684,472</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292"/>
        </w:trPr>
        <w:tc>
          <w:tcPr>
            <w:tcW w:w="4480" w:type="dxa"/>
            <w:vAlign w:val="bottom"/>
          </w:tcPr>
          <w:p>
            <w:pPr>
              <w:spacing w:after="0"/>
              <w:rPr>
                <w:sz w:val="20"/>
                <w:szCs w:val="20"/>
                <w:color w:val="auto"/>
              </w:rPr>
            </w:pPr>
            <w:r>
              <w:rPr>
                <w:rFonts w:ascii="Courier New" w:cs="Courier New" w:eastAsia="Courier New" w:hAnsi="Courier New"/>
                <w:sz w:val="16"/>
                <w:szCs w:val="16"/>
                <w:color w:val="auto"/>
              </w:rPr>
              <w:t>Sales:</w:t>
            </w:r>
          </w:p>
        </w:tc>
        <w:tc>
          <w:tcPr>
            <w:tcW w:w="1780" w:type="dxa"/>
            <w:vAlign w:val="bottom"/>
            <w:vMerge w:val="restart"/>
          </w:tcPr>
          <w:p>
            <w:pPr>
              <w:jc w:val="right"/>
              <w:ind w:right="158"/>
              <w:spacing w:after="0"/>
              <w:rPr>
                <w:sz w:val="20"/>
                <w:szCs w:val="20"/>
                <w:color w:val="auto"/>
              </w:rPr>
            </w:pPr>
            <w:r>
              <w:rPr>
                <w:rFonts w:ascii="Courier New" w:cs="Courier New" w:eastAsia="Courier New" w:hAnsi="Courier New"/>
                <w:sz w:val="16"/>
                <w:szCs w:val="16"/>
                <w:color w:val="auto"/>
              </w:rPr>
              <w:t>2,175,765</w:t>
            </w:r>
          </w:p>
        </w:tc>
        <w:tc>
          <w:tcPr>
            <w:tcW w:w="1520" w:type="dxa"/>
            <w:vAlign w:val="bottom"/>
            <w:vMerge w:val="restart"/>
          </w:tcPr>
          <w:p>
            <w:pPr>
              <w:jc w:val="right"/>
              <w:ind w:right="298"/>
              <w:spacing w:after="0"/>
              <w:rPr>
                <w:sz w:val="20"/>
                <w:szCs w:val="20"/>
                <w:color w:val="auto"/>
              </w:rPr>
            </w:pPr>
            <w:r>
              <w:rPr>
                <w:rFonts w:ascii="Courier New" w:cs="Courier New" w:eastAsia="Courier New" w:hAnsi="Courier New"/>
                <w:sz w:val="16"/>
                <w:szCs w:val="16"/>
                <w:color w:val="auto"/>
              </w:rPr>
              <w:t>2,175,765</w:t>
            </w:r>
          </w:p>
        </w:tc>
        <w:tc>
          <w:tcPr>
            <w:tcW w:w="5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277"/>
        </w:trPr>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First Common Short Term Investment Fund*</w:t>
            </w:r>
          </w:p>
        </w:tc>
        <w:tc>
          <w:tcPr>
            <w:tcW w:w="1780" w:type="dxa"/>
            <w:vAlign w:val="bottom"/>
            <w:vMerge w:val="continue"/>
          </w:tcPr>
          <w:p>
            <w:pPr>
              <w:spacing w:after="0"/>
              <w:rPr>
                <w:sz w:val="24"/>
                <w:szCs w:val="24"/>
                <w:color w:val="auto"/>
              </w:rPr>
            </w:pPr>
          </w:p>
        </w:tc>
        <w:tc>
          <w:tcPr>
            <w:tcW w:w="1520" w:type="dxa"/>
            <w:vAlign w:val="bottom"/>
            <w:vMerge w:val="continue"/>
          </w:tcPr>
          <w:p>
            <w:pPr>
              <w:spacing w:after="0"/>
              <w:rPr>
                <w:sz w:val="24"/>
                <w:szCs w:val="24"/>
                <w:color w:val="auto"/>
              </w:rPr>
            </w:pPr>
          </w:p>
        </w:tc>
        <w:tc>
          <w:tcPr>
            <w:tcW w:w="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*Party-in-interest.</w:t>
      </w:r>
    </w:p>
    <w:p>
      <w:pPr>
        <w:spacing w:after="0" w:line="198" w:lineRule="exact"/>
        <w:rPr>
          <w:sz w:val="20"/>
          <w:szCs w:val="20"/>
          <w:color w:val="auto"/>
        </w:rPr>
      </w:pPr>
    </w:p>
    <w:p>
      <w:pPr>
        <w:ind w:left="700" w:right="2439" w:hanging="699"/>
        <w:spacing w:after="0" w:line="314" w:lineRule="auto"/>
        <w:tabs>
          <w:tab w:leader="none" w:pos="680" w:val="left"/>
        </w:tabs>
        <w:rPr>
          <w:sz w:val="20"/>
          <w:szCs w:val="20"/>
          <w:color w:val="auto"/>
        </w:rPr>
      </w:pPr>
      <w:r>
        <w:rPr>
          <w:rFonts w:ascii="Courier New" w:cs="Courier New" w:eastAsia="Courier New" w:hAnsi="Courier New"/>
          <w:sz w:val="16"/>
          <w:szCs w:val="16"/>
          <w:color w:val="auto"/>
        </w:rPr>
        <w:t>Note:</w:t>
        <w:tab/>
        <w:t>The data presented in this schedule has been derived from information certified as complete and accurate by the trustee. Information regarding number of purchases and sales is not available</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independent auditors' report.</w:t>
      </w:r>
    </w:p>
    <w:sectPr>
      <w:pgSz w:w="11900" w:h="16838" w:orient="portrait"/>
      <w:cols w:equalWidth="0" w:num="1">
        <w:col w:w="10219"/>
      </w:cols>
      <w:pgMar w:left="240" w:top="84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upperLetter"/>
      <w:start w:val="24"/>
    </w:lvl>
  </w:abstractNum>
  <w:abstractNum w:abstractNumId="1">
    <w:nsid w:val="DED7263"/>
    <w:multiLevelType w:val="hybridMultilevel"/>
    <w:lvl w:ilvl="0">
      <w:lvlJc w:val="left"/>
      <w:lvlText w:val="("/>
      <w:numFmt w:val="bullet"/>
      <w:start w:val="1"/>
    </w:lvl>
    <w:lvl w:ilvl="1">
      <w:lvlJc w:val="left"/>
      <w:lvlText w:val="%2."/>
      <w:numFmt w:val="upperLetter"/>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2"/>
    </w:lvl>
  </w:abstractNum>
  <w:abstractNum w:abstractNumId="15">
    <w:nsid w:val="628C895D"/>
    <w:multiLevelType w:val="hybridMultilevel"/>
    <w:lvl w:ilvl="0">
      <w:lvlJc w:val="left"/>
      <w:lvlText w:val="(%1)"/>
      <w:numFmt w:val="decimal"/>
      <w:start w:val="3"/>
    </w:lvl>
  </w:abstractNum>
  <w:abstractNum w:abstractNumId="16">
    <w:nsid w:val="333AB105"/>
    <w:multiLevelType w:val="hybridMultilevel"/>
    <w:lvl w:ilvl="0">
      <w:lvlJc w:val="left"/>
      <w:lvlText w:val="(%1)"/>
      <w:numFmt w:val="decimal"/>
      <w:start w:val="4"/>
    </w:lvl>
  </w:abstractNum>
  <w:abstractNum w:abstractNumId="17">
    <w:nsid w:val="721DA317"/>
    <w:multiLevelType w:val="hybridMultilevel"/>
    <w:lvl w:ilvl="0">
      <w:lvlJc w:val="left"/>
      <w:lvlText w:val="(%1)"/>
      <w:numFmt w:val="decimal"/>
      <w:start w:val="5"/>
    </w:lvl>
  </w:abstractNum>
  <w:abstractNum w:abstractNumId="18">
    <w:nsid w:val="2443A858"/>
    <w:multiLevelType w:val="hybridMultilevel"/>
    <w:lvl w:ilvl="0">
      <w:lvlJc w:val="left"/>
      <w:lvlText w:val="(%1)"/>
      <w:numFmt w:val="decimal"/>
      <w:start w:val="6"/>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7"/>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2019-12-13T13:42:56Z</dcterms:created>
  <dcterms:modified xsi:type="dcterms:W3CDTF">2019-12-13T13:42:56Z</dcterms:modified>
</cp:coreProperties>
</file>