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March 20,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41-0580470</w:t>
      </w:r>
    </w:p>
    <w:p>
      <w:pPr>
        <w:spacing w:after="0" w:line="55" w:lineRule="exact"/>
        <w:rPr>
          <w:sz w:val="24"/>
          <w:szCs w:val="24"/>
          <w:color w:val="auto"/>
        </w:rPr>
      </w:pPr>
    </w:p>
    <w:p>
      <w:pPr>
        <w:sectPr>
          <w:pgSz w:w="11900" w:h="16838" w:orient="portrait"/>
          <w:cols w:equalWidth="0" w:num="3">
            <w:col w:w="4880" w:space="720"/>
            <w:col w:w="2860" w:space="720"/>
            <w:col w:w="1840"/>
          </w:cols>
          <w:pgMar w:left="240" w:top="314" w:right="639" w:bottom="1440" w:gutter="0" w:footer="0" w:header="0"/>
          <w:type w:val="continuous"/>
        </w:sectPr>
      </w:pPr>
    </w:p>
    <w:p>
      <w:pPr>
        <w:ind w:left="126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200" w:lineRule="exact"/>
        <w:rPr>
          <w:sz w:val="24"/>
          <w:szCs w:val="24"/>
          <w:color w:val="auto"/>
        </w:rPr>
      </w:pPr>
    </w:p>
    <w:p>
      <w:pPr>
        <w:sectPr>
          <w:pgSz w:w="11900" w:h="16838" w:orient="portrait"/>
          <w:cols w:equalWidth="0" w:num="3">
            <w:col w:w="4340" w:space="720"/>
            <w:col w:w="2640" w:space="720"/>
            <w:col w:w="2600"/>
          </w:cols>
          <w:pgMar w:left="240" w:top="314" w:right="639" w:bottom="1440" w:gutter="0" w:footer="0" w:header="0"/>
          <w:type w:val="continuous"/>
        </w:sectPr>
      </w:pPr>
    </w:p>
    <w:p>
      <w:pPr>
        <w:spacing w:after="0" w:line="1"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8111 Lyndale Avenue South</w:t>
      </w:r>
    </w:p>
    <w:p>
      <w:pPr>
        <w:spacing w:after="0" w:line="56"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Bloomington, Minnesota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55420</w:t>
      </w:r>
    </w:p>
    <w:p>
      <w:pPr>
        <w:spacing w:after="0" w:line="55" w:lineRule="exact"/>
        <w:rPr>
          <w:sz w:val="24"/>
          <w:szCs w:val="24"/>
          <w:color w:val="auto"/>
        </w:rPr>
      </w:pPr>
    </w:p>
    <w:p>
      <w:pPr>
        <w:sectPr>
          <w:pgSz w:w="11900" w:h="16838" w:orient="portrait"/>
          <w:cols w:equalWidth="0" w:num="2">
            <w:col w:w="8720" w:space="720"/>
            <w:col w:w="1580"/>
          </w:cols>
          <w:pgMar w:left="240" w:top="314" w:right="639" w:bottom="1440" w:gutter="0" w:footer="0" w:header="0"/>
          <w:type w:val="continuous"/>
        </w:sectPr>
      </w:pPr>
    </w:p>
    <w:p>
      <w:pPr>
        <w:ind w:left="27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620" w:space="720"/>
            <w:col w:w="1680"/>
          </w:cols>
          <w:pgMar w:left="240" w:top="314" w:right="639" w:bottom="1440" w:gutter="0" w:footer="0" w:header="0"/>
          <w:type w:val="continuous"/>
        </w:sectPr>
      </w:pPr>
    </w:p>
    <w:p>
      <w:pPr>
        <w:jc w:val="center"/>
        <w:ind w:right="-419"/>
        <w:spacing w:after="0"/>
        <w:rPr>
          <w:sz w:val="20"/>
          <w:szCs w:val="20"/>
          <w:color w:val="auto"/>
        </w:rPr>
      </w:pPr>
      <w:r>
        <w:rPr>
          <w:rFonts w:ascii="Arial" w:cs="Arial" w:eastAsia="Arial" w:hAnsi="Arial"/>
          <w:sz w:val="15"/>
          <w:szCs w:val="15"/>
          <w:b w:val="1"/>
          <w:bCs w:val="1"/>
          <w:color w:val="auto"/>
        </w:rPr>
        <w:t>Registrant’s telephone number, including area code: (952) 888-8801</w:t>
      </w:r>
    </w:p>
    <w:p>
      <w:pPr>
        <w:spacing w:after="0" w:line="20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5—Corporate Governance and Management</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Toro Company (the “Company”) held its 2012 Annual Meeting of Shareholders on March 20, 2012. The final results of the shareholder vote on the business brought before the meeting were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Against/</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Broker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14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For</w:t>
            </w:r>
          </w:p>
        </w:tc>
        <w:tc>
          <w:tcPr>
            <w:tcW w:w="9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Withheld</w:t>
            </w:r>
          </w:p>
        </w:tc>
        <w:tc>
          <w:tcPr>
            <w:tcW w:w="9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Abstain</w:t>
            </w:r>
          </w:p>
        </w:tc>
        <w:tc>
          <w:tcPr>
            <w:tcW w:w="8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9"/>
              </w:rPr>
              <w:t>Non-Votes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2"/>
              </w:rPr>
              <w:t>Proposal One—Election of Directors to serve for a term of three years ending at the</w:t>
            </w:r>
          </w:p>
        </w:tc>
        <w:tc>
          <w:tcPr>
            <w:tcW w:w="8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Company’s 2015 Annual Meeting of Shareholders</w:t>
            </w: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Janet K. Cooper</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24,592,636</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555,822</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2,729,771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Gary L. Ellis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24,738,275</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410,183</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2,729,771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Gregg W. Steinhafel</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24,468,236</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680,222</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2,729,771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Proposal Two—Ratification of the selection of KPMG LLP as the Company’s</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7"/>
              </w:rPr>
              <w:t>independent registered public accounting firm for the Company’s fiscal year</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ending October 31, 2012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27,598,801</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236,173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43,255</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Proposal Three—Advisory vote on executive compensation</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23,777,340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775,232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595,886</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2,729,771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of the directors in Proposal One was elected by the Company’s shareholders by the required vote and each of Proposals Two and Three was approved by the Company’s shareholders by the required vote.</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Regarding the Company’s other directors, (i) each of Robert C. Buhrmaster, Robert H. Nassau and Christopher A. Twomey continue to serve as a director for a term ending at the Company’s 2013 Annual Meeting of Shareholders; and (ii) each of Jeffrey M. Ettinger, Katherine J. Harless and Michael J. Hoffman continue to serve as a director for a term ending at the Company’s 2014 Annual Meeting of Shareholders. As previously disclosed by the Company in Part II, Item 5 of its Quarterly Report on Form 10-Q for the quarterly period ended February 3, 2012, filed with the Commission on March 9, 2012, Inge G. Thulin resigned as a director effective following the meeting of the Board of Directors held on March 20, 2012.</w:t>
      </w:r>
    </w:p>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660" w:type="dxa"/>
            <w:vAlign w:val="bottom"/>
            <w:gridSpan w:val="2"/>
          </w:tcPr>
          <w:p>
            <w:pPr>
              <w:ind w:left="2380"/>
              <w:spacing w:after="0"/>
              <w:rPr>
                <w:sz w:val="20"/>
                <w:szCs w:val="20"/>
                <w:color w:val="auto"/>
              </w:rPr>
            </w:pPr>
            <w:r>
              <w:rPr>
                <w:rFonts w:ascii="Arial" w:cs="Arial" w:eastAsia="Arial" w:hAnsi="Arial"/>
                <w:sz w:val="18"/>
                <w:szCs w:val="18"/>
                <w:color w:val="auto"/>
              </w:rPr>
              <w:t>THE TORO COMPANY</w:t>
            </w:r>
          </w:p>
        </w:tc>
      </w:tr>
      <w:tr>
        <w:trPr>
          <w:trHeight w:val="222"/>
        </w:trPr>
        <w:tc>
          <w:tcPr>
            <w:tcW w:w="3760" w:type="dxa"/>
            <w:vAlign w:val="bottom"/>
          </w:tcPr>
          <w:p>
            <w:pPr>
              <w:spacing w:after="0"/>
              <w:rPr>
                <w:sz w:val="19"/>
                <w:szCs w:val="19"/>
                <w:color w:val="auto"/>
              </w:rPr>
            </w:pPr>
          </w:p>
        </w:tc>
        <w:tc>
          <w:tcPr>
            <w:tcW w:w="7660" w:type="dxa"/>
            <w:vAlign w:val="bottom"/>
            <w:gridSpan w:val="2"/>
          </w:tcPr>
          <w:p>
            <w:pPr>
              <w:ind w:left="2380"/>
              <w:spacing w:after="0"/>
              <w:rPr>
                <w:sz w:val="20"/>
                <w:szCs w:val="20"/>
                <w:color w:val="auto"/>
              </w:rPr>
            </w:pPr>
            <w:r>
              <w:rPr>
                <w:rFonts w:ascii="Arial" w:cs="Arial" w:eastAsia="Arial" w:hAnsi="Arial"/>
                <w:sz w:val="18"/>
                <w:szCs w:val="18"/>
                <w:color w:val="auto"/>
              </w:rPr>
              <w:t>(Registrant)</w:t>
            </w:r>
          </w:p>
        </w:tc>
      </w:tr>
      <w:tr>
        <w:trPr>
          <w:trHeight w:val="447"/>
        </w:trPr>
        <w:tc>
          <w:tcPr>
            <w:tcW w:w="3760" w:type="dxa"/>
            <w:vAlign w:val="bottom"/>
          </w:tcPr>
          <w:p>
            <w:pPr>
              <w:spacing w:after="0"/>
              <w:rPr>
                <w:sz w:val="20"/>
                <w:szCs w:val="20"/>
                <w:color w:val="auto"/>
              </w:rPr>
            </w:pPr>
            <w:r>
              <w:rPr>
                <w:rFonts w:ascii="Arial" w:cs="Arial" w:eastAsia="Arial" w:hAnsi="Arial"/>
                <w:sz w:val="18"/>
                <w:szCs w:val="18"/>
                <w:color w:val="auto"/>
              </w:rPr>
              <w:t>Date: March 21, 2012</w:t>
            </w:r>
          </w:p>
        </w:tc>
        <w:tc>
          <w:tcPr>
            <w:tcW w:w="7660" w:type="dxa"/>
            <w:vAlign w:val="bottom"/>
            <w:gridSpan w:val="2"/>
          </w:tcPr>
          <w:p>
            <w:pPr>
              <w:ind w:left="2200"/>
              <w:spacing w:after="0"/>
              <w:rPr>
                <w:sz w:val="20"/>
                <w:szCs w:val="20"/>
                <w:color w:val="auto"/>
              </w:rPr>
            </w:pPr>
            <w:r>
              <w:rPr>
                <w:rFonts w:ascii="Arial" w:cs="Arial" w:eastAsia="Arial" w:hAnsi="Arial"/>
                <w:sz w:val="18"/>
                <w:szCs w:val="18"/>
                <w:color w:val="auto"/>
              </w:rPr>
              <w:t>By  /s/ Timothy P. Dordell</w:t>
            </w:r>
          </w:p>
        </w:tc>
      </w:tr>
      <w:tr>
        <w:trPr>
          <w:trHeight w:val="20"/>
        </w:trPr>
        <w:tc>
          <w:tcPr>
            <w:tcW w:w="3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189"/>
        </w:trPr>
        <w:tc>
          <w:tcPr>
            <w:tcW w:w="3760" w:type="dxa"/>
            <w:vAlign w:val="bottom"/>
          </w:tcPr>
          <w:p>
            <w:pPr>
              <w:spacing w:after="0"/>
              <w:rPr>
                <w:sz w:val="16"/>
                <w:szCs w:val="16"/>
                <w:color w:val="auto"/>
              </w:rPr>
            </w:pPr>
          </w:p>
        </w:tc>
        <w:tc>
          <w:tcPr>
            <w:tcW w:w="7660" w:type="dxa"/>
            <w:vAlign w:val="bottom"/>
            <w:gridSpan w:val="2"/>
          </w:tcPr>
          <w:p>
            <w:pPr>
              <w:ind w:left="2200"/>
              <w:spacing w:after="0" w:line="189" w:lineRule="exact"/>
              <w:rPr>
                <w:sz w:val="20"/>
                <w:szCs w:val="20"/>
                <w:color w:val="auto"/>
              </w:rPr>
            </w:pPr>
            <w:r>
              <w:rPr>
                <w:rFonts w:ascii="Arial" w:cs="Arial" w:eastAsia="Arial" w:hAnsi="Arial"/>
                <w:sz w:val="18"/>
                <w:szCs w:val="18"/>
                <w:color w:val="auto"/>
              </w:rPr>
              <w:t>Timothy P. Dordell</w:t>
            </w:r>
          </w:p>
        </w:tc>
      </w:tr>
      <w:tr>
        <w:trPr>
          <w:trHeight w:val="222"/>
        </w:trPr>
        <w:tc>
          <w:tcPr>
            <w:tcW w:w="3760" w:type="dxa"/>
            <w:vAlign w:val="bottom"/>
          </w:tcPr>
          <w:p>
            <w:pPr>
              <w:spacing w:after="0"/>
              <w:rPr>
                <w:sz w:val="19"/>
                <w:szCs w:val="19"/>
                <w:color w:val="auto"/>
              </w:rPr>
            </w:pPr>
          </w:p>
        </w:tc>
        <w:tc>
          <w:tcPr>
            <w:tcW w:w="7660" w:type="dxa"/>
            <w:vAlign w:val="bottom"/>
            <w:gridSpan w:val="2"/>
          </w:tcPr>
          <w:p>
            <w:pPr>
              <w:ind w:left="2200"/>
              <w:spacing w:after="0"/>
              <w:rPr>
                <w:sz w:val="20"/>
                <w:szCs w:val="20"/>
                <w:color w:val="auto"/>
              </w:rPr>
            </w:pPr>
            <w:r>
              <w:rPr>
                <w:rFonts w:ascii="Arial" w:cs="Arial" w:eastAsia="Arial" w:hAnsi="Arial"/>
                <w:sz w:val="18"/>
                <w:szCs w:val="18"/>
                <w:color w:val="auto"/>
              </w:rPr>
              <w:t>Vice President, Secretary and General Counsel</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2019-12-09T09:10:29Z</dcterms:created>
  <dcterms:modified xsi:type="dcterms:W3CDTF">2019-12-09T09:10:29Z</dcterms:modified>
</cp:coreProperties>
</file>