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485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8525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12/11/2012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VP, Corporate Controller</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jc w:val="center"/>
              <w:ind w:left="44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62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91"/>
              </w:rPr>
              <w:t>12/11/2012</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6,000</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1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10,223.539</w:t>
            </w:r>
            <w:r>
              <w:rPr>
                <w:rFonts w:ascii="Arial" w:cs="Arial" w:eastAsia="Arial" w:hAnsi="Arial"/>
                <w:sz w:val="22"/>
                <w:szCs w:val="22"/>
                <w:color w:val="008000"/>
                <w:w w:val="89"/>
                <w:vertAlign w:val="superscript"/>
              </w:rPr>
              <w:t>(2)</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91"/>
              </w:rPr>
              <w:t>12/12/2012</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14.31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9,878.275</w:t>
            </w:r>
            <w:r>
              <w:rPr>
                <w:rFonts w:ascii="Arial" w:cs="Arial" w:eastAsia="Arial" w:hAnsi="Arial"/>
                <w:sz w:val="22"/>
                <w:szCs w:val="22"/>
                <w:color w:val="008000"/>
                <w:w w:val="89"/>
                <w:vertAlign w:val="superscript"/>
              </w:rPr>
              <w:t>(3)</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91"/>
              </w:rPr>
              <w:t>12/12/2012</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42.689</w:t>
            </w:r>
            <w:r>
              <w:rPr>
                <w:rFonts w:ascii="Arial" w:cs="Arial" w:eastAsia="Arial" w:hAnsi="Arial"/>
                <w:sz w:val="22"/>
                <w:szCs w:val="22"/>
                <w:color w:val="008000"/>
                <w:w w:val="88"/>
                <w:vertAlign w:val="superscript"/>
              </w:rPr>
              <w:t>(4)</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4,078.275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620" w:type="dxa"/>
            <w:vAlign w:val="bottom"/>
            <w:gridSpan w:val="2"/>
          </w:tcPr>
          <w:p>
            <w:pPr>
              <w:jc w:val="center"/>
              <w:ind w:left="448"/>
              <w:spacing w:after="0"/>
              <w:rPr>
                <w:sz w:val="20"/>
                <w:szCs w:val="20"/>
                <w:color w:val="auto"/>
              </w:rPr>
            </w:pPr>
            <w:r>
              <w:rPr>
                <w:rFonts w:ascii="Arial" w:cs="Arial" w:eastAsia="Arial" w:hAnsi="Arial"/>
                <w:sz w:val="17"/>
                <w:szCs w:val="17"/>
                <w:color w:val="0000FF"/>
                <w:w w:val="91"/>
              </w:rPr>
              <w:t>12/12/2012</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S</w:t>
            </w:r>
          </w:p>
        </w:tc>
        <w:tc>
          <w:tcPr>
            <w:tcW w:w="800" w:type="dxa"/>
            <w:vAlign w:val="bottom"/>
          </w:tcPr>
          <w:p>
            <w:pPr>
              <w:ind w:left="160"/>
              <w:spacing w:after="0"/>
              <w:rPr>
                <w:sz w:val="20"/>
                <w:szCs w:val="20"/>
                <w:color w:val="auto"/>
              </w:rPr>
            </w:pPr>
            <w:r>
              <w:rPr>
                <w:rFonts w:ascii="Arial" w:cs="Arial" w:eastAsia="Arial" w:hAnsi="Arial"/>
                <w:sz w:val="17"/>
                <w:szCs w:val="17"/>
                <w:color w:val="0000FF"/>
              </w:rPr>
              <w:t>7,500</w:t>
            </w:r>
          </w:p>
        </w:tc>
        <w:tc>
          <w:tcPr>
            <w:tcW w:w="500" w:type="dxa"/>
            <w:vAlign w:val="bottom"/>
          </w:tcPr>
          <w:p>
            <w:pPr>
              <w:ind w:left="140"/>
              <w:spacing w:after="0"/>
              <w:rPr>
                <w:sz w:val="20"/>
                <w:szCs w:val="20"/>
                <w:color w:val="auto"/>
              </w:rPr>
            </w:pPr>
            <w:r>
              <w:rPr>
                <w:rFonts w:ascii="Arial" w:cs="Arial" w:eastAsia="Arial" w:hAnsi="Arial"/>
                <w:sz w:val="17"/>
                <w:szCs w:val="17"/>
                <w:color w:val="0000FF"/>
              </w:rPr>
              <w:t>D</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42.571</w:t>
            </w:r>
            <w:r>
              <w:rPr>
                <w:rFonts w:ascii="Arial" w:cs="Arial" w:eastAsia="Arial" w:hAnsi="Arial"/>
                <w:sz w:val="22"/>
                <w:szCs w:val="22"/>
                <w:color w:val="008000"/>
                <w:w w:val="88"/>
                <w:vertAlign w:val="superscript"/>
              </w:rPr>
              <w:t>(5)</w:t>
            </w:r>
          </w:p>
        </w:tc>
        <w:tc>
          <w:tcPr>
            <w:tcW w:w="1260" w:type="dxa"/>
            <w:vAlign w:val="bottom"/>
            <w:gridSpan w:val="2"/>
          </w:tcPr>
          <w:p>
            <w:pPr>
              <w:jc w:val="center"/>
              <w:ind w:right="19"/>
              <w:spacing w:after="0" w:line="213" w:lineRule="exact"/>
              <w:rPr>
                <w:sz w:val="20"/>
                <w:szCs w:val="20"/>
                <w:color w:val="auto"/>
              </w:rPr>
            </w:pPr>
            <w:r>
              <w:rPr>
                <w:rFonts w:ascii="Arial" w:cs="Arial" w:eastAsia="Arial" w:hAnsi="Arial"/>
                <w:sz w:val="17"/>
                <w:szCs w:val="17"/>
                <w:color w:val="0000FF"/>
                <w:w w:val="87"/>
              </w:rPr>
              <w:t>2,911.692</w:t>
            </w:r>
            <w:r>
              <w:rPr>
                <w:rFonts w:ascii="Arial" w:cs="Arial" w:eastAsia="Arial" w:hAnsi="Arial"/>
                <w:sz w:val="22"/>
                <w:szCs w:val="22"/>
                <w:color w:val="008000"/>
                <w:w w:val="87"/>
                <w:vertAlign w:val="superscript"/>
              </w:rPr>
              <w:t>(6)</w:t>
            </w:r>
          </w:p>
        </w:tc>
        <w:tc>
          <w:tcPr>
            <w:tcW w:w="300" w:type="dxa"/>
            <w:vAlign w:val="bottom"/>
          </w:tcPr>
          <w:p>
            <w:pPr>
              <w:spacing w:after="0"/>
              <w:rPr>
                <w:sz w:val="18"/>
                <w:szCs w:val="18"/>
                <w:color w:val="auto"/>
              </w:rPr>
            </w:pPr>
          </w:p>
        </w:tc>
        <w:tc>
          <w:tcPr>
            <w:tcW w:w="580" w:type="dxa"/>
            <w:vAlign w:val="bottom"/>
          </w:tcPr>
          <w:p>
            <w:pPr>
              <w:jc w:val="center"/>
              <w:ind w:right="310"/>
              <w:spacing w:after="0"/>
              <w:rPr>
                <w:sz w:val="20"/>
                <w:szCs w:val="20"/>
                <w:color w:val="auto"/>
              </w:rPr>
            </w:pPr>
            <w:r>
              <w:rPr>
                <w:rFonts w:ascii="Arial" w:cs="Arial" w:eastAsia="Arial" w:hAnsi="Arial"/>
                <w:sz w:val="17"/>
                <w:szCs w:val="17"/>
                <w:color w:val="0000FF"/>
                <w:w w:val="83"/>
              </w:rPr>
              <w:t>I</w:t>
            </w: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5. Number of</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8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12/11/2012</w:t>
            </w:r>
          </w:p>
        </w:tc>
        <w:tc>
          <w:tcPr>
            <w:tcW w:w="1160" w:type="dxa"/>
            <w:vAlign w:val="bottom"/>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7"/>
                <w:szCs w:val="17"/>
                <w:color w:val="auto"/>
              </w:rPr>
            </w:pPr>
          </w:p>
        </w:tc>
        <w:tc>
          <w:tcPr>
            <w:tcW w:w="400" w:type="dxa"/>
            <w:vAlign w:val="bottom"/>
          </w:tcPr>
          <w:p>
            <w:pPr>
              <w:ind w:left="40"/>
              <w:spacing w:after="0"/>
              <w:rPr>
                <w:sz w:val="20"/>
                <w:szCs w:val="20"/>
                <w:color w:val="auto"/>
              </w:rPr>
            </w:pPr>
            <w:r>
              <w:rPr>
                <w:rFonts w:ascii="Arial" w:cs="Arial" w:eastAsia="Arial" w:hAnsi="Arial"/>
                <w:sz w:val="13"/>
                <w:szCs w:val="13"/>
                <w:color w:val="0000FF"/>
              </w:rPr>
              <w:t>5,700</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ind w:right="198"/>
              <w:spacing w:after="0"/>
              <w:rPr>
                <w:sz w:val="20"/>
                <w:szCs w:val="20"/>
                <w:color w:val="auto"/>
              </w:rPr>
            </w:pPr>
            <w:r>
              <w:rPr>
                <w:rFonts w:ascii="Arial" w:cs="Arial" w:eastAsia="Arial" w:hAnsi="Arial"/>
                <w:sz w:val="11"/>
                <w:szCs w:val="11"/>
                <w:color w:val="008000"/>
              </w:rPr>
              <w:t>(7)</w:t>
            </w:r>
          </w:p>
        </w:tc>
        <w:tc>
          <w:tcPr>
            <w:tcW w:w="800" w:type="dxa"/>
            <w:vAlign w:val="bottom"/>
          </w:tcPr>
          <w:p>
            <w:pPr>
              <w:ind w:left="160"/>
              <w:spacing w:after="0"/>
              <w:rPr>
                <w:sz w:val="20"/>
                <w:szCs w:val="20"/>
                <w:color w:val="auto"/>
              </w:rPr>
            </w:pPr>
            <w:r>
              <w:rPr>
                <w:rFonts w:ascii="Arial" w:cs="Arial" w:eastAsia="Arial" w:hAnsi="Arial"/>
                <w:sz w:val="13"/>
                <w:szCs w:val="13"/>
                <w:color w:val="0000FF"/>
                <w:w w:val="95"/>
              </w:rPr>
              <w:t>12/11/2022</w:t>
            </w: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5,700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3"/>
                <w:szCs w:val="13"/>
                <w:color w:val="0000FF"/>
              </w:rPr>
              <w:t>5,700</w:t>
            </w:r>
          </w:p>
        </w:tc>
        <w:tc>
          <w:tcPr>
            <w:tcW w:w="580" w:type="dxa"/>
            <w:vAlign w:val="bottom"/>
          </w:tcPr>
          <w:p>
            <w:pPr>
              <w:ind w:left="44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tcPr>
          <w:p>
            <w:pPr>
              <w:ind w:left="60"/>
              <w:spacing w:after="0" w:line="96"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ind w:left="200"/>
              <w:spacing w:after="0" w:line="96"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12/12/2012</w:t>
            </w:r>
          </w:p>
        </w:tc>
        <w:tc>
          <w:tcPr>
            <w:tcW w:w="116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0000FF"/>
                <w:w w:val="85"/>
              </w:rPr>
              <w:t>5,800</w:t>
            </w:r>
          </w:p>
        </w:tc>
        <w:tc>
          <w:tcPr>
            <w:tcW w:w="800" w:type="dxa"/>
            <w:vAlign w:val="bottom"/>
          </w:tcPr>
          <w:p>
            <w:pPr>
              <w:jc w:val="right"/>
              <w:spacing w:after="0"/>
              <w:rPr>
                <w:sz w:val="20"/>
                <w:szCs w:val="20"/>
                <w:color w:val="auto"/>
              </w:rPr>
            </w:pPr>
            <w:r>
              <w:rPr>
                <w:rFonts w:ascii="Arial" w:cs="Arial" w:eastAsia="Arial" w:hAnsi="Arial"/>
                <w:sz w:val="13"/>
                <w:szCs w:val="13"/>
                <w:color w:val="0000FF"/>
              </w:rPr>
              <w:t>12/03/2009</w:t>
            </w:r>
          </w:p>
        </w:tc>
        <w:tc>
          <w:tcPr>
            <w:tcW w:w="800" w:type="dxa"/>
            <w:vAlign w:val="bottom"/>
          </w:tcPr>
          <w:p>
            <w:pPr>
              <w:ind w:left="160"/>
              <w:spacing w:after="0"/>
              <w:rPr>
                <w:sz w:val="20"/>
                <w:szCs w:val="20"/>
                <w:color w:val="auto"/>
              </w:rPr>
            </w:pPr>
            <w:r>
              <w:rPr>
                <w:rFonts w:ascii="Arial" w:cs="Arial" w:eastAsia="Arial" w:hAnsi="Arial"/>
                <w:sz w:val="13"/>
                <w:szCs w:val="13"/>
                <w:color w:val="0000FF"/>
                <w:w w:val="95"/>
              </w:rPr>
              <w:t>12/03/2018</w:t>
            </w: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5,800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3"/>
                <w:szCs w:val="13"/>
                <w:color w:val="0000FF"/>
              </w:rPr>
              <w:t>5,800</w:t>
            </w:r>
          </w:p>
        </w:tc>
        <w:tc>
          <w:tcPr>
            <w:tcW w:w="580" w:type="dxa"/>
            <w:vAlign w:val="bottom"/>
          </w:tcPr>
          <w:p>
            <w:pPr>
              <w:ind w:left="44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ind w:left="60"/>
              <w:spacing w:after="0" w:line="108"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ind w:left="200"/>
              <w:spacing w:after="0" w:line="108" w:lineRule="exact"/>
              <w:rPr>
                <w:sz w:val="20"/>
                <w:szCs w:val="20"/>
                <w:color w:val="auto"/>
              </w:rPr>
            </w:pPr>
            <w:r>
              <w:rPr>
                <w:rFonts w:ascii="Arial" w:cs="Arial" w:eastAsia="Arial" w:hAnsi="Arial"/>
                <w:sz w:val="12"/>
                <w:szCs w:val="12"/>
                <w:color w:val="0000FF"/>
                <w:w w:val="93"/>
              </w:rPr>
              <w:t>Stock</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84"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2010 to Fiscal 2012 Performance Period under The Toro Company Performance Share Plan, as approved by the registrant's Compensation &amp; Human Resources Committee of its Board of Directors on December 11, 2012.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4"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11.585 performance share units acquired by the reporting person under the dividend reinvestment feature of the Deferred Plan since the date of his last report.</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11.203 shares of common stock acquired by the reporting person since the date of his last report under The Toro Company Dividend Reinvestment Plan (the "DRIP") on 4,067.072 shares of restricted stock and related DRIP shares. The restricted stock and all related DRIP shares vest in full on the third anniversary of the date of grant, which was March 30, 2011.</w:t>
      </w:r>
    </w:p>
    <w:p>
      <w:pPr>
        <w:spacing w:after="0" w:line="10" w:lineRule="exact"/>
        <w:rPr>
          <w:rFonts w:ascii="Arial" w:cs="Arial" w:eastAsia="Arial" w:hAnsi="Arial"/>
          <w:sz w:val="13"/>
          <w:szCs w:val="13"/>
          <w:color w:val="008000"/>
        </w:rPr>
      </w:pPr>
    </w:p>
    <w:p>
      <w:pPr>
        <w:ind w:left="40" w:right="34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$42.68 to $42.735,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3" w:lineRule="exact"/>
        <w:rPr>
          <w:rFonts w:ascii="Arial" w:cs="Arial" w:eastAsia="Arial" w:hAnsi="Arial"/>
          <w:sz w:val="13"/>
          <w:szCs w:val="13"/>
          <w:color w:val="008000"/>
        </w:rPr>
      </w:pPr>
    </w:p>
    <w:p>
      <w:pPr>
        <w:ind w:left="40" w:right="34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$42.43 to $42.75,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28.57 shares of common stock acquired by the reporting person under the dividend reinvestment feature of The Toro Company Investment, Savings &amp; ESOP since the date of his last report.</w:t>
      </w:r>
    </w:p>
    <w:p>
      <w:pPr>
        <w:spacing w:after="0" w:line="62"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12/13/2012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4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2019-12-17T01:30:19Z</dcterms:created>
  <dcterms:modified xsi:type="dcterms:W3CDTF">2019-12-17T01:30:19Z</dcterms:modified>
</cp:coreProperties>
</file>