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supplementing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April 23, 2007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333-142282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23, 2007</w:t>
      </w:r>
    </w:p>
    <w:p>
      <w:pPr>
        <w:spacing w:after="0" w:line="211" w:lineRule="exact"/>
        <w:rPr>
          <w:sz w:val="24"/>
          <w:szCs w:val="24"/>
          <w:color w:val="auto"/>
        </w:rPr>
      </w:pPr>
    </w:p>
    <w:p>
      <w:pPr>
        <w:spacing w:after="0"/>
        <w:tabs>
          <w:tab w:leader="none" w:pos="574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The Toro Company</w:t>
      </w:r>
    </w:p>
    <w:p>
      <w:pPr>
        <w:spacing w:after="0" w:line="225" w:lineRule="exact"/>
        <w:rPr>
          <w:sz w:val="24"/>
          <w:szCs w:val="24"/>
          <w:color w:val="auto"/>
        </w:rPr>
      </w:pPr>
    </w:p>
    <w:p>
      <w:pPr>
        <w:spacing w:after="0"/>
        <w:tabs>
          <w:tab w:leader="none" w:pos="5740" w:val="left"/>
        </w:tabs>
        <w:rPr>
          <w:sz w:val="20"/>
          <w:szCs w:val="20"/>
          <w:color w:val="auto"/>
        </w:rPr>
      </w:pPr>
      <w:r>
        <w:rPr>
          <w:rFonts w:ascii="Arial" w:cs="Arial" w:eastAsia="Arial" w:hAnsi="Arial"/>
          <w:sz w:val="18"/>
          <w:szCs w:val="18"/>
          <w:color w:val="auto"/>
        </w:rPr>
        <w:t>Size:</w:t>
      </w:r>
      <w:r>
        <w:rPr>
          <w:sz w:val="20"/>
          <w:szCs w:val="20"/>
          <w:color w:val="auto"/>
        </w:rPr>
        <w:tab/>
      </w:r>
      <w:r>
        <w:rPr>
          <w:rFonts w:ascii="Arial" w:cs="Arial" w:eastAsia="Arial" w:hAnsi="Arial"/>
          <w:sz w:val="18"/>
          <w:szCs w:val="18"/>
          <w:color w:val="auto"/>
        </w:rPr>
        <w:t>$125,000,000</w:t>
      </w:r>
    </w:p>
    <w:p>
      <w:pPr>
        <w:spacing w:after="0" w:line="225" w:lineRule="exact"/>
        <w:rPr>
          <w:sz w:val="24"/>
          <w:szCs w:val="24"/>
          <w:color w:val="auto"/>
        </w:rPr>
      </w:pPr>
    </w:p>
    <w:p>
      <w:pPr>
        <w:spacing w:after="0"/>
        <w:tabs>
          <w:tab w:leader="none" w:pos="5740" w:val="left"/>
        </w:tabs>
        <w:rPr>
          <w:sz w:val="20"/>
          <w:szCs w:val="20"/>
          <w:color w:val="auto"/>
        </w:rPr>
      </w:pPr>
      <w:r>
        <w:rPr>
          <w:rFonts w:ascii="Arial" w:cs="Arial" w:eastAsia="Arial" w:hAnsi="Arial"/>
          <w:sz w:val="18"/>
          <w:szCs w:val="18"/>
          <w:color w:val="auto"/>
        </w:rPr>
        <w:t>Maturity:</w:t>
      </w:r>
      <w:r>
        <w:rPr>
          <w:sz w:val="20"/>
          <w:szCs w:val="20"/>
          <w:color w:val="auto"/>
        </w:rPr>
        <w:tab/>
      </w:r>
      <w:r>
        <w:rPr>
          <w:rFonts w:ascii="Arial" w:cs="Arial" w:eastAsia="Arial" w:hAnsi="Arial"/>
          <w:sz w:val="18"/>
          <w:szCs w:val="18"/>
          <w:color w:val="auto"/>
        </w:rPr>
        <w:t>May 1, 2037</w:t>
      </w:r>
    </w:p>
    <w:p>
      <w:pPr>
        <w:spacing w:after="0" w:line="225" w:lineRule="exact"/>
        <w:rPr>
          <w:sz w:val="24"/>
          <w:szCs w:val="24"/>
          <w:color w:val="auto"/>
        </w:rPr>
      </w:pPr>
    </w:p>
    <w:p>
      <w:pPr>
        <w:spacing w:after="0"/>
        <w:tabs>
          <w:tab w:leader="none" w:pos="5740" w:val="left"/>
        </w:tabs>
        <w:rPr>
          <w:sz w:val="20"/>
          <w:szCs w:val="20"/>
          <w:color w:val="auto"/>
        </w:rPr>
      </w:pPr>
      <w:r>
        <w:rPr>
          <w:rFonts w:ascii="Arial" w:cs="Arial" w:eastAsia="Arial" w:hAnsi="Arial"/>
          <w:sz w:val="18"/>
          <w:szCs w:val="18"/>
          <w:color w:val="auto"/>
        </w:rPr>
        <w:t>Coupon (Interest Rate):</w:t>
      </w:r>
      <w:r>
        <w:rPr>
          <w:sz w:val="20"/>
          <w:szCs w:val="20"/>
          <w:color w:val="auto"/>
        </w:rPr>
        <w:tab/>
      </w:r>
      <w:r>
        <w:rPr>
          <w:rFonts w:ascii="Arial" w:cs="Arial" w:eastAsia="Arial" w:hAnsi="Arial"/>
          <w:sz w:val="16"/>
          <w:szCs w:val="16"/>
          <w:color w:val="auto"/>
        </w:rPr>
        <w:t>6.625% per annum</w:t>
      </w:r>
    </w:p>
    <w:p>
      <w:pPr>
        <w:spacing w:after="0" w:line="225" w:lineRule="exact"/>
        <w:rPr>
          <w:sz w:val="24"/>
          <w:szCs w:val="24"/>
          <w:color w:val="auto"/>
        </w:rPr>
      </w:pPr>
    </w:p>
    <w:p>
      <w:pPr>
        <w:spacing w:after="0"/>
        <w:tabs>
          <w:tab w:leader="none" w:pos="5740" w:val="left"/>
        </w:tabs>
        <w:rPr>
          <w:sz w:val="20"/>
          <w:szCs w:val="20"/>
          <w:color w:val="auto"/>
        </w:rPr>
      </w:pPr>
      <w:r>
        <w:rPr>
          <w:rFonts w:ascii="Arial" w:cs="Arial" w:eastAsia="Arial" w:hAnsi="Arial"/>
          <w:sz w:val="18"/>
          <w:szCs w:val="18"/>
          <w:color w:val="auto"/>
        </w:rPr>
        <w:t>Yield to Maturity:</w:t>
      </w:r>
      <w:r>
        <w:rPr>
          <w:sz w:val="20"/>
          <w:szCs w:val="20"/>
          <w:color w:val="auto"/>
        </w:rPr>
        <w:tab/>
      </w:r>
      <w:r>
        <w:rPr>
          <w:rFonts w:ascii="Arial" w:cs="Arial" w:eastAsia="Arial" w:hAnsi="Arial"/>
          <w:sz w:val="16"/>
          <w:szCs w:val="16"/>
          <w:color w:val="auto"/>
        </w:rPr>
        <w:t>6.741%</w:t>
      </w:r>
    </w:p>
    <w:p>
      <w:pPr>
        <w:spacing w:after="0" w:line="225" w:lineRule="exact"/>
        <w:rPr>
          <w:sz w:val="24"/>
          <w:szCs w:val="24"/>
          <w:color w:val="auto"/>
        </w:rPr>
      </w:pPr>
    </w:p>
    <w:p>
      <w:pPr>
        <w:spacing w:after="0"/>
        <w:tabs>
          <w:tab w:leader="none" w:pos="5740" w:val="left"/>
        </w:tabs>
        <w:rPr>
          <w:sz w:val="20"/>
          <w:szCs w:val="20"/>
          <w:color w:val="auto"/>
        </w:rPr>
      </w:pPr>
      <w:r>
        <w:rPr>
          <w:rFonts w:ascii="Arial" w:cs="Arial" w:eastAsia="Arial" w:hAnsi="Arial"/>
          <w:sz w:val="18"/>
          <w:szCs w:val="18"/>
          <w:color w:val="auto"/>
        </w:rPr>
        <w:t>Spread to Benchmark Treasury:</w:t>
      </w:r>
      <w:r>
        <w:rPr>
          <w:sz w:val="20"/>
          <w:szCs w:val="20"/>
          <w:color w:val="auto"/>
        </w:rPr>
        <w:tab/>
      </w:r>
      <w:r>
        <w:rPr>
          <w:rFonts w:ascii="Arial" w:cs="Arial" w:eastAsia="Arial" w:hAnsi="Arial"/>
          <w:sz w:val="16"/>
          <w:szCs w:val="16"/>
          <w:color w:val="auto"/>
        </w:rPr>
        <w:t>T + 190 basis points</w:t>
      </w:r>
    </w:p>
    <w:p>
      <w:pPr>
        <w:spacing w:after="0" w:line="225" w:lineRule="exact"/>
        <w:rPr>
          <w:sz w:val="24"/>
          <w:szCs w:val="24"/>
          <w:color w:val="auto"/>
        </w:rPr>
      </w:pPr>
    </w:p>
    <w:p>
      <w:pPr>
        <w:spacing w:after="0"/>
        <w:tabs>
          <w:tab w:leader="none" w:pos="5740" w:val="left"/>
        </w:tabs>
        <w:rPr>
          <w:sz w:val="20"/>
          <w:szCs w:val="20"/>
          <w:color w:val="auto"/>
        </w:rPr>
      </w:pPr>
      <w:r>
        <w:rPr>
          <w:rFonts w:ascii="Arial" w:cs="Arial" w:eastAsia="Arial" w:hAnsi="Arial"/>
          <w:sz w:val="18"/>
          <w:szCs w:val="18"/>
          <w:color w:val="auto"/>
        </w:rPr>
        <w:t>Benchmark Treasury:</w:t>
      </w:r>
      <w:r>
        <w:rPr>
          <w:sz w:val="20"/>
          <w:szCs w:val="20"/>
          <w:color w:val="auto"/>
        </w:rPr>
        <w:tab/>
      </w:r>
      <w:r>
        <w:rPr>
          <w:rFonts w:ascii="Arial" w:cs="Arial" w:eastAsia="Arial" w:hAnsi="Arial"/>
          <w:sz w:val="16"/>
          <w:szCs w:val="16"/>
          <w:color w:val="auto"/>
        </w:rPr>
        <w:t>4.500% due 02/15/36</w:t>
      </w:r>
    </w:p>
    <w:p>
      <w:pPr>
        <w:spacing w:after="0" w:line="225" w:lineRule="exact"/>
        <w:rPr>
          <w:sz w:val="24"/>
          <w:szCs w:val="24"/>
          <w:color w:val="auto"/>
        </w:rPr>
      </w:pPr>
    </w:p>
    <w:p>
      <w:pPr>
        <w:spacing w:after="0"/>
        <w:tabs>
          <w:tab w:leader="none" w:pos="5740" w:val="left"/>
        </w:tabs>
        <w:rPr>
          <w:sz w:val="20"/>
          <w:szCs w:val="20"/>
          <w:color w:val="auto"/>
        </w:rPr>
      </w:pPr>
      <w:r>
        <w:rPr>
          <w:rFonts w:ascii="Arial" w:cs="Arial" w:eastAsia="Arial" w:hAnsi="Arial"/>
          <w:sz w:val="18"/>
          <w:szCs w:val="18"/>
          <w:color w:val="auto"/>
        </w:rPr>
        <w:t>Benchmark Treasury Price and Yield:</w:t>
      </w:r>
      <w:r>
        <w:rPr>
          <w:sz w:val="20"/>
          <w:szCs w:val="20"/>
          <w:color w:val="auto"/>
        </w:rPr>
        <w:tab/>
      </w:r>
      <w:r>
        <w:rPr>
          <w:rFonts w:ascii="Arial" w:cs="Arial" w:eastAsia="Arial" w:hAnsi="Arial"/>
          <w:sz w:val="16"/>
          <w:szCs w:val="16"/>
          <w:color w:val="auto"/>
        </w:rPr>
        <w:t>94-23, 4.841%</w:t>
      </w:r>
    </w:p>
    <w:p>
      <w:pPr>
        <w:spacing w:after="0" w:line="225" w:lineRule="exact"/>
        <w:rPr>
          <w:sz w:val="24"/>
          <w:szCs w:val="24"/>
          <w:color w:val="auto"/>
        </w:rPr>
      </w:pPr>
    </w:p>
    <w:p>
      <w:pPr>
        <w:spacing w:after="0"/>
        <w:tabs>
          <w:tab w:leader="none" w:pos="574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6"/>
          <w:szCs w:val="16"/>
          <w:color w:val="auto"/>
        </w:rPr>
        <w:t>The 1st day of each May and November, commencing November 1, 2007</w:t>
      </w:r>
    </w:p>
    <w:p>
      <w:pPr>
        <w:spacing w:after="0" w:line="225" w:lineRule="exact"/>
        <w:rPr>
          <w:sz w:val="24"/>
          <w:szCs w:val="24"/>
          <w:color w:val="auto"/>
        </w:rPr>
      </w:pPr>
    </w:p>
    <w:p>
      <w:pPr>
        <w:spacing w:after="0"/>
        <w:tabs>
          <w:tab w:leader="none" w:pos="5740" w:val="left"/>
        </w:tabs>
        <w:rPr>
          <w:sz w:val="20"/>
          <w:szCs w:val="20"/>
          <w:color w:val="auto"/>
        </w:rPr>
      </w:pPr>
      <w:r>
        <w:rPr>
          <w:rFonts w:ascii="Arial" w:cs="Arial" w:eastAsia="Arial" w:hAnsi="Arial"/>
          <w:sz w:val="18"/>
          <w:szCs w:val="18"/>
          <w:color w:val="auto"/>
        </w:rPr>
        <w:t>Optional Redemption:</w:t>
      </w:r>
      <w:r>
        <w:rPr>
          <w:sz w:val="20"/>
          <w:szCs w:val="20"/>
          <w:color w:val="auto"/>
        </w:rPr>
        <w:tab/>
      </w:r>
      <w:r>
        <w:rPr>
          <w:rFonts w:ascii="Arial" w:cs="Arial" w:eastAsia="Arial" w:hAnsi="Arial"/>
          <w:sz w:val="16"/>
          <w:szCs w:val="16"/>
          <w:color w:val="auto"/>
        </w:rPr>
        <w:t>Make-Whole Call + 30 basis points (0.30%)</w:t>
      </w:r>
    </w:p>
    <w:p>
      <w:pPr>
        <w:spacing w:after="0" w:line="225" w:lineRule="exact"/>
        <w:rPr>
          <w:sz w:val="24"/>
          <w:szCs w:val="24"/>
          <w:color w:val="auto"/>
        </w:rPr>
      </w:pPr>
    </w:p>
    <w:p>
      <w:pPr>
        <w:spacing w:after="0"/>
        <w:tabs>
          <w:tab w:leader="none" w:pos="5740" w:val="left"/>
        </w:tabs>
        <w:rPr>
          <w:sz w:val="20"/>
          <w:szCs w:val="20"/>
          <w:color w:val="auto"/>
        </w:rPr>
      </w:pPr>
      <w:r>
        <w:rPr>
          <w:rFonts w:ascii="Arial" w:cs="Arial" w:eastAsia="Arial" w:hAnsi="Arial"/>
          <w:sz w:val="18"/>
          <w:szCs w:val="18"/>
          <w:color w:val="auto"/>
        </w:rPr>
        <w:t>Price to Public:</w:t>
      </w:r>
      <w:r>
        <w:rPr>
          <w:sz w:val="20"/>
          <w:szCs w:val="20"/>
          <w:color w:val="auto"/>
        </w:rPr>
        <w:tab/>
      </w:r>
      <w:r>
        <w:rPr>
          <w:rFonts w:ascii="Arial" w:cs="Arial" w:eastAsia="Arial" w:hAnsi="Arial"/>
          <w:sz w:val="16"/>
          <w:szCs w:val="16"/>
          <w:color w:val="auto"/>
        </w:rPr>
        <w:t>98.513% of face amount</w:t>
      </w:r>
    </w:p>
    <w:p>
      <w:pPr>
        <w:spacing w:after="0" w:line="225" w:lineRule="exact"/>
        <w:rPr>
          <w:sz w:val="24"/>
          <w:szCs w:val="24"/>
          <w:color w:val="auto"/>
        </w:rPr>
      </w:pPr>
    </w:p>
    <w:p>
      <w:pPr>
        <w:spacing w:after="0"/>
        <w:tabs>
          <w:tab w:leader="none" w:pos="5740" w:val="left"/>
        </w:tabs>
        <w:rPr>
          <w:sz w:val="20"/>
          <w:szCs w:val="20"/>
          <w:color w:val="auto"/>
        </w:rPr>
      </w:pPr>
      <w:r>
        <w:rPr>
          <w:rFonts w:ascii="Arial" w:cs="Arial" w:eastAsia="Arial" w:hAnsi="Arial"/>
          <w:sz w:val="18"/>
          <w:szCs w:val="18"/>
          <w:color w:val="auto"/>
        </w:rPr>
        <w:t>Trade Date:</w:t>
      </w:r>
      <w:r>
        <w:rPr>
          <w:sz w:val="20"/>
          <w:szCs w:val="20"/>
          <w:color w:val="auto"/>
        </w:rPr>
        <w:tab/>
      </w:r>
      <w:r>
        <w:rPr>
          <w:rFonts w:ascii="Arial" w:cs="Arial" w:eastAsia="Arial" w:hAnsi="Arial"/>
          <w:sz w:val="17"/>
          <w:szCs w:val="17"/>
          <w:color w:val="auto"/>
        </w:rPr>
        <w:t>April 23, 2007</w:t>
      </w:r>
    </w:p>
    <w:p>
      <w:pPr>
        <w:spacing w:after="0" w:line="225" w:lineRule="exact"/>
        <w:rPr>
          <w:sz w:val="24"/>
          <w:szCs w:val="24"/>
          <w:color w:val="auto"/>
        </w:rPr>
      </w:pPr>
    </w:p>
    <w:p>
      <w:pPr>
        <w:spacing w:after="0"/>
        <w:tabs>
          <w:tab w:leader="none" w:pos="5740" w:val="left"/>
        </w:tabs>
        <w:rPr>
          <w:sz w:val="20"/>
          <w:szCs w:val="20"/>
          <w:color w:val="auto"/>
        </w:rPr>
      </w:pPr>
      <w:r>
        <w:rPr>
          <w:rFonts w:ascii="Arial" w:cs="Arial" w:eastAsia="Arial" w:hAnsi="Arial"/>
          <w:sz w:val="18"/>
          <w:szCs w:val="18"/>
          <w:color w:val="auto"/>
        </w:rPr>
        <w:t>Settlement Date:</w:t>
      </w:r>
      <w:r>
        <w:rPr>
          <w:sz w:val="20"/>
          <w:szCs w:val="20"/>
          <w:color w:val="auto"/>
        </w:rPr>
        <w:tab/>
      </w:r>
      <w:r>
        <w:rPr>
          <w:rFonts w:ascii="Arial" w:cs="Arial" w:eastAsia="Arial" w:hAnsi="Arial"/>
          <w:sz w:val="17"/>
          <w:szCs w:val="17"/>
          <w:color w:val="auto"/>
        </w:rPr>
        <w:t>T+3 (April 26, 2007)</w:t>
      </w:r>
    </w:p>
    <w:p>
      <w:pPr>
        <w:spacing w:after="0" w:line="225" w:lineRule="exact"/>
        <w:rPr>
          <w:sz w:val="24"/>
          <w:szCs w:val="24"/>
          <w:color w:val="auto"/>
        </w:rPr>
      </w:pPr>
    </w:p>
    <w:p>
      <w:pPr>
        <w:spacing w:after="0"/>
        <w:tabs>
          <w:tab w:leader="none" w:pos="5740" w:val="left"/>
        </w:tabs>
        <w:rPr>
          <w:sz w:val="20"/>
          <w:szCs w:val="20"/>
          <w:color w:val="auto"/>
        </w:rPr>
      </w:pPr>
      <w:r>
        <w:rPr>
          <w:rFonts w:ascii="Arial" w:cs="Arial" w:eastAsia="Arial" w:hAnsi="Arial"/>
          <w:sz w:val="18"/>
          <w:szCs w:val="18"/>
          <w:color w:val="auto"/>
        </w:rPr>
        <w:t>Sole Bookrunning Manager:</w:t>
      </w:r>
      <w:r>
        <w:rPr>
          <w:sz w:val="20"/>
          <w:szCs w:val="20"/>
          <w:color w:val="auto"/>
        </w:rPr>
        <w:tab/>
      </w:r>
      <w:r>
        <w:rPr>
          <w:rFonts w:ascii="Arial" w:cs="Arial" w:eastAsia="Arial" w:hAnsi="Arial"/>
          <w:sz w:val="16"/>
          <w:szCs w:val="16"/>
          <w:color w:val="auto"/>
        </w:rPr>
        <w:t>Banc of America Securities LLC</w:t>
      </w:r>
    </w:p>
    <w:p>
      <w:pPr>
        <w:spacing w:after="0" w:line="225" w:lineRule="exact"/>
        <w:rPr>
          <w:sz w:val="24"/>
          <w:szCs w:val="24"/>
          <w:color w:val="auto"/>
        </w:rPr>
      </w:pPr>
    </w:p>
    <w:p>
      <w:pPr>
        <w:spacing w:after="0"/>
        <w:tabs>
          <w:tab w:leader="none" w:pos="5740" w:val="left"/>
        </w:tabs>
        <w:rPr>
          <w:sz w:val="20"/>
          <w:szCs w:val="20"/>
          <w:color w:val="auto"/>
        </w:rPr>
      </w:pPr>
      <w:r>
        <w:rPr>
          <w:rFonts w:ascii="Arial" w:cs="Arial" w:eastAsia="Arial" w:hAnsi="Arial"/>
          <w:sz w:val="18"/>
          <w:szCs w:val="18"/>
          <w:color w:val="auto"/>
        </w:rPr>
        <w:t>Co-Managers:</w:t>
      </w:r>
      <w:r>
        <w:rPr>
          <w:sz w:val="20"/>
          <w:szCs w:val="20"/>
          <w:color w:val="auto"/>
        </w:rPr>
        <w:tab/>
      </w:r>
      <w:r>
        <w:rPr>
          <w:rFonts w:ascii="Arial" w:cs="Arial" w:eastAsia="Arial" w:hAnsi="Arial"/>
          <w:sz w:val="16"/>
          <w:szCs w:val="16"/>
          <w:color w:val="auto"/>
        </w:rPr>
        <w:t>BMO Capital Markets Corp.</w:t>
      </w:r>
    </w:p>
    <w:p>
      <w:pPr>
        <w:spacing w:after="0" w:line="23" w:lineRule="exact"/>
        <w:rPr>
          <w:sz w:val="24"/>
          <w:szCs w:val="24"/>
          <w:color w:val="auto"/>
        </w:rPr>
      </w:pPr>
    </w:p>
    <w:p>
      <w:pPr>
        <w:ind w:left="5760"/>
        <w:spacing w:after="0"/>
        <w:rPr>
          <w:sz w:val="20"/>
          <w:szCs w:val="20"/>
          <w:color w:val="auto"/>
        </w:rPr>
      </w:pPr>
      <w:r>
        <w:rPr>
          <w:rFonts w:ascii="Arial" w:cs="Arial" w:eastAsia="Arial" w:hAnsi="Arial"/>
          <w:sz w:val="18"/>
          <w:szCs w:val="18"/>
          <w:color w:val="auto"/>
        </w:rPr>
        <w:t>BNY Capital Markets, Inc.</w:t>
      </w:r>
    </w:p>
    <w:p>
      <w:pPr>
        <w:spacing w:after="0" w:line="9" w:lineRule="exact"/>
        <w:rPr>
          <w:sz w:val="24"/>
          <w:szCs w:val="24"/>
          <w:color w:val="auto"/>
        </w:rPr>
      </w:pPr>
    </w:p>
    <w:p>
      <w:pPr>
        <w:ind w:left="5760"/>
        <w:spacing w:after="0"/>
        <w:rPr>
          <w:sz w:val="20"/>
          <w:szCs w:val="20"/>
          <w:color w:val="auto"/>
        </w:rPr>
      </w:pPr>
      <w:r>
        <w:rPr>
          <w:rFonts w:ascii="Arial" w:cs="Arial" w:eastAsia="Arial" w:hAnsi="Arial"/>
          <w:sz w:val="18"/>
          <w:szCs w:val="18"/>
          <w:color w:val="auto"/>
        </w:rPr>
        <w:t>Piper Jaffray &amp; Co.</w:t>
      </w:r>
    </w:p>
    <w:p>
      <w:pPr>
        <w:spacing w:after="0" w:line="9" w:lineRule="exact"/>
        <w:rPr>
          <w:sz w:val="24"/>
          <w:szCs w:val="24"/>
          <w:color w:val="auto"/>
        </w:rPr>
      </w:pPr>
    </w:p>
    <w:p>
      <w:pPr>
        <w:ind w:left="5760"/>
        <w:spacing w:after="0"/>
        <w:rPr>
          <w:sz w:val="20"/>
          <w:szCs w:val="20"/>
          <w:color w:val="auto"/>
        </w:rPr>
      </w:pPr>
      <w:r>
        <w:rPr>
          <w:rFonts w:ascii="Arial" w:cs="Arial" w:eastAsia="Arial" w:hAnsi="Arial"/>
          <w:sz w:val="18"/>
          <w:szCs w:val="18"/>
          <w:color w:val="auto"/>
        </w:rPr>
        <w:t>SunTrust Capital Markets, Inc.</w:t>
      </w:r>
    </w:p>
    <w:p>
      <w:pPr>
        <w:spacing w:after="0" w:line="9" w:lineRule="exact"/>
        <w:rPr>
          <w:sz w:val="24"/>
          <w:szCs w:val="24"/>
          <w:color w:val="auto"/>
        </w:rPr>
      </w:pPr>
    </w:p>
    <w:p>
      <w:pPr>
        <w:ind w:left="5760"/>
        <w:spacing w:after="0"/>
        <w:rPr>
          <w:sz w:val="20"/>
          <w:szCs w:val="20"/>
          <w:color w:val="auto"/>
        </w:rPr>
      </w:pPr>
      <w:r>
        <w:rPr>
          <w:rFonts w:ascii="Arial" w:cs="Arial" w:eastAsia="Arial" w:hAnsi="Arial"/>
          <w:sz w:val="18"/>
          <w:szCs w:val="18"/>
          <w:color w:val="auto"/>
        </w:rPr>
        <w:t>Wells Fargo Securities, LLC</w:t>
      </w:r>
    </w:p>
    <w:p>
      <w:pPr>
        <w:spacing w:after="0" w:line="211" w:lineRule="exact"/>
        <w:rPr>
          <w:sz w:val="24"/>
          <w:szCs w:val="24"/>
          <w:color w:val="auto"/>
        </w:rPr>
      </w:pPr>
    </w:p>
    <w:p>
      <w:pPr>
        <w:spacing w:after="0"/>
        <w:tabs>
          <w:tab w:leader="none" w:pos="5740" w:val="left"/>
        </w:tabs>
        <w:rPr>
          <w:sz w:val="20"/>
          <w:szCs w:val="20"/>
          <w:color w:val="auto"/>
        </w:rPr>
      </w:pPr>
      <w:r>
        <w:rPr>
          <w:rFonts w:ascii="Arial" w:cs="Arial" w:eastAsia="Arial" w:hAnsi="Arial"/>
          <w:sz w:val="17"/>
          <w:szCs w:val="17"/>
          <w:color w:val="auto"/>
        </w:rPr>
        <w:t>Ratings:</w:t>
      </w:r>
      <w:r>
        <w:rPr>
          <w:sz w:val="20"/>
          <w:szCs w:val="20"/>
          <w:color w:val="auto"/>
        </w:rPr>
        <w:tab/>
      </w:r>
      <w:r>
        <w:rPr>
          <w:rFonts w:ascii="Arial" w:cs="Arial" w:eastAsia="Arial" w:hAnsi="Arial"/>
          <w:sz w:val="17"/>
          <w:szCs w:val="17"/>
          <w:color w:val="auto"/>
        </w:rPr>
        <w:t>We expect that the notes will be rated Baa3 and BBB- by Moody’s Investor</w:t>
      </w:r>
    </w:p>
    <w:p>
      <w:pPr>
        <w:spacing w:after="0" w:line="35" w:lineRule="exact"/>
        <w:rPr>
          <w:sz w:val="24"/>
          <w:szCs w:val="24"/>
          <w:color w:val="auto"/>
        </w:rPr>
      </w:pPr>
    </w:p>
    <w:p>
      <w:pPr>
        <w:ind w:left="5760"/>
        <w:spacing w:after="0"/>
        <w:rPr>
          <w:sz w:val="20"/>
          <w:szCs w:val="20"/>
          <w:color w:val="auto"/>
        </w:rPr>
      </w:pPr>
      <w:r>
        <w:rPr>
          <w:rFonts w:ascii="Arial" w:cs="Arial" w:eastAsia="Arial" w:hAnsi="Arial"/>
          <w:sz w:val="17"/>
          <w:szCs w:val="17"/>
          <w:color w:val="auto"/>
        </w:rPr>
        <w:t>Services and Standard &amp; Poor’s, respectively. Neither of these ratings is a</w:t>
      </w:r>
    </w:p>
    <w:p>
      <w:pPr>
        <w:spacing w:after="0" w:line="21" w:lineRule="exact"/>
        <w:rPr>
          <w:sz w:val="24"/>
          <w:szCs w:val="24"/>
          <w:color w:val="auto"/>
        </w:rPr>
      </w:pPr>
    </w:p>
    <w:p>
      <w:pPr>
        <w:ind w:left="5760"/>
        <w:spacing w:after="0"/>
        <w:rPr>
          <w:sz w:val="20"/>
          <w:szCs w:val="20"/>
          <w:color w:val="auto"/>
        </w:rPr>
      </w:pPr>
      <w:r>
        <w:rPr>
          <w:rFonts w:ascii="Arial" w:cs="Arial" w:eastAsia="Arial" w:hAnsi="Arial"/>
          <w:sz w:val="16"/>
          <w:szCs w:val="16"/>
          <w:color w:val="auto"/>
        </w:rPr>
        <w:t>recommendation to buy, sell or hold these notes. Each rating may be subject</w:t>
      </w:r>
    </w:p>
    <w:p>
      <w:pPr>
        <w:spacing w:after="0" w:line="32" w:lineRule="exact"/>
        <w:rPr>
          <w:sz w:val="24"/>
          <w:szCs w:val="24"/>
          <w:color w:val="auto"/>
        </w:rPr>
      </w:pPr>
    </w:p>
    <w:p>
      <w:pPr>
        <w:ind w:left="5760"/>
        <w:spacing w:after="0"/>
        <w:rPr>
          <w:sz w:val="20"/>
          <w:szCs w:val="20"/>
          <w:color w:val="auto"/>
        </w:rPr>
      </w:pPr>
      <w:r>
        <w:rPr>
          <w:rFonts w:ascii="Arial" w:cs="Arial" w:eastAsia="Arial" w:hAnsi="Arial"/>
          <w:sz w:val="16"/>
          <w:szCs w:val="16"/>
          <w:color w:val="auto"/>
        </w:rPr>
        <w:t>to revision or withdrawal at any time, and should be evaluated independently</w:t>
      </w:r>
    </w:p>
    <w:p>
      <w:pPr>
        <w:spacing w:after="0" w:line="32" w:lineRule="exact"/>
        <w:rPr>
          <w:sz w:val="24"/>
          <w:szCs w:val="24"/>
          <w:color w:val="auto"/>
        </w:rPr>
      </w:pPr>
    </w:p>
    <w:p>
      <w:pPr>
        <w:ind w:left="5760"/>
        <w:spacing w:after="0"/>
        <w:rPr>
          <w:sz w:val="20"/>
          <w:szCs w:val="20"/>
          <w:color w:val="auto"/>
        </w:rPr>
      </w:pPr>
      <w:r>
        <w:rPr>
          <w:rFonts w:ascii="Arial" w:cs="Arial" w:eastAsia="Arial" w:hAnsi="Arial"/>
          <w:sz w:val="18"/>
          <w:szCs w:val="18"/>
          <w:color w:val="auto"/>
        </w:rPr>
        <w:t>of any other rating.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The issuer has filed a registration statement (including a prospectus and preliminary prospectus supplement) with the SEC for the offering to which this communication relates. Before you invest, you should read the prospectus and preliminary prospectus supplement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7"/>
          <w:szCs w:val="17"/>
          <w:color w:val="auto"/>
        </w:rPr>
        <w:t>www.sec.gov</w:t>
      </w:r>
      <w:r>
        <w:rPr>
          <w:rFonts w:ascii="Arial" w:cs="Arial" w:eastAsia="Arial" w:hAnsi="Arial"/>
          <w:sz w:val="17"/>
          <w:szCs w:val="17"/>
          <w:b w:val="1"/>
          <w:bCs w:val="1"/>
          <w:color w:val="auto"/>
        </w:rPr>
        <w:t>. Alternatively, Banc of America Securities LLC can arrange to send you the prospectus and preliminary prospectus supplement if you request it by calling or e-mailing Banc of America Securities LLC at 1-800-294-1322 or dg.prospectus_distribution@bofasecurities.com.</w:t>
      </w:r>
    </w:p>
    <w:p>
      <w:pPr>
        <w:sectPr>
          <w:pgSz w:w="11900" w:h="16838" w:orient="portrait"/>
          <w:cols w:equalWidth="0" w:num="1">
            <w:col w:w="11420"/>
          </w:cols>
          <w:pgMar w:left="240" w:top="233" w:right="239" w:bottom="1440" w:gutter="0" w:footer="0" w:header="0"/>
        </w:sectPr>
      </w:pPr>
    </w:p>
    <w:p>
      <w:pPr>
        <w:spacing w:after="0" w:line="39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2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2019-12-13T13:55:45Z</dcterms:created>
  <dcterms:modified xsi:type="dcterms:W3CDTF">2019-12-13T13:55:45Z</dcterms:modified>
</cp:coreProperties>
</file>