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7045960" cy="61106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6110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KOCH D CHRISTIAN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TORO CO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TTC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03/10/2026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00" w:firstLine="3"/>
        <w:spacing w:after="0" w:line="264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3" w:space="720"/>
            <w:col w:w="3337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3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620" w:type="dxa"/>
            <w:vAlign w:val="bottom"/>
          </w:tcPr>
          <w:p>
            <w:pPr>
              <w:jc w:val="right"/>
              <w:ind w:right="6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55420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jc w:val="right"/>
              <w:ind w:right="8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gridSpan w:val="5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jc w:val="center"/>
              <w:ind w:left="511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03/10/2026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4,951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47.17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4,951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03/10/2026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2,335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100.04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2,616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03/11/2026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2,616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4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lef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03/11/2026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2,616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18,191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Christian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Koch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80" w:type="dxa"/>
            <w:vAlign w:val="bottom"/>
            <w:gridSpan w:val="9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47.17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03/10/2026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4,951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11/01/2026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4,951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Option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option vests in three equal annual installments commencing on the first anniversary of the November 1, 2016 grant date.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Joanna M. Totsky, Attorney-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03/12/2026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-26670</wp:posOffset>
            </wp:positionV>
            <wp:extent cx="135509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50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-19685</wp:posOffset>
            </wp:positionV>
            <wp:extent cx="3035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5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83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190801" TargetMode="External"/><Relationship Id="rId14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2026-03-12T08:45:42Z</dcterms:created>
  <dcterms:modified xsi:type="dcterms:W3CDTF">2026-03-12T08:45:42Z</dcterms:modified>
</cp:coreProperties>
</file>