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DRAZAN MICHAEL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06/18/2010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3"/>
        <w:spacing w:after="0"/>
        <w:rPr>
          <w:sz w:val="20"/>
          <w:szCs w:val="20"/>
          <w:color w:val="auto"/>
        </w:rPr>
      </w:pPr>
      <w:r>
        <w:rPr>
          <w:rFonts w:ascii="Arial" w:cs="Arial" w:eastAsia="Arial" w:hAnsi="Arial"/>
          <w:sz w:val="18"/>
          <w:szCs w:val="18"/>
          <w:color w:val="0000FF"/>
        </w:rPr>
        <w:t>CIO, VP Contractor Business</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4"/>
                <w:szCs w:val="14"/>
                <w:color w:val="auto"/>
              </w:rPr>
            </w:pPr>
          </w:p>
        </w:tc>
        <w:tc>
          <w:tcPr>
            <w:tcW w:w="18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20" w:type="dxa"/>
            <w:vAlign w:val="bottom"/>
            <w:gridSpan w:val="2"/>
          </w:tcPr>
          <w:p>
            <w:pPr>
              <w:ind w:left="700"/>
              <w:spacing w:after="0"/>
              <w:rPr>
                <w:sz w:val="20"/>
                <w:szCs w:val="20"/>
                <w:color w:val="auto"/>
              </w:rPr>
            </w:pPr>
            <w:r>
              <w:rPr>
                <w:rFonts w:ascii="Arial" w:cs="Arial" w:eastAsia="Arial" w:hAnsi="Arial"/>
                <w:sz w:val="18"/>
                <w:szCs w:val="18"/>
                <w:color w:val="0000FF"/>
                <w:w w:val="99"/>
              </w:rPr>
              <w:t>06/18/2010</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360" w:type="dxa"/>
            <w:vAlign w:val="bottom"/>
          </w:tcPr>
          <w:p>
            <w:pPr>
              <w:ind w:left="140"/>
              <w:spacing w:after="0"/>
              <w:rPr>
                <w:sz w:val="20"/>
                <w:szCs w:val="20"/>
                <w:color w:val="auto"/>
              </w:rPr>
            </w:pPr>
            <w:r>
              <w:rPr>
                <w:rFonts w:ascii="Arial" w:cs="Arial" w:eastAsia="Arial" w:hAnsi="Arial"/>
                <w:sz w:val="14"/>
                <w:szCs w:val="14"/>
                <w:color w:val="0000FF"/>
              </w:rPr>
              <w:t>V</w:t>
            </w:r>
          </w:p>
        </w:tc>
        <w:tc>
          <w:tcPr>
            <w:tcW w:w="740" w:type="dxa"/>
            <w:vAlign w:val="bottom"/>
          </w:tcPr>
          <w:p>
            <w:pPr>
              <w:ind w:left="280"/>
              <w:spacing w:after="0"/>
              <w:rPr>
                <w:sz w:val="20"/>
                <w:szCs w:val="20"/>
                <w:color w:val="auto"/>
              </w:rPr>
            </w:pPr>
            <w:r>
              <w:rPr>
                <w:rFonts w:ascii="Arial" w:cs="Arial" w:eastAsia="Arial" w:hAnsi="Arial"/>
                <w:sz w:val="18"/>
                <w:szCs w:val="18"/>
                <w:color w:val="0000FF"/>
              </w:rPr>
              <w:t>180</w:t>
            </w:r>
          </w:p>
        </w:tc>
        <w:tc>
          <w:tcPr>
            <w:tcW w:w="500" w:type="dxa"/>
            <w:vAlign w:val="bottom"/>
          </w:tcPr>
          <w:p>
            <w:pPr>
              <w:ind w:left="280"/>
              <w:spacing w:after="0"/>
              <w:rPr>
                <w:sz w:val="20"/>
                <w:szCs w:val="20"/>
                <w:color w:val="auto"/>
              </w:rPr>
            </w:pPr>
            <w:r>
              <w:rPr>
                <w:rFonts w:ascii="Arial" w:cs="Arial" w:eastAsia="Arial" w:hAnsi="Arial"/>
                <w:sz w:val="18"/>
                <w:szCs w:val="18"/>
                <w:color w:val="0000FF"/>
              </w:rPr>
              <w:t>D</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Pr>
          <w:p>
            <w:pPr>
              <w:spacing w:after="0"/>
              <w:rPr>
                <w:sz w:val="23"/>
                <w:szCs w:val="23"/>
                <w:color w:val="auto"/>
              </w:rPr>
            </w:pPr>
          </w:p>
        </w:tc>
        <w:tc>
          <w:tcPr>
            <w:tcW w:w="1340" w:type="dxa"/>
            <w:vAlign w:val="bottom"/>
            <w:gridSpan w:val="3"/>
          </w:tcPr>
          <w:p>
            <w:pPr>
              <w:jc w:val="center"/>
              <w:spacing w:after="0"/>
              <w:rPr>
                <w:sz w:val="20"/>
                <w:szCs w:val="20"/>
                <w:color w:val="auto"/>
              </w:rPr>
            </w:pPr>
            <w:r>
              <w:rPr>
                <w:rFonts w:ascii="Arial" w:cs="Arial" w:eastAsia="Arial" w:hAnsi="Arial"/>
                <w:sz w:val="18"/>
                <w:szCs w:val="18"/>
                <w:color w:val="0000FF"/>
                <w:w w:val="87"/>
              </w:rPr>
              <w:t>20,162</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3"/>
          </w:tcPr>
          <w:p>
            <w:pPr>
              <w:jc w:val="center"/>
              <w:spacing w:after="0" w:line="217" w:lineRule="exact"/>
              <w:rPr>
                <w:sz w:val="20"/>
                <w:szCs w:val="20"/>
                <w:color w:val="auto"/>
              </w:rPr>
            </w:pPr>
            <w:r>
              <w:rPr>
                <w:rFonts w:ascii="Arial" w:cs="Arial" w:eastAsia="Arial" w:hAnsi="Arial"/>
                <w:sz w:val="18"/>
                <w:szCs w:val="18"/>
                <w:color w:val="0000FF"/>
                <w:w w:val="85"/>
              </w:rPr>
              <w:t>1,975.602</w:t>
            </w:r>
            <w:r>
              <w:rPr>
                <w:rFonts w:ascii="Arial" w:cs="Arial" w:eastAsia="Arial" w:hAnsi="Arial"/>
                <w:sz w:val="22"/>
                <w:szCs w:val="22"/>
                <w:color w:val="008000"/>
                <w:w w:val="85"/>
                <w:vertAlign w:val="superscript"/>
              </w:rPr>
              <w:t>(1)</w:t>
            </w:r>
          </w:p>
        </w:tc>
        <w:tc>
          <w:tcPr>
            <w:tcW w:w="3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5"/>
              </w:rPr>
              <w:t>12,951.224</w:t>
            </w:r>
            <w:r>
              <w:rPr>
                <w:rFonts w:ascii="Arial" w:cs="Arial" w:eastAsia="Arial" w:hAnsi="Arial"/>
                <w:sz w:val="22"/>
                <w:szCs w:val="22"/>
                <w:color w:val="008000"/>
                <w:w w:val="85"/>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shares of common stock acquired by the reporting person since the date of his last report: 6.572 shares acquired under the dividend reinvestment feature of The Toro Company Investment, Savings &amp; ESOP (IS&amp;ESOP); and 73.021 shares acquired through issuer annual investment fund contributions to the IS&amp;ESOP.</w:t>
      </w:r>
    </w:p>
    <w:p>
      <w:pPr>
        <w:spacing w:after="0" w:line="30"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44.71 Performance Share Units acquired by the reporting person under the dividend reinvestment feature of The Toro Company Deferred Compensation Plan for Officers since the date of his last report.</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Amy E. Dahl,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06/29/2010</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37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2019-12-17T00:22:23Z</dcterms:created>
  <dcterms:modified xsi:type="dcterms:W3CDTF">2019-12-17T00:22:23Z</dcterms:modified>
</cp:coreProperties>
</file>