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6830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830695"/>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Svendsen Kurt D</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06/26/2025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058"/>
        <w:spacing w:after="0"/>
        <w:rPr>
          <w:sz w:val="20"/>
          <w:szCs w:val="20"/>
          <w:color w:val="auto"/>
        </w:rPr>
      </w:pPr>
      <w:r>
        <w:rPr>
          <w:rFonts w:ascii="Times New Roman" w:cs="Times New Roman" w:eastAsia="Times New Roman" w:hAnsi="Times New Roman"/>
          <w:sz w:val="17"/>
          <w:szCs w:val="17"/>
          <w:color w:val="0000FF"/>
        </w:rPr>
        <w:t>VP, Technology</w:t>
      </w:r>
    </w:p>
    <w:p>
      <w:pPr>
        <w:spacing w:after="0" w:line="310" w:lineRule="exact"/>
        <w:rPr>
          <w:sz w:val="24"/>
          <w:szCs w:val="24"/>
          <w:color w:val="auto"/>
        </w:rPr>
      </w:pPr>
    </w:p>
    <w:p>
      <w:pPr>
        <w:sectPr>
          <w:pgSz w:w="11900" w:h="1683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20" w:type="dxa"/>
            <w:vAlign w:val="bottom"/>
            <w:gridSpan w:val="7"/>
            <w:vMerge w:val="restart"/>
          </w:tcPr>
          <w:p>
            <w:pPr>
              <w:jc w:val="right"/>
              <w:ind w:right="133"/>
              <w:spacing w:after="0"/>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1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55420-1196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340" w:type="dxa"/>
            <w:vAlign w:val="bottom"/>
            <w:gridSpan w:val="5"/>
          </w:tcPr>
          <w:p>
            <w:pPr>
              <w:ind w:left="24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60" w:type="dxa"/>
            <w:vAlign w:val="bottom"/>
            <w:gridSpan w:val="8"/>
          </w:tcPr>
          <w:p>
            <w:pPr>
              <w:ind w:left="2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48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jc w:val="center"/>
              <w:ind w:left="50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jc w:val="center"/>
              <w:ind w:left="509"/>
              <w:spacing w:after="0"/>
              <w:rPr>
                <w:sz w:val="20"/>
                <w:szCs w:val="20"/>
                <w:color w:val="auto"/>
              </w:rPr>
            </w:pPr>
            <w:r>
              <w:rPr>
                <w:rFonts w:ascii="Times New Roman" w:cs="Times New Roman" w:eastAsia="Times New Roman" w:hAnsi="Times New Roman"/>
                <w:sz w:val="17"/>
                <w:szCs w:val="17"/>
                <w:color w:val="0000FF"/>
              </w:rPr>
              <w:t>06/26/2025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Borders>
              <w:bottom w:val="single" w:sz="8" w:color="2C2C2C"/>
            </w:tcBorders>
          </w:tcPr>
          <w:p>
            <w:pPr>
              <w:jc w:val="center"/>
              <w:ind w:left="131"/>
              <w:spacing w:after="0"/>
              <w:rPr>
                <w:sz w:val="20"/>
                <w:szCs w:val="20"/>
                <w:color w:val="auto"/>
              </w:rPr>
            </w:pPr>
            <w:r>
              <w:rPr>
                <w:rFonts w:ascii="Times New Roman" w:cs="Times New Roman" w:eastAsia="Times New Roman" w:hAnsi="Times New Roman"/>
                <w:sz w:val="17"/>
                <w:szCs w:val="17"/>
                <w:color w:val="0000FF"/>
                <w:w w:val="93"/>
              </w:rPr>
              <w:t>6,000</w:t>
            </w:r>
          </w:p>
        </w:tc>
        <w:tc>
          <w:tcPr>
            <w:tcW w:w="66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38.82</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17,646.033</w:t>
            </w:r>
            <w:r>
              <w:rPr>
                <w:rFonts w:ascii="Times New Roman" w:cs="Times New Roman" w:eastAsia="Times New Roman" w:hAnsi="Times New Roman"/>
                <w:sz w:val="21"/>
                <w:szCs w:val="21"/>
                <w:color w:val="008000"/>
                <w:w w:val="94"/>
                <w:vertAlign w:val="superscript"/>
              </w:rPr>
              <w:t>(1)</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jc w:val="center"/>
              <w:ind w:left="509"/>
              <w:spacing w:after="0"/>
              <w:rPr>
                <w:sz w:val="20"/>
                <w:szCs w:val="20"/>
                <w:color w:val="auto"/>
              </w:rPr>
            </w:pPr>
            <w:r>
              <w:rPr>
                <w:rFonts w:ascii="Times New Roman" w:cs="Times New Roman" w:eastAsia="Times New Roman" w:hAnsi="Times New Roman"/>
                <w:sz w:val="17"/>
                <w:szCs w:val="17"/>
                <w:color w:val="0000FF"/>
              </w:rPr>
              <w:t>06/26/2025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Pr>
          <w:p>
            <w:pPr>
              <w:jc w:val="center"/>
              <w:ind w:left="131"/>
              <w:spacing w:after="0"/>
              <w:rPr>
                <w:sz w:val="20"/>
                <w:szCs w:val="20"/>
                <w:color w:val="auto"/>
              </w:rPr>
            </w:pPr>
            <w:r>
              <w:rPr>
                <w:rFonts w:ascii="Times New Roman" w:cs="Times New Roman" w:eastAsia="Times New Roman" w:hAnsi="Times New Roman"/>
                <w:sz w:val="17"/>
                <w:szCs w:val="17"/>
                <w:color w:val="0000FF"/>
                <w:w w:val="93"/>
              </w:rPr>
              <w:t>2,500</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70.98</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15,146.033</w:t>
            </w:r>
          </w:p>
        </w:tc>
        <w:tc>
          <w:tcPr>
            <w:tcW w:w="340" w:type="dxa"/>
            <w:vAlign w:val="bottom"/>
          </w:tcPr>
          <w:p>
            <w:pPr>
              <w:spacing w:after="0"/>
              <w:rPr>
                <w:sz w:val="22"/>
                <w:szCs w:val="22"/>
                <w:color w:val="auto"/>
              </w:rPr>
            </w:pPr>
          </w:p>
        </w:tc>
        <w:tc>
          <w:tcPr>
            <w:tcW w:w="52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jc w:val="center"/>
              <w:ind w:left="509"/>
              <w:spacing w:after="0"/>
              <w:rPr>
                <w:sz w:val="20"/>
                <w:szCs w:val="20"/>
                <w:color w:val="auto"/>
              </w:rPr>
            </w:pPr>
            <w:r>
              <w:rPr>
                <w:rFonts w:ascii="Times New Roman" w:cs="Times New Roman" w:eastAsia="Times New Roman" w:hAnsi="Times New Roman"/>
                <w:sz w:val="17"/>
                <w:szCs w:val="17"/>
                <w:color w:val="0000FF"/>
              </w:rPr>
              <w:t>06/26/2025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Pr>
          <w:p>
            <w:pPr>
              <w:jc w:val="center"/>
              <w:ind w:left="131"/>
              <w:spacing w:after="0"/>
              <w:rPr>
                <w:sz w:val="20"/>
                <w:szCs w:val="20"/>
                <w:color w:val="auto"/>
              </w:rPr>
            </w:pPr>
            <w:r>
              <w:rPr>
                <w:rFonts w:ascii="Times New Roman" w:cs="Times New Roman" w:eastAsia="Times New Roman" w:hAnsi="Times New Roman"/>
                <w:sz w:val="17"/>
                <w:szCs w:val="17"/>
                <w:color w:val="0000FF"/>
                <w:w w:val="93"/>
              </w:rPr>
              <w:t>1,193</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71</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13,953.033</w:t>
            </w:r>
          </w:p>
        </w:tc>
        <w:tc>
          <w:tcPr>
            <w:tcW w:w="340" w:type="dxa"/>
            <w:vAlign w:val="bottom"/>
          </w:tcPr>
          <w:p>
            <w:pPr>
              <w:spacing w:after="0"/>
              <w:rPr>
                <w:sz w:val="22"/>
                <w:szCs w:val="22"/>
                <w:color w:val="auto"/>
              </w:rPr>
            </w:pPr>
          </w:p>
        </w:tc>
        <w:tc>
          <w:tcPr>
            <w:tcW w:w="52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jc w:val="center"/>
              <w:ind w:left="509"/>
              <w:spacing w:after="0"/>
              <w:rPr>
                <w:sz w:val="20"/>
                <w:szCs w:val="20"/>
                <w:color w:val="auto"/>
              </w:rPr>
            </w:pPr>
            <w:r>
              <w:rPr>
                <w:rFonts w:ascii="Times New Roman" w:cs="Times New Roman" w:eastAsia="Times New Roman" w:hAnsi="Times New Roman"/>
                <w:sz w:val="17"/>
                <w:szCs w:val="17"/>
                <w:color w:val="0000FF"/>
              </w:rPr>
              <w:t>06/26/2025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Pr>
          <w:p>
            <w:pPr>
              <w:jc w:val="center"/>
              <w:ind w:left="131"/>
              <w:spacing w:after="0"/>
              <w:rPr>
                <w:sz w:val="20"/>
                <w:szCs w:val="20"/>
                <w:color w:val="auto"/>
              </w:rPr>
            </w:pPr>
            <w:r>
              <w:rPr>
                <w:rFonts w:ascii="Times New Roman" w:cs="Times New Roman" w:eastAsia="Times New Roman" w:hAnsi="Times New Roman"/>
                <w:sz w:val="17"/>
                <w:szCs w:val="17"/>
                <w:color w:val="0000FF"/>
                <w:w w:val="93"/>
              </w:rPr>
              <w:t>2,211</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71.008</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11,742.033</w:t>
            </w:r>
          </w:p>
        </w:tc>
        <w:tc>
          <w:tcPr>
            <w:tcW w:w="340" w:type="dxa"/>
            <w:vAlign w:val="bottom"/>
          </w:tcPr>
          <w:p>
            <w:pPr>
              <w:spacing w:after="0"/>
              <w:rPr>
                <w:sz w:val="22"/>
                <w:szCs w:val="22"/>
                <w:color w:val="auto"/>
              </w:rPr>
            </w:pPr>
          </w:p>
        </w:tc>
        <w:tc>
          <w:tcPr>
            <w:tcW w:w="52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jc w:val="center"/>
              <w:ind w:left="509"/>
              <w:spacing w:after="0"/>
              <w:rPr>
                <w:sz w:val="20"/>
                <w:szCs w:val="20"/>
                <w:color w:val="auto"/>
              </w:rPr>
            </w:pPr>
            <w:r>
              <w:rPr>
                <w:rFonts w:ascii="Times New Roman" w:cs="Times New Roman" w:eastAsia="Times New Roman" w:hAnsi="Times New Roman"/>
                <w:sz w:val="17"/>
                <w:szCs w:val="17"/>
                <w:color w:val="0000FF"/>
              </w:rPr>
              <w:t>06/26/2025</w:t>
            </w: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Pr>
          <w:p>
            <w:pPr>
              <w:jc w:val="center"/>
              <w:ind w:left="131"/>
              <w:spacing w:after="0"/>
              <w:rPr>
                <w:sz w:val="20"/>
                <w:szCs w:val="20"/>
                <w:color w:val="auto"/>
              </w:rPr>
            </w:pPr>
            <w:r>
              <w:rPr>
                <w:rFonts w:ascii="Times New Roman" w:cs="Times New Roman" w:eastAsia="Times New Roman" w:hAnsi="Times New Roman"/>
                <w:sz w:val="17"/>
                <w:szCs w:val="17"/>
                <w:color w:val="0000FF"/>
                <w:w w:val="93"/>
              </w:rPr>
              <w:t>96</w:t>
            </w:r>
          </w:p>
        </w:tc>
        <w:tc>
          <w:tcPr>
            <w:tcW w:w="6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71.01</w:t>
            </w:r>
          </w:p>
        </w:tc>
        <w:tc>
          <w:tcPr>
            <w:tcW w:w="40" w:type="dxa"/>
            <w:vAlign w:val="bottom"/>
          </w:tcPr>
          <w:p>
            <w:pPr>
              <w:spacing w:after="0"/>
              <w:rPr>
                <w:sz w:val="22"/>
                <w:szCs w:val="22"/>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11,646.033</w:t>
            </w:r>
          </w:p>
        </w:tc>
        <w:tc>
          <w:tcPr>
            <w:tcW w:w="340" w:type="dxa"/>
            <w:vAlign w:val="bottom"/>
          </w:tcPr>
          <w:p>
            <w:pPr>
              <w:spacing w:after="0"/>
              <w:rPr>
                <w:sz w:val="22"/>
                <w:szCs w:val="22"/>
                <w:color w:val="auto"/>
              </w:rPr>
            </w:pPr>
          </w:p>
        </w:tc>
        <w:tc>
          <w:tcPr>
            <w:tcW w:w="52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11,365.429</w:t>
            </w:r>
            <w:r>
              <w:rPr>
                <w:rFonts w:ascii="Times New Roman" w:cs="Times New Roman" w:eastAsia="Times New Roman" w:hAnsi="Times New Roman"/>
                <w:sz w:val="21"/>
                <w:szCs w:val="21"/>
                <w:color w:val="008000"/>
                <w:w w:val="94"/>
                <w:vertAlign w:val="superscript"/>
              </w:rPr>
              <w:t>(2)</w:t>
            </w:r>
          </w:p>
        </w:tc>
        <w:tc>
          <w:tcPr>
            <w:tcW w:w="340" w:type="dxa"/>
            <w:vAlign w:val="bottom"/>
          </w:tcPr>
          <w:p>
            <w:pPr>
              <w:spacing w:after="0"/>
              <w:rPr>
                <w:sz w:val="17"/>
                <w:szCs w:val="17"/>
                <w:color w:val="auto"/>
              </w:rPr>
            </w:pPr>
          </w:p>
        </w:tc>
        <w:tc>
          <w:tcPr>
            <w:tcW w:w="52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5,873.431</w:t>
            </w:r>
            <w:r>
              <w:rPr>
                <w:rFonts w:ascii="Times New Roman" w:cs="Times New Roman" w:eastAsia="Times New Roman" w:hAnsi="Times New Roman"/>
                <w:sz w:val="21"/>
                <w:szCs w:val="21"/>
                <w:color w:val="008000"/>
                <w:w w:val="94"/>
                <w:vertAlign w:val="superscript"/>
              </w:rPr>
              <w:t>(3)</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38.82</w:t>
            </w:r>
          </w:p>
        </w:tc>
        <w:tc>
          <w:tcPr>
            <w:tcW w:w="104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color w:val="0000FF"/>
              </w:rPr>
              <w:t>06/26/2025</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6,000</w:t>
            </w: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ind w:right="11"/>
              <w:spacing w:after="0"/>
              <w:rPr>
                <w:sz w:val="20"/>
                <w:szCs w:val="20"/>
                <w:color w:val="auto"/>
              </w:rPr>
            </w:pPr>
            <w:r>
              <w:rPr>
                <w:rFonts w:ascii="Times New Roman" w:cs="Times New Roman" w:eastAsia="Times New Roman" w:hAnsi="Times New Roman"/>
                <w:sz w:val="13"/>
                <w:szCs w:val="13"/>
                <w:color w:val="0000FF"/>
                <w:w w:val="97"/>
              </w:rPr>
              <w:t>12/04/2025</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ind w:right="88"/>
              <w:spacing w:after="0"/>
              <w:rPr>
                <w:sz w:val="20"/>
                <w:szCs w:val="20"/>
                <w:color w:val="auto"/>
              </w:rPr>
            </w:pPr>
            <w:r>
              <w:rPr>
                <w:rFonts w:ascii="Times New Roman" w:cs="Times New Roman" w:eastAsia="Times New Roman" w:hAnsi="Times New Roman"/>
                <w:sz w:val="17"/>
                <w:szCs w:val="17"/>
                <w:color w:val="0000FF"/>
              </w:rPr>
              <w:t>6,000</w:t>
            </w:r>
          </w:p>
        </w:tc>
        <w:tc>
          <w:tcPr>
            <w:tcW w:w="40" w:type="dxa"/>
            <w:vAlign w:val="bottom"/>
          </w:tcPr>
          <w:p>
            <w:pPr>
              <w:spacing w:after="0"/>
              <w:rPr>
                <w:sz w:val="12"/>
                <w:szCs w:val="12"/>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48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0</w:t>
            </w:r>
          </w:p>
        </w:tc>
        <w:tc>
          <w:tcPr>
            <w:tcW w:w="340" w:type="dxa"/>
            <w:vAlign w:val="bottom"/>
          </w:tcPr>
          <w:p>
            <w:pPr>
              <w:spacing w:after="0"/>
              <w:rPr>
                <w:sz w:val="12"/>
                <w:szCs w:val="12"/>
                <w:color w:val="auto"/>
              </w:rPr>
            </w:pP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469.142</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jc w:val="right"/>
              <w:ind w:right="162"/>
              <w:spacing w:after="0" w:line="129" w:lineRule="exact"/>
              <w:rPr>
                <w:sz w:val="20"/>
                <w:szCs w:val="20"/>
                <w:color w:val="auto"/>
              </w:rPr>
            </w:pPr>
            <w:r>
              <w:rPr>
                <w:rFonts w:ascii="Times New Roman" w:cs="Times New Roman" w:eastAsia="Times New Roman" w:hAnsi="Times New Roman"/>
                <w:sz w:val="13"/>
                <w:szCs w:val="13"/>
                <w:color w:val="0000FF"/>
              </w:rPr>
              <w:t>469.142</w:t>
            </w:r>
          </w:p>
        </w:tc>
        <w:tc>
          <w:tcPr>
            <w:tcW w:w="52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-2446655</wp:posOffset>
            </wp:positionV>
            <wp:extent cx="29210" cy="245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173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65.755 shares acquired by the reporting person since the date of his last report under a dividend reinvestment feature of the account in which the shares are held.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62.654 net shares acquired under the dividend reinvestment feature of The Toro Company Retirement Plan less quarterly non-discretionary administrative fees.</w:t>
      </w:r>
    </w:p>
    <w:p>
      <w:pPr>
        <w:spacing w:after="0" w:line="43" w:lineRule="exact"/>
        <w:rPr>
          <w:rFonts w:ascii="Times New Roman" w:cs="Times New Roman" w:eastAsia="Times New Roman" w:hAnsi="Times New Roman"/>
          <w:sz w:val="13"/>
          <w:szCs w:val="13"/>
          <w:color w:val="008000"/>
        </w:rPr>
      </w:pPr>
    </w:p>
    <w:p>
      <w:pPr>
        <w:ind w:left="40" w:right="54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32.389 performance share units acquired by the reporting person since the date of his last report under the dividend reinvestment feature of The Toro Company Deferred Compensation Plan for Officers.</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4, 2015 grant date.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March 1, 2023 grant 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06/27/2025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300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99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7" w:right="359" w:bottom="0" w:gutter="0" w:footer="0" w:header="0"/>
          <w:type w:val="continuous"/>
        </w:sectPr>
      </w:pPr>
    </w:p>
    <w:bookmarkStart w:id="1" w:name="page2"/>
    <w:bookmarkEnd w:id="1"/>
    <w:p>
      <w:pPr>
        <w:jc w:val="both"/>
        <w:ind w:right="2539" w:firstLine="2"/>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81944"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2025-06-27T12:30:54Z</dcterms:created>
  <dcterms:modified xsi:type="dcterms:W3CDTF">2025-06-27T12:30:54Z</dcterms:modified>
</cp:coreProperties>
</file>