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146"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00"/>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ind w:left="3220"/>
        <w:spacing w:after="0"/>
        <w:rPr>
          <w:sz w:val="20"/>
          <w:szCs w:val="20"/>
          <w:color w:val="auto"/>
        </w:rPr>
      </w:pPr>
      <w:r>
        <w:rPr>
          <w:rFonts w:ascii="Arial" w:cs="Arial" w:eastAsia="Arial" w:hAnsi="Arial"/>
          <w:sz w:val="32"/>
          <w:szCs w:val="32"/>
          <w:b w:val="1"/>
          <w:bCs w:val="1"/>
          <w:color w:val="auto"/>
        </w:rPr>
        <w:t>SCHEDULE 14A INFORMATION</w:t>
      </w:r>
    </w:p>
    <w:p>
      <w:pPr>
        <w:spacing w:after="0" w:line="17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2"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Securities Exchange Act of 1934</w:t>
      </w:r>
    </w:p>
    <w:p>
      <w:pPr>
        <w:spacing w:after="0" w:line="211" w:lineRule="exact"/>
        <w:rPr>
          <w:sz w:val="24"/>
          <w:szCs w:val="24"/>
          <w:color w:val="auto"/>
        </w:rPr>
      </w:pPr>
    </w:p>
    <w:p>
      <w:pPr>
        <w:ind w:left="4660"/>
        <w:spacing w:after="0"/>
        <w:rPr>
          <w:sz w:val="20"/>
          <w:szCs w:val="20"/>
          <w:color w:val="auto"/>
        </w:rPr>
      </w:pPr>
      <w:r>
        <w:rPr>
          <w:rFonts w:ascii="Arial" w:cs="Arial" w:eastAsia="Arial" w:hAnsi="Arial"/>
          <w:sz w:val="22"/>
          <w:szCs w:val="22"/>
          <w:b w:val="1"/>
          <w:bCs w:val="1"/>
          <w:color w:val="auto"/>
        </w:rPr>
        <w:t>(Amendment No. )</w:t>
      </w:r>
    </w:p>
    <w:p>
      <w:pPr>
        <w:spacing w:after="0" w:line="134"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71"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9"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18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1"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18"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62" w:lineRule="exact"/>
        <w:rPr>
          <w:sz w:val="24"/>
          <w:szCs w:val="24"/>
          <w:color w:val="auto"/>
        </w:rPr>
      </w:pPr>
    </w:p>
    <w:p>
      <w:pPr>
        <w:ind w:left="3680"/>
        <w:spacing w:after="0"/>
        <w:rPr>
          <w:sz w:val="20"/>
          <w:szCs w:val="20"/>
          <w:color w:val="auto"/>
        </w:rPr>
      </w:pPr>
      <w:r>
        <w:rPr>
          <w:rFonts w:ascii="Arial" w:cs="Arial" w:eastAsia="Arial" w:hAnsi="Arial"/>
          <w:sz w:val="43"/>
          <w:szCs w:val="43"/>
          <w:b w:val="1"/>
          <w:bCs w:val="1"/>
          <w:color w:val="auto"/>
        </w:rPr>
        <w:t>The Toro Company</w:t>
      </w:r>
    </w:p>
    <w:p>
      <w:pPr>
        <w:spacing w:after="0" w:line="48"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94"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8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836295</wp:posOffset>
            </wp:positionV>
            <wp:extent cx="71748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71"/>
          <w:szCs w:val="71"/>
          <w:b w:val="1"/>
          <w:bCs w:val="1"/>
          <w:color w:val="C00000"/>
        </w:rPr>
        <w:t>The Toro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4859"/>
        <w:spacing w:after="0" w:line="262" w:lineRule="auto"/>
        <w:rPr>
          <w:sz w:val="20"/>
          <w:szCs w:val="20"/>
          <w:color w:val="auto"/>
        </w:rPr>
      </w:pPr>
      <w:r>
        <w:rPr>
          <w:rFonts w:ascii="Arial" w:cs="Arial" w:eastAsia="Arial" w:hAnsi="Arial"/>
          <w:sz w:val="46"/>
          <w:szCs w:val="46"/>
          <w:color w:val="auto"/>
        </w:rPr>
        <w:t>NOTICE OF 2023 ANNUAL MEETING AND</w:t>
      </w:r>
    </w:p>
    <w:p>
      <w:pPr>
        <w:spacing w:after="0" w:line="1" w:lineRule="exact"/>
        <w:rPr>
          <w:sz w:val="20"/>
          <w:szCs w:val="20"/>
          <w:color w:val="auto"/>
        </w:rPr>
      </w:pPr>
    </w:p>
    <w:p>
      <w:pPr>
        <w:spacing w:after="0"/>
        <w:rPr>
          <w:sz w:val="20"/>
          <w:szCs w:val="20"/>
          <w:color w:val="auto"/>
        </w:rPr>
      </w:pPr>
      <w:r>
        <w:rPr>
          <w:rFonts w:ascii="Arial" w:cs="Arial" w:eastAsia="Arial" w:hAnsi="Arial"/>
          <w:sz w:val="65"/>
          <w:szCs w:val="65"/>
          <w:color w:val="auto"/>
        </w:rPr>
        <w:t>PROXY STATEMENT</w:t>
      </w:r>
    </w:p>
    <w:p>
      <w:pPr>
        <w:spacing w:after="0" w:line="334" w:lineRule="exact"/>
        <w:rPr>
          <w:sz w:val="20"/>
          <w:szCs w:val="20"/>
          <w:color w:val="auto"/>
        </w:rPr>
      </w:pPr>
    </w:p>
    <w:p>
      <w:pPr>
        <w:spacing w:after="0"/>
        <w:rPr>
          <w:sz w:val="20"/>
          <w:szCs w:val="20"/>
          <w:color w:val="auto"/>
        </w:rPr>
      </w:pPr>
      <w:r>
        <w:rPr>
          <w:rFonts w:ascii="Arial" w:cs="Arial" w:eastAsia="Arial" w:hAnsi="Arial"/>
          <w:sz w:val="43"/>
          <w:szCs w:val="43"/>
          <w:color w:val="auto"/>
        </w:rPr>
        <w:t>FOR MARCH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3908425</wp:posOffset>
            </wp:positionV>
            <wp:extent cx="71748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2181225</wp:posOffset>
            </wp:positionV>
            <wp:extent cx="5666105" cy="7289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66105" cy="72898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488950</wp:posOffset>
            </wp:positionV>
            <wp:extent cx="1225550" cy="822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555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Worldwide Headquarters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8111 Lyndale Avenue South</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Bloomington, MN 55420-1196</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952-888-8801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February 7, 2023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Shareholders:</w:t>
      </w:r>
    </w:p>
    <w:p>
      <w:pPr>
        <w:spacing w:after="0" w:line="212" w:lineRule="exact"/>
        <w:rPr>
          <w:sz w:val="20"/>
          <w:szCs w:val="20"/>
          <w:color w:val="auto"/>
        </w:rPr>
      </w:pPr>
    </w:p>
    <w:p>
      <w:pPr>
        <w:ind w:right="560" w:firstLine="401"/>
        <w:spacing w:after="0" w:line="301" w:lineRule="auto"/>
        <w:rPr>
          <w:sz w:val="20"/>
          <w:szCs w:val="20"/>
          <w:color w:val="auto"/>
        </w:rPr>
      </w:pPr>
      <w:r>
        <w:rPr>
          <w:rFonts w:ascii="Arial" w:cs="Arial" w:eastAsia="Arial" w:hAnsi="Arial"/>
          <w:sz w:val="17"/>
          <w:szCs w:val="17"/>
          <w:color w:val="auto"/>
        </w:rPr>
        <w:t>On behalf of The Toro Company Board of Directors and management team, we are pleased to invite you to join us for The Toro Company 2023 Annual Meeting of Shareholders to be held virtually on Tuesday, March 21, 2023, at 2:00 p.m., Central Daylight Time.</w:t>
      </w:r>
    </w:p>
    <w:p>
      <w:pPr>
        <w:spacing w:after="0" w:line="131" w:lineRule="exact"/>
        <w:rPr>
          <w:sz w:val="20"/>
          <w:szCs w:val="20"/>
          <w:color w:val="auto"/>
        </w:rPr>
      </w:pPr>
    </w:p>
    <w:p>
      <w:pPr>
        <w:ind w:firstLine="401"/>
        <w:spacing w:after="0" w:line="253" w:lineRule="auto"/>
        <w:rPr>
          <w:sz w:val="20"/>
          <w:szCs w:val="20"/>
          <w:color w:val="auto"/>
        </w:rPr>
      </w:pPr>
      <w:r>
        <w:rPr>
          <w:rFonts w:ascii="Arial" w:cs="Arial" w:eastAsia="Arial" w:hAnsi="Arial"/>
          <w:sz w:val="18"/>
          <w:szCs w:val="18"/>
          <w:color w:val="auto"/>
        </w:rPr>
        <w:t>Details about the annual meeting, nominees for election to the Board of Directors and other matters to be acted on at the annual meeting are presented in the notice and proxy statement that follow. Information regarding attending the virtual annual meeting can be found on page 1 of the proxy statement.</w:t>
      </w:r>
    </w:p>
    <w:p>
      <w:pPr>
        <w:spacing w:after="0" w:line="169" w:lineRule="exact"/>
        <w:rPr>
          <w:sz w:val="20"/>
          <w:szCs w:val="20"/>
          <w:color w:val="auto"/>
        </w:rPr>
      </w:pPr>
    </w:p>
    <w:p>
      <w:pPr>
        <w:jc w:val="both"/>
        <w:ind w:right="20" w:firstLine="401"/>
        <w:spacing w:after="0" w:line="253" w:lineRule="auto"/>
        <w:rPr>
          <w:sz w:val="20"/>
          <w:szCs w:val="20"/>
          <w:color w:val="auto"/>
        </w:rPr>
      </w:pPr>
      <w:r>
        <w:rPr>
          <w:rFonts w:ascii="Arial" w:cs="Arial" w:eastAsia="Arial" w:hAnsi="Arial"/>
          <w:sz w:val="18"/>
          <w:szCs w:val="18"/>
          <w:color w:val="auto"/>
        </w:rPr>
        <w:t>It is important that your shares be represented at the annual meeting, regardless of the number of shares you hold. Accordingly, please exercise your right to vote by following the instructions for voting contained in the Notice Regarding the Availability of Proxy Materials or the paper or electronic copy of our proxy materials you received for the meeting.</w:t>
      </w:r>
    </w:p>
    <w:p>
      <w:pPr>
        <w:spacing w:after="0" w:line="16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Thank you for your continued support of our Company.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43180</wp:posOffset>
            </wp:positionV>
            <wp:extent cx="1457325" cy="497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732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8"/>
          <w:szCs w:val="18"/>
          <w:color w:val="C00000"/>
        </w:rPr>
        <w:t>Richard M. Olson</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of the Board,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left="400" w:right="740"/>
        <w:spacing w:after="0" w:line="250" w:lineRule="auto"/>
        <w:rPr>
          <w:sz w:val="20"/>
          <w:szCs w:val="20"/>
          <w:color w:val="auto"/>
        </w:rPr>
      </w:pPr>
      <w:r>
        <w:rPr>
          <w:rFonts w:ascii="Arial" w:cs="Arial" w:eastAsia="Arial" w:hAnsi="Arial"/>
          <w:sz w:val="18"/>
          <w:szCs w:val="18"/>
          <w:b w:val="1"/>
          <w:bCs w:val="1"/>
          <w:color w:val="C00000"/>
        </w:rPr>
        <w:t>You can help us make a difference by eliminating paper proxy mailings. With your consent, we will provide all future proxy materials electronically. Instructions for consenting to electronic delivery can be found on your proxy card or at www.proxyvote.com. Your consent to receive shareholder materials electronically will remain in effect until canceled.</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ind w:right="2699"/>
        <w:spacing w:after="0"/>
        <w:rPr>
          <w:sz w:val="20"/>
          <w:szCs w:val="20"/>
          <w:color w:val="auto"/>
        </w:rPr>
      </w:pPr>
      <w:r>
        <w:rPr>
          <w:rFonts w:ascii="Arial" w:cs="Arial" w:eastAsia="Arial" w:hAnsi="Arial"/>
          <w:sz w:val="18"/>
          <w:szCs w:val="18"/>
          <w:color w:val="auto"/>
        </w:rPr>
        <w:t>[THIS PAGE INTENTIONALLY LEFT BLANK]</w:t>
      </w:r>
    </w:p>
    <w:p>
      <w:pPr>
        <w:spacing w:after="0" w:line="200" w:lineRule="exact"/>
        <w:rPr>
          <w:sz w:val="20"/>
          <w:szCs w:val="20"/>
          <w:color w:val="auto"/>
        </w:rPr>
      </w:pPr>
    </w:p>
    <w:p>
      <w:pPr>
        <w:spacing w:after="0" w:line="22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214630</wp:posOffset>
            </wp:positionV>
            <wp:extent cx="1225550" cy="822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2555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NOTICE OF 2023 ANNUAL MEETING OF SHAREHOLDERS</w:t>
      </w:r>
    </w:p>
    <w:p>
      <w:pPr>
        <w:sectPr>
          <w:pgSz w:w="11900" w:h="16838" w:orient="portrait"/>
          <w:cols w:equalWidth="0" w:num="1">
            <w:col w:w="11220"/>
          </w:cols>
          <w:pgMar w:left="320" w:top="122" w:right="359" w:bottom="1440" w:gutter="0" w:footer="0" w:header="0"/>
        </w:sect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C00000"/>
        </w:rPr>
        <w:t>Tuesday, March 21, 2023</w:t>
      </w:r>
    </w:p>
    <w:p>
      <w:pPr>
        <w:spacing w:after="0" w:line="74" w:lineRule="exact"/>
        <w:rPr>
          <w:sz w:val="20"/>
          <w:szCs w:val="20"/>
          <w:color w:val="auto"/>
        </w:rPr>
      </w:pPr>
    </w:p>
    <w:p>
      <w:pPr>
        <w:sectPr>
          <w:pgSz w:w="11900" w:h="16838" w:orient="portrait"/>
          <w:cols w:equalWidth="0" w:num="2">
            <w:col w:w="580" w:space="720"/>
            <w:col w:w="9920"/>
          </w:cols>
          <w:pgMar w:left="320" w:top="122" w:right="3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C00000"/>
        </w:rPr>
        <w:t>2:00 p.m., Central Daylight Time</w:t>
      </w:r>
    </w:p>
    <w:p>
      <w:pPr>
        <w:spacing w:after="0" w:line="63" w:lineRule="exact"/>
        <w:rPr>
          <w:sz w:val="20"/>
          <w:szCs w:val="20"/>
          <w:color w:val="auto"/>
        </w:rPr>
      </w:pPr>
    </w:p>
    <w:p>
      <w:pPr>
        <w:sectPr>
          <w:pgSz w:w="11900" w:h="16838" w:orient="portrait"/>
          <w:cols w:equalWidth="0" w:num="2">
            <w:col w:w="580" w:space="720"/>
            <w:col w:w="9920"/>
          </w:cols>
          <w:pgMar w:left="320" w:top="122" w:right="35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Location: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C00000"/>
        </w:rPr>
        <w:t>Virtual</w:t>
      </w:r>
    </w:p>
    <w:p>
      <w:pPr>
        <w:spacing w:after="0" w:line="61" w:lineRule="exact"/>
        <w:rPr>
          <w:sz w:val="20"/>
          <w:szCs w:val="20"/>
          <w:color w:val="auto"/>
        </w:rPr>
      </w:pPr>
    </w:p>
    <w:p>
      <w:pPr>
        <w:sectPr>
          <w:pgSz w:w="11900" w:h="16838" w:orient="portrait"/>
          <w:cols w:equalWidth="0" w:num="2">
            <w:col w:w="820" w:space="480"/>
            <w:col w:w="9920"/>
          </w:cols>
          <w:pgMar w:left="320" w:top="122" w:right="359" w:bottom="1440" w:gutter="0" w:footer="0" w:header="0"/>
          <w:type w:val="continuous"/>
        </w:sectPr>
      </w:pPr>
    </w:p>
    <w:p>
      <w:pPr>
        <w:ind w:left="1300"/>
        <w:spacing w:after="0"/>
        <w:rPr>
          <w:sz w:val="20"/>
          <w:szCs w:val="20"/>
          <w:color w:val="auto"/>
        </w:rPr>
      </w:pPr>
      <w:r>
        <w:rPr>
          <w:rFonts w:ascii="Arial" w:cs="Arial" w:eastAsia="Arial" w:hAnsi="Arial"/>
          <w:sz w:val="17"/>
          <w:szCs w:val="17"/>
          <w:color w:val="C00000"/>
        </w:rPr>
        <w:t>www.virtualshareholdermeeting.com/TTC2023</w:t>
      </w:r>
    </w:p>
    <w:p>
      <w:pPr>
        <w:sectPr>
          <w:pgSz w:w="11900" w:h="16838" w:orient="portrait"/>
          <w:cols w:equalWidth="0" w:num="1">
            <w:col w:w="11220"/>
          </w:cols>
          <w:pgMar w:left="320" w:top="12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300" w:right="60" w:hanging="1619"/>
        <w:spacing w:after="0" w:line="271" w:lineRule="auto"/>
        <w:tabs>
          <w:tab w:leader="none" w:pos="1280" w:val="left"/>
        </w:tabs>
        <w:rPr>
          <w:sz w:val="20"/>
          <w:szCs w:val="20"/>
          <w:color w:val="auto"/>
        </w:rPr>
      </w:pPr>
      <w:r>
        <w:rPr>
          <w:rFonts w:ascii="Arial" w:cs="Arial" w:eastAsia="Arial" w:hAnsi="Arial"/>
          <w:sz w:val="18"/>
          <w:szCs w:val="18"/>
          <w:b w:val="1"/>
          <w:bCs w:val="1"/>
          <w:color w:val="auto"/>
        </w:rPr>
        <w:t>Agenda:</w:t>
      </w:r>
      <w:r>
        <w:rPr>
          <w:sz w:val="20"/>
          <w:szCs w:val="20"/>
          <w:color w:val="auto"/>
        </w:rPr>
        <w:tab/>
      </w:r>
      <w:r>
        <w:rPr>
          <w:rFonts w:ascii="Arial" w:cs="Arial" w:eastAsia="Arial" w:hAnsi="Arial"/>
          <w:sz w:val="18"/>
          <w:szCs w:val="18"/>
          <w:color w:val="C00000"/>
        </w:rPr>
        <w:t xml:space="preserve">1. </w:t>
      </w:r>
      <w:r>
        <w:rPr>
          <w:rFonts w:ascii="Arial" w:cs="Arial" w:eastAsia="Arial" w:hAnsi="Arial"/>
          <w:sz w:val="18"/>
          <w:szCs w:val="18"/>
          <w:color w:val="000000"/>
        </w:rPr>
        <w:t>To elect as directors the three nominees named in the proxy statement, each to serve for a term of three years ending at</w:t>
      </w:r>
      <w:r>
        <w:rPr>
          <w:rFonts w:ascii="Arial" w:cs="Arial" w:eastAsia="Arial" w:hAnsi="Arial"/>
          <w:sz w:val="18"/>
          <w:szCs w:val="18"/>
          <w:color w:val="C00000"/>
        </w:rPr>
        <w:t xml:space="preserve"> </w:t>
      </w:r>
      <w:r>
        <w:rPr>
          <w:rFonts w:ascii="Arial" w:cs="Arial" w:eastAsia="Arial" w:hAnsi="Arial"/>
          <w:sz w:val="18"/>
          <w:szCs w:val="18"/>
          <w:color w:val="000000"/>
        </w:rPr>
        <w:t>the 2026 Annual Meeting of Shareholders;</w:t>
      </w:r>
    </w:p>
    <w:p>
      <w:pPr>
        <w:spacing w:after="0" w:line="5" w:lineRule="exact"/>
        <w:rPr>
          <w:sz w:val="20"/>
          <w:szCs w:val="20"/>
          <w:color w:val="auto"/>
        </w:rPr>
      </w:pPr>
    </w:p>
    <w:p>
      <w:pPr>
        <w:ind w:left="1620" w:right="520" w:hanging="316"/>
        <w:spacing w:after="0" w:line="271" w:lineRule="auto"/>
        <w:tabs>
          <w:tab w:leader="none" w:pos="1596" w:val="left"/>
        </w:tabs>
        <w:numPr>
          <w:ilvl w:val="0"/>
          <w:numId w:val="4"/>
        </w:numPr>
        <w:rPr>
          <w:rFonts w:ascii="Arial" w:cs="Arial" w:eastAsia="Arial" w:hAnsi="Arial"/>
          <w:sz w:val="18"/>
          <w:szCs w:val="18"/>
          <w:color w:val="C00000"/>
        </w:rPr>
      </w:pPr>
      <w:r>
        <w:rPr>
          <w:rFonts w:ascii="Arial" w:cs="Arial" w:eastAsia="Arial" w:hAnsi="Arial"/>
          <w:sz w:val="18"/>
          <w:szCs w:val="18"/>
          <w:color w:val="auto"/>
        </w:rPr>
        <w:t>To ratify the selection of KPMG LLP as our independent registered public accounting firm for our fiscal year ending October 31, 2023;</w:t>
      </w:r>
    </w:p>
    <w:p>
      <w:pPr>
        <w:spacing w:after="0" w:line="5" w:lineRule="exact"/>
        <w:rPr>
          <w:rFonts w:ascii="Arial" w:cs="Arial" w:eastAsia="Arial" w:hAnsi="Arial"/>
          <w:sz w:val="18"/>
          <w:szCs w:val="18"/>
          <w:color w:val="C00000"/>
        </w:rPr>
      </w:pPr>
    </w:p>
    <w:p>
      <w:pPr>
        <w:ind w:left="1600" w:hanging="296"/>
        <w:spacing w:after="0"/>
        <w:tabs>
          <w:tab w:leader="none" w:pos="1600" w:val="left"/>
        </w:tabs>
        <w:numPr>
          <w:ilvl w:val="0"/>
          <w:numId w:val="4"/>
        </w:numPr>
        <w:rPr>
          <w:rFonts w:ascii="Arial" w:cs="Arial" w:eastAsia="Arial" w:hAnsi="Arial"/>
          <w:sz w:val="18"/>
          <w:szCs w:val="18"/>
          <w:color w:val="C00000"/>
        </w:rPr>
      </w:pPr>
      <w:r>
        <w:rPr>
          <w:rFonts w:ascii="Arial" w:cs="Arial" w:eastAsia="Arial" w:hAnsi="Arial"/>
          <w:sz w:val="18"/>
          <w:szCs w:val="18"/>
          <w:color w:val="auto"/>
        </w:rPr>
        <w:t>To approve, on an advisory basis, our executive compensation;</w:t>
      </w:r>
    </w:p>
    <w:p>
      <w:pPr>
        <w:spacing w:after="0" w:line="76" w:lineRule="exact"/>
        <w:rPr>
          <w:rFonts w:ascii="Arial" w:cs="Arial" w:eastAsia="Arial" w:hAnsi="Arial"/>
          <w:sz w:val="18"/>
          <w:szCs w:val="18"/>
          <w:color w:val="C00000"/>
        </w:rPr>
      </w:pPr>
    </w:p>
    <w:p>
      <w:pPr>
        <w:ind w:left="1600" w:hanging="296"/>
        <w:spacing w:after="0"/>
        <w:tabs>
          <w:tab w:leader="none" w:pos="1600" w:val="left"/>
        </w:tabs>
        <w:numPr>
          <w:ilvl w:val="0"/>
          <w:numId w:val="4"/>
        </w:numPr>
        <w:rPr>
          <w:rFonts w:ascii="Arial" w:cs="Arial" w:eastAsia="Arial" w:hAnsi="Arial"/>
          <w:sz w:val="18"/>
          <w:szCs w:val="18"/>
          <w:color w:val="C00000"/>
        </w:rPr>
      </w:pPr>
      <w:r>
        <w:rPr>
          <w:rFonts w:ascii="Arial" w:cs="Arial" w:eastAsia="Arial" w:hAnsi="Arial"/>
          <w:sz w:val="18"/>
          <w:szCs w:val="18"/>
          <w:color w:val="auto"/>
        </w:rPr>
        <w:t>To approve, on an advisory basis, the frequency of the advisory approval of our executive compensation; and</w:t>
      </w:r>
    </w:p>
    <w:p>
      <w:pPr>
        <w:spacing w:after="0" w:line="76" w:lineRule="exact"/>
        <w:rPr>
          <w:rFonts w:ascii="Arial" w:cs="Arial" w:eastAsia="Arial" w:hAnsi="Arial"/>
          <w:sz w:val="18"/>
          <w:szCs w:val="18"/>
          <w:color w:val="C00000"/>
        </w:rPr>
      </w:pPr>
    </w:p>
    <w:p>
      <w:pPr>
        <w:ind w:left="1620" w:right="180" w:hanging="316"/>
        <w:spacing w:after="0" w:line="271" w:lineRule="auto"/>
        <w:tabs>
          <w:tab w:leader="none" w:pos="1596" w:val="left"/>
        </w:tabs>
        <w:numPr>
          <w:ilvl w:val="0"/>
          <w:numId w:val="4"/>
        </w:numPr>
        <w:rPr>
          <w:rFonts w:ascii="Arial" w:cs="Arial" w:eastAsia="Arial" w:hAnsi="Arial"/>
          <w:sz w:val="18"/>
          <w:szCs w:val="18"/>
          <w:color w:val="C00000"/>
        </w:rPr>
      </w:pPr>
      <w:r>
        <w:rPr>
          <w:rFonts w:ascii="Arial" w:cs="Arial" w:eastAsia="Arial" w:hAnsi="Arial"/>
          <w:sz w:val="18"/>
          <w:szCs w:val="18"/>
          <w:color w:val="auto"/>
        </w:rPr>
        <w:t>To transact any other business properly brought before the annual meeting or any adjournment or postponement of the annual meeting.</w:t>
      </w:r>
    </w:p>
    <w:p>
      <w:pPr>
        <w:spacing w:after="0" w:line="59" w:lineRule="exact"/>
        <w:rPr>
          <w:sz w:val="20"/>
          <w:szCs w:val="20"/>
          <w:color w:val="auto"/>
        </w:rPr>
      </w:pPr>
    </w:p>
    <w:p>
      <w:pPr>
        <w:ind w:right="180" w:firstLine="401"/>
        <w:spacing w:after="0" w:line="242" w:lineRule="auto"/>
        <w:rPr>
          <w:sz w:val="20"/>
          <w:szCs w:val="20"/>
          <w:color w:val="auto"/>
        </w:rPr>
      </w:pPr>
      <w:r>
        <w:rPr>
          <w:rFonts w:ascii="Arial" w:cs="Arial" w:eastAsia="Arial" w:hAnsi="Arial"/>
          <w:sz w:val="18"/>
          <w:szCs w:val="18"/>
          <w:color w:val="auto"/>
        </w:rPr>
        <w:t>We currently are not aware of any other business to be brought before the annual meeting. Shareholders of record at the close of business on January 20, 2023, the record date, will be entitled to vote at the annual meeting or at any adjournment or postponement of the annual meeting. A shareholder list will be made available at our principal executive offices during ordinary business hours beginning March 10, 2023, for examination by any shareholder registered on our stock ledger as of the record date for any purpose germane to the annual meeting and will be open for examination by any shareholder electronically during the annual meeting at www.virtualshareholdermeeting.com/TTC2023 when you enter your 16-Digit Control Number.</w:t>
      </w:r>
    </w:p>
    <w:p>
      <w:pPr>
        <w:spacing w:after="0" w:line="71" w:lineRule="exact"/>
        <w:rPr>
          <w:sz w:val="20"/>
          <w:szCs w:val="20"/>
          <w:color w:val="auto"/>
        </w:rPr>
      </w:pPr>
    </w:p>
    <w:p>
      <w:pPr>
        <w:ind w:firstLine="401"/>
        <w:spacing w:after="0" w:line="266" w:lineRule="auto"/>
        <w:rPr>
          <w:sz w:val="20"/>
          <w:szCs w:val="20"/>
          <w:color w:val="auto"/>
        </w:rPr>
      </w:pPr>
      <w:r>
        <w:rPr>
          <w:rFonts w:ascii="Arial" w:cs="Arial" w:eastAsia="Arial" w:hAnsi="Arial"/>
          <w:sz w:val="17"/>
          <w:szCs w:val="17"/>
          <w:color w:val="auto"/>
        </w:rPr>
        <w:t>Your vote is important. A majority of the outstanding shares of our common stock must be present either by attending the virtual meeting or by proxy to constitute a quorum for the conduct of business. Please promptly vote your shares by following the instructions for voting contained in the Notice Regarding the Availability of Proxy Materials or, if you received a paper or electronic copy of our proxy materials, by completing, signing, dating and returning your proxy card or by Internet, telephone or mobile device voting as described on your proxy card.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February 7, 2023</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154940</wp:posOffset>
            </wp:positionV>
            <wp:extent cx="1354455" cy="437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5445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C00000"/>
        </w:rPr>
        <w:t>Amy E. Dahl</w:t>
      </w:r>
    </w:p>
    <w:p>
      <w:pPr>
        <w:spacing w:after="0" w:line="9" w:lineRule="exact"/>
        <w:rPr>
          <w:sz w:val="20"/>
          <w:szCs w:val="20"/>
          <w:color w:val="auto"/>
        </w:rPr>
      </w:pPr>
    </w:p>
    <w:p>
      <w:pPr>
        <w:jc w:val="center"/>
        <w:ind w:right="8560"/>
        <w:spacing w:after="0"/>
        <w:rPr>
          <w:sz w:val="20"/>
          <w:szCs w:val="20"/>
          <w:color w:val="auto"/>
        </w:rPr>
      </w:pPr>
      <w:r>
        <w:rPr>
          <w:rFonts w:ascii="Arial" w:cs="Arial" w:eastAsia="Arial" w:hAnsi="Arial"/>
          <w:sz w:val="18"/>
          <w:szCs w:val="18"/>
          <w:color w:val="auto"/>
        </w:rPr>
        <w:t>Vice President, General Counsel</w:t>
      </w:r>
    </w:p>
    <w:p>
      <w:pPr>
        <w:jc w:val="center"/>
        <w:ind w:right="8540"/>
        <w:spacing w:after="0"/>
        <w:rPr>
          <w:sz w:val="20"/>
          <w:szCs w:val="20"/>
          <w:color w:val="auto"/>
        </w:rPr>
      </w:pPr>
      <w:r>
        <w:rPr>
          <w:rFonts w:ascii="Arial" w:cs="Arial" w:eastAsia="Arial" w:hAnsi="Arial"/>
          <w:sz w:val="18"/>
          <w:szCs w:val="18"/>
          <w:color w:val="auto"/>
        </w:rPr>
        <w:t>and Corporate Secretary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9"/>
              </w:rPr>
              <w:t>LETTER TO SHAREHOLDERS</w:t>
            </w:r>
          </w:p>
        </w:tc>
        <w:tc>
          <w:tcPr>
            <w:tcW w:w="8340" w:type="dxa"/>
            <w:vAlign w:val="bottom"/>
            <w:gridSpan w:val="25"/>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50"/>
        </w:trPr>
        <w:tc>
          <w:tcPr>
            <w:tcW w:w="10880" w:type="dxa"/>
            <w:vAlign w:val="bottom"/>
            <w:gridSpan w:val="37"/>
          </w:tcPr>
          <w:p>
            <w:pPr>
              <w:spacing w:after="0"/>
              <w:rPr>
                <w:sz w:val="20"/>
                <w:szCs w:val="20"/>
                <w:color w:val="auto"/>
              </w:rPr>
            </w:pPr>
            <w:r>
              <w:rPr>
                <w:rFonts w:ascii="Arial" w:cs="Arial" w:eastAsia="Arial" w:hAnsi="Arial"/>
                <w:sz w:val="18"/>
                <w:szCs w:val="18"/>
                <w:color w:val="0000EE"/>
              </w:rPr>
              <w:t>NOTICE OF 2023 ANNUAL MEETING OF SHAREHOLDERS</w:t>
            </w:r>
          </w:p>
        </w:tc>
        <w:tc>
          <w:tcPr>
            <w:tcW w:w="36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20"/>
        </w:trPr>
        <w:tc>
          <w:tcPr>
            <w:tcW w:w="360" w:type="dxa"/>
            <w:vAlign w:val="bottom"/>
            <w:tcBorders>
              <w:right w:val="single" w:sz="8" w:color="0000EE"/>
            </w:tcBorders>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0880" w:type="dxa"/>
            <w:vAlign w:val="bottom"/>
            <w:gridSpan w:val="37"/>
          </w:tcPr>
          <w:p>
            <w:pPr>
              <w:spacing w:after="0"/>
              <w:rPr>
                <w:sz w:val="20"/>
                <w:szCs w:val="20"/>
                <w:color w:val="auto"/>
              </w:rPr>
            </w:pPr>
            <w:r>
              <w:rPr>
                <w:rFonts w:ascii="Arial" w:cs="Arial" w:eastAsia="Arial" w:hAnsi="Arial"/>
                <w:sz w:val="18"/>
                <w:szCs w:val="18"/>
                <w:color w:val="0000EE"/>
              </w:rPr>
              <w:t>THE TORO COMPANY HIGHLIGHTS AND PROXY STATEMENT EXECUTIVE SUMMARY</w:t>
            </w:r>
          </w:p>
        </w:tc>
        <w:tc>
          <w:tcPr>
            <w:tcW w:w="360" w:type="dxa"/>
            <w:vAlign w:val="bottom"/>
          </w:tcPr>
          <w:p>
            <w:pPr>
              <w:jc w:val="right"/>
              <w:spacing w:after="0"/>
              <w:rPr>
                <w:sz w:val="20"/>
                <w:szCs w:val="20"/>
                <w:color w:val="auto"/>
              </w:rPr>
            </w:pPr>
            <w:r>
              <w:rPr>
                <w:rFonts w:ascii="Arial" w:cs="Arial" w:eastAsia="Arial" w:hAnsi="Arial"/>
                <w:sz w:val="18"/>
                <w:szCs w:val="18"/>
                <w:color w:val="auto"/>
              </w:rPr>
              <w:t>xii</w:t>
            </w:r>
          </w:p>
        </w:tc>
      </w:tr>
      <w:tr>
        <w:trPr>
          <w:trHeight w:val="250"/>
        </w:trPr>
        <w:tc>
          <w:tcPr>
            <w:tcW w:w="360" w:type="dxa"/>
            <w:vAlign w:val="bottom"/>
            <w:tcBorders>
              <w:top w:val="single" w:sz="8" w:color="0000EE"/>
            </w:tcBorders>
          </w:tcPr>
          <w:p>
            <w:pPr>
              <w:spacing w:after="0"/>
              <w:rPr>
                <w:sz w:val="21"/>
                <w:szCs w:val="21"/>
                <w:color w:val="auto"/>
              </w:rPr>
            </w:pPr>
          </w:p>
        </w:tc>
        <w:tc>
          <w:tcPr>
            <w:tcW w:w="6920" w:type="dxa"/>
            <w:vAlign w:val="bottom"/>
            <w:tcBorders>
              <w:top w:val="single" w:sz="8" w:color="0000EE"/>
            </w:tcBorders>
            <w:gridSpan w:val="31"/>
          </w:tcPr>
          <w:p>
            <w:pPr>
              <w:spacing w:after="0"/>
              <w:rPr>
                <w:sz w:val="20"/>
                <w:szCs w:val="20"/>
                <w:color w:val="auto"/>
              </w:rPr>
            </w:pPr>
            <w:r>
              <w:rPr>
                <w:rFonts w:ascii="Arial" w:cs="Arial" w:eastAsia="Arial" w:hAnsi="Arial"/>
                <w:sz w:val="18"/>
                <w:szCs w:val="18"/>
                <w:color w:val="0000EE"/>
              </w:rPr>
              <w:t>Business Overview</w:t>
            </w:r>
          </w:p>
        </w:tc>
        <w:tc>
          <w:tcPr>
            <w:tcW w:w="3600" w:type="dxa"/>
            <w:vAlign w:val="bottom"/>
            <w:gridSpan w:val="5"/>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xii</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6640" w:type="dxa"/>
            <w:vAlign w:val="bottom"/>
            <w:tcBorders>
              <w:bottom w:val="single" w:sz="8" w:color="0000EE"/>
            </w:tcBorders>
            <w:gridSpan w:val="30"/>
          </w:tcPr>
          <w:p>
            <w:pPr>
              <w:spacing w:after="0"/>
              <w:rPr>
                <w:sz w:val="20"/>
                <w:szCs w:val="20"/>
                <w:color w:val="auto"/>
              </w:rPr>
            </w:pPr>
            <w:r>
              <w:rPr>
                <w:rFonts w:ascii="Arial" w:cs="Arial" w:eastAsia="Arial" w:hAnsi="Arial"/>
                <w:sz w:val="18"/>
                <w:szCs w:val="18"/>
                <w:color w:val="0000EE"/>
                <w:w w:val="99"/>
              </w:rPr>
              <w:t>Highlights of Our Financial, Operational and Strategic Achievements for Fiscal 2022</w:t>
            </w:r>
          </w:p>
        </w:tc>
        <w:tc>
          <w:tcPr>
            <w:tcW w:w="3880" w:type="dxa"/>
            <w:vAlign w:val="bottom"/>
            <w:gridSpan w:val="6"/>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xii</w:t>
            </w:r>
          </w:p>
        </w:tc>
      </w:tr>
      <w:tr>
        <w:trPr>
          <w:trHeight w:val="250"/>
        </w:trPr>
        <w:tc>
          <w:tcPr>
            <w:tcW w:w="360" w:type="dxa"/>
            <w:vAlign w:val="bottom"/>
          </w:tcPr>
          <w:p>
            <w:pPr>
              <w:spacing w:after="0"/>
              <w:rPr>
                <w:sz w:val="21"/>
                <w:szCs w:val="21"/>
                <w:color w:val="auto"/>
              </w:rPr>
            </w:pPr>
          </w:p>
        </w:tc>
        <w:tc>
          <w:tcPr>
            <w:tcW w:w="10520" w:type="dxa"/>
            <w:vAlign w:val="bottom"/>
            <w:gridSpan w:val="36"/>
          </w:tcPr>
          <w:p>
            <w:pPr>
              <w:spacing w:after="0"/>
              <w:rPr>
                <w:sz w:val="20"/>
                <w:szCs w:val="20"/>
                <w:color w:val="auto"/>
              </w:rPr>
            </w:pPr>
            <w:r>
              <w:rPr>
                <w:rFonts w:ascii="Arial" w:cs="Arial" w:eastAsia="Arial" w:hAnsi="Arial"/>
                <w:sz w:val="18"/>
                <w:szCs w:val="18"/>
                <w:color w:val="0000EE"/>
              </w:rPr>
              <w:t>The Toro Company’s Commitment to Sustainability</w:t>
            </w:r>
          </w:p>
        </w:tc>
        <w:tc>
          <w:tcPr>
            <w:tcW w:w="360" w:type="dxa"/>
            <w:vAlign w:val="bottom"/>
          </w:tcPr>
          <w:p>
            <w:pPr>
              <w:jc w:val="right"/>
              <w:spacing w:after="0"/>
              <w:rPr>
                <w:sz w:val="20"/>
                <w:szCs w:val="20"/>
                <w:color w:val="auto"/>
              </w:rPr>
            </w:pPr>
            <w:r>
              <w:rPr>
                <w:rFonts w:ascii="Arial" w:cs="Arial" w:eastAsia="Arial" w:hAnsi="Arial"/>
                <w:sz w:val="18"/>
                <w:szCs w:val="18"/>
                <w:color w:val="auto"/>
              </w:rPr>
              <w:t>xiii</w:t>
            </w:r>
          </w:p>
        </w:tc>
      </w:tr>
      <w:tr>
        <w:trPr>
          <w:trHeight w:val="250"/>
        </w:trPr>
        <w:tc>
          <w:tcPr>
            <w:tcW w:w="360" w:type="dxa"/>
            <w:vAlign w:val="bottom"/>
          </w:tcPr>
          <w:p>
            <w:pPr>
              <w:spacing w:after="0"/>
              <w:rPr>
                <w:sz w:val="21"/>
                <w:szCs w:val="21"/>
                <w:color w:val="auto"/>
              </w:rPr>
            </w:pPr>
          </w:p>
        </w:tc>
        <w:tc>
          <w:tcPr>
            <w:tcW w:w="3000" w:type="dxa"/>
            <w:vAlign w:val="bottom"/>
            <w:tcBorders>
              <w:top w:val="single" w:sz="8" w:color="0000EE"/>
              <w:bottom w:val="single" w:sz="8" w:color="0000EE"/>
            </w:tcBorders>
            <w:gridSpan w:val="16"/>
          </w:tcPr>
          <w:p>
            <w:pPr>
              <w:spacing w:after="0"/>
              <w:rPr>
                <w:sz w:val="20"/>
                <w:szCs w:val="20"/>
                <w:color w:val="auto"/>
              </w:rPr>
            </w:pPr>
            <w:r>
              <w:rPr>
                <w:rFonts w:ascii="Arial" w:cs="Arial" w:eastAsia="Arial" w:hAnsi="Arial"/>
                <w:sz w:val="18"/>
                <w:szCs w:val="18"/>
                <w:color w:val="0000EE"/>
                <w:w w:val="98"/>
              </w:rPr>
              <w:t>2023 Annual Meeting of Shareholders</w:t>
            </w:r>
          </w:p>
        </w:tc>
        <w:tc>
          <w:tcPr>
            <w:tcW w:w="1000" w:type="dxa"/>
            <w:vAlign w:val="bottom"/>
            <w:tcBorders>
              <w:top w:val="single" w:sz="8" w:color="0000EE"/>
            </w:tcBorders>
            <w:gridSpan w:val="6"/>
          </w:tcPr>
          <w:p>
            <w:pPr>
              <w:spacing w:after="0"/>
              <w:rPr>
                <w:sz w:val="21"/>
                <w:szCs w:val="21"/>
                <w:color w:val="auto"/>
              </w:rPr>
            </w:pPr>
          </w:p>
        </w:tc>
        <w:tc>
          <w:tcPr>
            <w:tcW w:w="6520" w:type="dxa"/>
            <w:vAlign w:val="bottom"/>
            <w:gridSpan w:val="14"/>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xiii</w:t>
            </w:r>
          </w:p>
        </w:tc>
      </w:tr>
      <w:tr>
        <w:trPr>
          <w:trHeight w:val="250"/>
        </w:trPr>
        <w:tc>
          <w:tcPr>
            <w:tcW w:w="360" w:type="dxa"/>
            <w:vAlign w:val="bottom"/>
          </w:tcPr>
          <w:p>
            <w:pPr>
              <w:spacing w:after="0"/>
              <w:rPr>
                <w:sz w:val="21"/>
                <w:szCs w:val="21"/>
                <w:color w:val="auto"/>
              </w:rPr>
            </w:pPr>
          </w:p>
        </w:tc>
        <w:tc>
          <w:tcPr>
            <w:tcW w:w="10520" w:type="dxa"/>
            <w:vAlign w:val="bottom"/>
            <w:gridSpan w:val="36"/>
          </w:tcPr>
          <w:p>
            <w:pPr>
              <w:spacing w:after="0"/>
              <w:rPr>
                <w:sz w:val="20"/>
                <w:szCs w:val="20"/>
                <w:color w:val="auto"/>
              </w:rPr>
            </w:pPr>
            <w:r>
              <w:rPr>
                <w:rFonts w:ascii="Arial" w:cs="Arial" w:eastAsia="Arial" w:hAnsi="Arial"/>
                <w:sz w:val="18"/>
                <w:szCs w:val="18"/>
                <w:color w:val="0000EE"/>
              </w:rPr>
              <w:t>Meeting Agenda Voting Matters and Recommendations</w:t>
            </w:r>
          </w:p>
        </w:tc>
        <w:tc>
          <w:tcPr>
            <w:tcW w:w="360" w:type="dxa"/>
            <w:vAlign w:val="bottom"/>
          </w:tcPr>
          <w:p>
            <w:pPr>
              <w:jc w:val="right"/>
              <w:spacing w:after="0"/>
              <w:rPr>
                <w:sz w:val="20"/>
                <w:szCs w:val="20"/>
                <w:color w:val="auto"/>
              </w:rPr>
            </w:pPr>
            <w:r>
              <w:rPr>
                <w:rFonts w:ascii="Arial" w:cs="Arial" w:eastAsia="Arial" w:hAnsi="Arial"/>
                <w:sz w:val="18"/>
                <w:szCs w:val="18"/>
                <w:color w:val="auto"/>
              </w:rPr>
              <w:t>xiv</w:t>
            </w:r>
          </w:p>
        </w:tc>
      </w:tr>
      <w:tr>
        <w:trPr>
          <w:trHeight w:val="250"/>
        </w:trPr>
        <w:tc>
          <w:tcPr>
            <w:tcW w:w="360" w:type="dxa"/>
            <w:vAlign w:val="bottom"/>
          </w:tcPr>
          <w:p>
            <w:pPr>
              <w:spacing w:after="0"/>
              <w:rPr>
                <w:sz w:val="21"/>
                <w:szCs w:val="21"/>
                <w:color w:val="auto"/>
              </w:rPr>
            </w:pPr>
          </w:p>
        </w:tc>
        <w:tc>
          <w:tcPr>
            <w:tcW w:w="178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6"/>
              </w:rPr>
              <w:t>How to Cast Your Vote</w:t>
            </w:r>
          </w:p>
        </w:tc>
        <w:tc>
          <w:tcPr>
            <w:tcW w:w="2600" w:type="dxa"/>
            <w:vAlign w:val="bottom"/>
            <w:tcBorders>
              <w:top w:val="single" w:sz="8" w:color="0000EE"/>
            </w:tcBorders>
            <w:gridSpan w:val="20"/>
          </w:tcPr>
          <w:p>
            <w:pPr>
              <w:spacing w:after="0"/>
              <w:rPr>
                <w:sz w:val="21"/>
                <w:szCs w:val="21"/>
                <w:color w:val="auto"/>
              </w:rPr>
            </w:pPr>
          </w:p>
        </w:tc>
        <w:tc>
          <w:tcPr>
            <w:tcW w:w="6140" w:type="dxa"/>
            <w:vAlign w:val="bottom"/>
            <w:gridSpan w:val="12"/>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xiv</w:t>
            </w:r>
          </w:p>
        </w:tc>
      </w:tr>
      <w:tr>
        <w:trPr>
          <w:trHeight w:val="250"/>
        </w:trPr>
        <w:tc>
          <w:tcPr>
            <w:tcW w:w="360" w:type="dxa"/>
            <w:vAlign w:val="bottom"/>
          </w:tcPr>
          <w:p>
            <w:pPr>
              <w:spacing w:after="0"/>
              <w:rPr>
                <w:sz w:val="21"/>
                <w:szCs w:val="21"/>
                <w:color w:val="auto"/>
              </w:rPr>
            </w:pPr>
          </w:p>
        </w:tc>
        <w:tc>
          <w:tcPr>
            <w:tcW w:w="10520" w:type="dxa"/>
            <w:vAlign w:val="bottom"/>
            <w:gridSpan w:val="36"/>
          </w:tcPr>
          <w:p>
            <w:pPr>
              <w:spacing w:after="0"/>
              <w:rPr>
                <w:sz w:val="20"/>
                <w:szCs w:val="20"/>
                <w:color w:val="auto"/>
              </w:rPr>
            </w:pPr>
            <w:r>
              <w:rPr>
                <w:rFonts w:ascii="Arial" w:cs="Arial" w:eastAsia="Arial" w:hAnsi="Arial"/>
                <w:sz w:val="18"/>
                <w:szCs w:val="18"/>
                <w:color w:val="0000EE"/>
              </w:rPr>
              <w:t>Corporate Governance Highlights</w:t>
            </w:r>
          </w:p>
        </w:tc>
        <w:tc>
          <w:tcPr>
            <w:tcW w:w="360" w:type="dxa"/>
            <w:vAlign w:val="bottom"/>
          </w:tcPr>
          <w:p>
            <w:pPr>
              <w:jc w:val="right"/>
              <w:spacing w:after="0"/>
              <w:rPr>
                <w:sz w:val="20"/>
                <w:szCs w:val="20"/>
                <w:color w:val="auto"/>
              </w:rPr>
            </w:pPr>
            <w:r>
              <w:rPr>
                <w:rFonts w:ascii="Arial" w:cs="Arial" w:eastAsia="Arial" w:hAnsi="Arial"/>
                <w:sz w:val="18"/>
                <w:szCs w:val="18"/>
                <w:color w:val="auto"/>
              </w:rPr>
              <w:t>xiv</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10520" w:type="dxa"/>
            <w:vAlign w:val="bottom"/>
            <w:gridSpan w:val="36"/>
          </w:tcPr>
          <w:p>
            <w:pPr>
              <w:spacing w:after="0"/>
              <w:rPr>
                <w:sz w:val="20"/>
                <w:szCs w:val="20"/>
                <w:color w:val="auto"/>
              </w:rPr>
            </w:pPr>
            <w:r>
              <w:rPr>
                <w:rFonts w:ascii="Arial" w:cs="Arial" w:eastAsia="Arial" w:hAnsi="Arial"/>
                <w:sz w:val="18"/>
                <w:szCs w:val="18"/>
                <w:color w:val="0000EE"/>
              </w:rPr>
              <w:t>Information About Our Board of Directors</w:t>
            </w:r>
          </w:p>
        </w:tc>
        <w:tc>
          <w:tcPr>
            <w:tcW w:w="360" w:type="dxa"/>
            <w:vAlign w:val="bottom"/>
          </w:tcPr>
          <w:p>
            <w:pPr>
              <w:jc w:val="right"/>
              <w:spacing w:after="0"/>
              <w:rPr>
                <w:sz w:val="20"/>
                <w:szCs w:val="20"/>
                <w:color w:val="auto"/>
              </w:rPr>
            </w:pPr>
            <w:r>
              <w:rPr>
                <w:rFonts w:ascii="Arial" w:cs="Arial" w:eastAsia="Arial" w:hAnsi="Arial"/>
                <w:sz w:val="18"/>
                <w:szCs w:val="18"/>
                <w:color w:val="auto"/>
              </w:rPr>
              <w:t>xv</w:t>
            </w:r>
          </w:p>
        </w:tc>
      </w:tr>
      <w:tr>
        <w:trPr>
          <w:trHeight w:val="250"/>
        </w:trPr>
        <w:tc>
          <w:tcPr>
            <w:tcW w:w="360" w:type="dxa"/>
            <w:vAlign w:val="bottom"/>
          </w:tcPr>
          <w:p>
            <w:pPr>
              <w:spacing w:after="0"/>
              <w:rPr>
                <w:sz w:val="21"/>
                <w:szCs w:val="21"/>
                <w:color w:val="auto"/>
              </w:rPr>
            </w:pPr>
          </w:p>
        </w:tc>
        <w:tc>
          <w:tcPr>
            <w:tcW w:w="3240" w:type="dxa"/>
            <w:vAlign w:val="bottom"/>
            <w:tcBorders>
              <w:top w:val="single" w:sz="8" w:color="0000EE"/>
            </w:tcBorders>
            <w:gridSpan w:val="18"/>
          </w:tcPr>
          <w:p>
            <w:pPr>
              <w:spacing w:after="0"/>
              <w:rPr>
                <w:sz w:val="20"/>
                <w:szCs w:val="20"/>
                <w:color w:val="auto"/>
              </w:rPr>
            </w:pPr>
            <w:r>
              <w:rPr>
                <w:rFonts w:ascii="Arial" w:cs="Arial" w:eastAsia="Arial" w:hAnsi="Arial"/>
                <w:sz w:val="18"/>
                <w:szCs w:val="18"/>
                <w:color w:val="0000EE"/>
              </w:rPr>
              <w:t>Executive Compensation</w:t>
            </w:r>
          </w:p>
        </w:tc>
        <w:tc>
          <w:tcPr>
            <w:tcW w:w="7280" w:type="dxa"/>
            <w:vAlign w:val="bottom"/>
            <w:gridSpan w:val="18"/>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xvi</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376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8"/>
              </w:rPr>
              <w:t>Fiscal 2022 Executive Compensation Summary</w:t>
            </w:r>
          </w:p>
        </w:tc>
        <w:tc>
          <w:tcPr>
            <w:tcW w:w="6760" w:type="dxa"/>
            <w:vAlign w:val="bottom"/>
            <w:gridSpan w:val="15"/>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xvi</w:t>
            </w:r>
          </w:p>
        </w:tc>
      </w:tr>
      <w:tr>
        <w:trPr>
          <w:trHeight w:val="250"/>
        </w:trPr>
        <w:tc>
          <w:tcPr>
            <w:tcW w:w="17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8"/>
              </w:rPr>
              <w:t>PROXY STATEMENT</w:t>
            </w:r>
          </w:p>
        </w:tc>
        <w:tc>
          <w:tcPr>
            <w:tcW w:w="9120" w:type="dxa"/>
            <w:vAlign w:val="bottom"/>
            <w:gridSpan w:val="35"/>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6520" w:type="dxa"/>
            <w:vAlign w:val="bottom"/>
            <w:tcBorders>
              <w:bottom w:val="single" w:sz="8" w:color="0000EE"/>
            </w:tcBorders>
            <w:gridSpan w:val="29"/>
          </w:tcPr>
          <w:p>
            <w:pPr>
              <w:spacing w:after="0"/>
              <w:rPr>
                <w:sz w:val="20"/>
                <w:szCs w:val="20"/>
                <w:color w:val="auto"/>
              </w:rPr>
            </w:pPr>
            <w:r>
              <w:rPr>
                <w:rFonts w:ascii="Arial" w:cs="Arial" w:eastAsia="Arial" w:hAnsi="Arial"/>
                <w:sz w:val="18"/>
                <w:szCs w:val="18"/>
                <w:color w:val="0000EE"/>
                <w:w w:val="99"/>
              </w:rPr>
              <w:t>GENERAL INFORMATION ABOUT THE 2023 ANNUAL MEETING AND VOTING</w:t>
            </w:r>
          </w:p>
        </w:tc>
        <w:tc>
          <w:tcPr>
            <w:tcW w:w="4360" w:type="dxa"/>
            <w:vAlign w:val="bottom"/>
            <w:gridSpan w:val="8"/>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360" w:type="dxa"/>
            <w:vAlign w:val="bottom"/>
          </w:tcPr>
          <w:p>
            <w:pPr>
              <w:spacing w:after="0"/>
              <w:rPr>
                <w:sz w:val="20"/>
                <w:szCs w:val="20"/>
                <w:color w:val="auto"/>
              </w:rPr>
            </w:pPr>
          </w:p>
        </w:tc>
        <w:tc>
          <w:tcPr>
            <w:tcW w:w="10520" w:type="dxa"/>
            <w:vAlign w:val="bottom"/>
            <w:gridSpan w:val="36"/>
          </w:tcPr>
          <w:p>
            <w:pPr>
              <w:spacing w:after="0"/>
              <w:rPr>
                <w:sz w:val="20"/>
                <w:szCs w:val="20"/>
                <w:color w:val="auto"/>
              </w:rPr>
            </w:pPr>
            <w:r>
              <w:rPr>
                <w:rFonts w:ascii="Arial" w:cs="Arial" w:eastAsia="Arial" w:hAnsi="Arial"/>
                <w:sz w:val="18"/>
                <w:szCs w:val="18"/>
                <w:color w:val="0000EE"/>
              </w:rPr>
              <w:t>Important Notice Regarding the Availability of Proxy Materials for the Shareholder Meeting To Be Held on Tuesday, March 21, 2023</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6"/>
        </w:trPr>
        <w:tc>
          <w:tcPr>
            <w:tcW w:w="360" w:type="dxa"/>
            <w:vAlign w:val="bottom"/>
          </w:tcPr>
          <w:p>
            <w:pPr>
              <w:spacing w:after="0"/>
              <w:rPr>
                <w:sz w:val="20"/>
                <w:szCs w:val="20"/>
                <w:color w:val="auto"/>
              </w:rPr>
            </w:pPr>
          </w:p>
        </w:tc>
        <w:tc>
          <w:tcPr>
            <w:tcW w:w="10380" w:type="dxa"/>
            <w:vAlign w:val="bottom"/>
            <w:tcBorders>
              <w:top w:val="single" w:sz="8" w:color="0000EE"/>
            </w:tcBorders>
            <w:gridSpan w:val="35"/>
          </w:tcPr>
          <w:p>
            <w:pPr>
              <w:spacing w:after="0"/>
              <w:rPr>
                <w:sz w:val="20"/>
                <w:szCs w:val="20"/>
                <w:color w:val="auto"/>
              </w:rPr>
            </w:pPr>
            <w:r>
              <w:rPr>
                <w:rFonts w:ascii="Arial" w:cs="Arial" w:eastAsia="Arial" w:hAnsi="Arial"/>
                <w:sz w:val="18"/>
                <w:szCs w:val="18"/>
                <w:color w:val="0000EE"/>
              </w:rPr>
              <w:t>When and Where Will the Annual Meeting Be Held?</w:t>
            </w:r>
          </w:p>
        </w:tc>
        <w:tc>
          <w:tcPr>
            <w:tcW w:w="1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360" w:type="dxa"/>
            <w:vAlign w:val="bottom"/>
          </w:tcPr>
          <w:p>
            <w:pPr>
              <w:spacing w:after="0"/>
              <w:rPr>
                <w:sz w:val="20"/>
                <w:szCs w:val="20"/>
                <w:color w:val="auto"/>
              </w:rPr>
            </w:pPr>
          </w:p>
        </w:tc>
        <w:tc>
          <w:tcPr>
            <w:tcW w:w="4120" w:type="dxa"/>
            <w:vAlign w:val="bottom"/>
            <w:tcBorders>
              <w:top w:val="single" w:sz="8" w:color="0000EE"/>
            </w:tcBorders>
            <w:gridSpan w:val="23"/>
          </w:tcPr>
          <w:p>
            <w:pPr>
              <w:spacing w:after="0"/>
              <w:rPr>
                <w:sz w:val="20"/>
                <w:szCs w:val="20"/>
                <w:color w:val="auto"/>
              </w:rPr>
            </w:pPr>
            <w:r>
              <w:rPr>
                <w:rFonts w:ascii="Arial" w:cs="Arial" w:eastAsia="Arial" w:hAnsi="Arial"/>
                <w:sz w:val="18"/>
                <w:szCs w:val="18"/>
                <w:color w:val="0000EE"/>
              </w:rPr>
              <w:t>How Can I Attend the Virtual Annual Meeting?</w:t>
            </w:r>
          </w:p>
        </w:tc>
        <w:tc>
          <w:tcPr>
            <w:tcW w:w="6400" w:type="dxa"/>
            <w:vAlign w:val="bottom"/>
            <w:gridSpan w:val="13"/>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36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7"/>
        </w:trPr>
        <w:tc>
          <w:tcPr>
            <w:tcW w:w="360" w:type="dxa"/>
            <w:vAlign w:val="bottom"/>
          </w:tcPr>
          <w:p>
            <w:pPr>
              <w:spacing w:after="0"/>
              <w:rPr>
                <w:sz w:val="20"/>
                <w:szCs w:val="20"/>
                <w:color w:val="auto"/>
              </w:rPr>
            </w:pPr>
          </w:p>
        </w:tc>
        <w:tc>
          <w:tcPr>
            <w:tcW w:w="376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9"/>
              </w:rPr>
              <w:t>What Are the Purposes of the Annual Meeting?</w:t>
            </w:r>
          </w:p>
        </w:tc>
        <w:tc>
          <w:tcPr>
            <w:tcW w:w="6760" w:type="dxa"/>
            <w:vAlign w:val="bottom"/>
            <w:gridSpan w:val="15"/>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360" w:type="dxa"/>
            <w:vAlign w:val="bottom"/>
          </w:tcPr>
          <w:p>
            <w:pPr>
              <w:spacing w:after="0"/>
              <w:rPr>
                <w:sz w:val="20"/>
                <w:szCs w:val="20"/>
                <w:color w:val="auto"/>
              </w:rPr>
            </w:pPr>
          </w:p>
        </w:tc>
        <w:tc>
          <w:tcPr>
            <w:tcW w:w="10520" w:type="dxa"/>
            <w:vAlign w:val="bottom"/>
            <w:gridSpan w:val="36"/>
          </w:tcPr>
          <w:p>
            <w:pPr>
              <w:spacing w:after="0"/>
              <w:rPr>
                <w:sz w:val="20"/>
                <w:szCs w:val="20"/>
                <w:color w:val="auto"/>
              </w:rPr>
            </w:pPr>
            <w:r>
              <w:rPr>
                <w:rFonts w:ascii="Arial" w:cs="Arial" w:eastAsia="Arial" w:hAnsi="Arial"/>
                <w:sz w:val="18"/>
                <w:szCs w:val="18"/>
                <w:color w:val="0000EE"/>
              </w:rPr>
              <w:t>Are There Any Matters To Be Voted On at the Annual Meeting that Are Not Included in this Proxy Statement?</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6"/>
        </w:trPr>
        <w:tc>
          <w:tcPr>
            <w:tcW w:w="360" w:type="dxa"/>
            <w:vAlign w:val="bottom"/>
          </w:tcPr>
          <w:p>
            <w:pPr>
              <w:spacing w:after="0"/>
              <w:rPr>
                <w:sz w:val="20"/>
                <w:szCs w:val="20"/>
                <w:color w:val="auto"/>
              </w:rPr>
            </w:pPr>
          </w:p>
        </w:tc>
        <w:tc>
          <w:tcPr>
            <w:tcW w:w="7400" w:type="dxa"/>
            <w:vAlign w:val="bottom"/>
            <w:tcBorders>
              <w:top w:val="single" w:sz="8" w:color="0000EE"/>
              <w:bottom w:val="single" w:sz="8" w:color="0000EE"/>
            </w:tcBorders>
            <w:gridSpan w:val="33"/>
          </w:tcPr>
          <w:p>
            <w:pPr>
              <w:spacing w:after="0"/>
              <w:rPr>
                <w:sz w:val="20"/>
                <w:szCs w:val="20"/>
                <w:color w:val="auto"/>
              </w:rPr>
            </w:pPr>
            <w:r>
              <w:rPr>
                <w:rFonts w:ascii="Arial" w:cs="Arial" w:eastAsia="Arial" w:hAnsi="Arial"/>
                <w:sz w:val="18"/>
                <w:szCs w:val="18"/>
                <w:color w:val="0000EE"/>
                <w:w w:val="99"/>
              </w:rPr>
              <w:t>Who Is Entitled to Vote and How Many Shares Must Be Present to Hold the Annual Meeting?</w:t>
            </w:r>
          </w:p>
        </w:tc>
        <w:tc>
          <w:tcPr>
            <w:tcW w:w="1260" w:type="dxa"/>
            <w:vAlign w:val="bottom"/>
            <w:tcBorders>
              <w:top w:val="single" w:sz="8" w:color="0000EE"/>
            </w:tcBorders>
          </w:tcPr>
          <w:p>
            <w:pPr>
              <w:spacing w:after="0"/>
              <w:rPr>
                <w:sz w:val="20"/>
                <w:szCs w:val="20"/>
                <w:color w:val="auto"/>
              </w:rPr>
            </w:pPr>
          </w:p>
        </w:tc>
        <w:tc>
          <w:tcPr>
            <w:tcW w:w="1860" w:type="dxa"/>
            <w:vAlign w:val="bottom"/>
            <w:gridSpan w:val="2"/>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6"/>
        </w:trPr>
        <w:tc>
          <w:tcPr>
            <w:tcW w:w="360" w:type="dxa"/>
            <w:vAlign w:val="bottom"/>
          </w:tcPr>
          <w:p>
            <w:pPr>
              <w:spacing w:after="0"/>
              <w:rPr>
                <w:sz w:val="20"/>
                <w:szCs w:val="20"/>
                <w:color w:val="auto"/>
              </w:rPr>
            </w:pPr>
          </w:p>
        </w:tc>
        <w:tc>
          <w:tcPr>
            <w:tcW w:w="216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8"/>
              </w:rPr>
              <w:t>How Do I Vote My Shares?</w:t>
            </w:r>
          </w:p>
        </w:tc>
        <w:tc>
          <w:tcPr>
            <w:tcW w:w="8360" w:type="dxa"/>
            <w:vAlign w:val="bottom"/>
            <w:gridSpan w:val="26"/>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360" w:type="dxa"/>
            <w:vAlign w:val="bottom"/>
          </w:tcPr>
          <w:p>
            <w:pPr>
              <w:spacing w:after="0"/>
              <w:rPr>
                <w:sz w:val="20"/>
                <w:szCs w:val="20"/>
                <w:color w:val="auto"/>
              </w:rPr>
            </w:pPr>
          </w:p>
        </w:tc>
        <w:tc>
          <w:tcPr>
            <w:tcW w:w="10520" w:type="dxa"/>
            <w:vAlign w:val="bottom"/>
            <w:gridSpan w:val="36"/>
          </w:tcPr>
          <w:p>
            <w:pPr>
              <w:spacing w:after="0"/>
              <w:rPr>
                <w:sz w:val="20"/>
                <w:szCs w:val="20"/>
                <w:color w:val="auto"/>
              </w:rPr>
            </w:pPr>
            <w:r>
              <w:rPr>
                <w:rFonts w:ascii="Arial" w:cs="Arial" w:eastAsia="Arial" w:hAnsi="Arial"/>
                <w:sz w:val="18"/>
                <w:szCs w:val="18"/>
                <w:color w:val="0000EE"/>
              </w:rPr>
              <w:t>How Does the Board Recommend that I Vote and What Vote is Required for Each Proposal?</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360" w:type="dxa"/>
            <w:vAlign w:val="bottom"/>
          </w:tcPr>
          <w:p>
            <w:pPr>
              <w:spacing w:after="0"/>
              <w:rPr>
                <w:sz w:val="20"/>
                <w:szCs w:val="20"/>
                <w:color w:val="auto"/>
              </w:rPr>
            </w:pPr>
          </w:p>
        </w:tc>
        <w:tc>
          <w:tcPr>
            <w:tcW w:w="7360" w:type="dxa"/>
            <w:vAlign w:val="bottom"/>
            <w:tcBorders>
              <w:top w:val="single" w:sz="8" w:color="0000EE"/>
            </w:tcBorders>
            <w:gridSpan w:val="32"/>
          </w:tcPr>
          <w:p>
            <w:pPr>
              <w:spacing w:after="0"/>
              <w:rPr>
                <w:sz w:val="20"/>
                <w:szCs w:val="20"/>
                <w:color w:val="auto"/>
              </w:rPr>
            </w:pPr>
            <w:r>
              <w:rPr>
                <w:rFonts w:ascii="Arial" w:cs="Arial" w:eastAsia="Arial" w:hAnsi="Arial"/>
                <w:sz w:val="18"/>
                <w:szCs w:val="18"/>
                <w:color w:val="0000EE"/>
              </w:rPr>
              <w:t>How Will My Shares Be Voted?</w:t>
            </w:r>
          </w:p>
        </w:tc>
        <w:tc>
          <w:tcPr>
            <w:tcW w:w="3160" w:type="dxa"/>
            <w:vAlign w:val="bottom"/>
            <w:gridSpan w:val="4"/>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36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6"/>
        </w:trPr>
        <w:tc>
          <w:tcPr>
            <w:tcW w:w="360" w:type="dxa"/>
            <w:vAlign w:val="bottom"/>
          </w:tcPr>
          <w:p>
            <w:pPr>
              <w:spacing w:after="0"/>
              <w:rPr>
                <w:sz w:val="20"/>
                <w:szCs w:val="20"/>
                <w:color w:val="auto"/>
              </w:rPr>
            </w:pPr>
          </w:p>
        </w:tc>
        <w:tc>
          <w:tcPr>
            <w:tcW w:w="6480" w:type="dxa"/>
            <w:vAlign w:val="bottom"/>
            <w:tcBorders>
              <w:bottom w:val="single" w:sz="8" w:color="0000EE"/>
            </w:tcBorders>
            <w:gridSpan w:val="29"/>
          </w:tcPr>
          <w:p>
            <w:pPr>
              <w:spacing w:after="0"/>
              <w:rPr>
                <w:sz w:val="20"/>
                <w:szCs w:val="20"/>
                <w:color w:val="auto"/>
              </w:rPr>
            </w:pPr>
            <w:r>
              <w:rPr>
                <w:rFonts w:ascii="Arial" w:cs="Arial" w:eastAsia="Arial" w:hAnsi="Arial"/>
                <w:sz w:val="18"/>
                <w:szCs w:val="18"/>
                <w:color w:val="0000EE"/>
                <w:w w:val="99"/>
              </w:rPr>
              <w:t>What Does It Mean If I Receive More Than One Notice or Set of Proxy Materials?</w:t>
            </w:r>
          </w:p>
        </w:tc>
        <w:tc>
          <w:tcPr>
            <w:tcW w:w="4040" w:type="dxa"/>
            <w:vAlign w:val="bottom"/>
            <w:gridSpan w:val="7"/>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360" w:type="dxa"/>
            <w:vAlign w:val="bottom"/>
          </w:tcPr>
          <w:p>
            <w:pPr>
              <w:spacing w:after="0"/>
              <w:rPr>
                <w:sz w:val="20"/>
                <w:szCs w:val="20"/>
                <w:color w:val="auto"/>
              </w:rPr>
            </w:pPr>
          </w:p>
        </w:tc>
        <w:tc>
          <w:tcPr>
            <w:tcW w:w="10520" w:type="dxa"/>
            <w:vAlign w:val="bottom"/>
            <w:gridSpan w:val="36"/>
          </w:tcPr>
          <w:p>
            <w:pPr>
              <w:spacing w:after="0"/>
              <w:rPr>
                <w:sz w:val="20"/>
                <w:szCs w:val="20"/>
                <w:color w:val="auto"/>
              </w:rPr>
            </w:pPr>
            <w:r>
              <w:rPr>
                <w:rFonts w:ascii="Arial" w:cs="Arial" w:eastAsia="Arial" w:hAnsi="Arial"/>
                <w:sz w:val="18"/>
                <w:szCs w:val="18"/>
                <w:color w:val="0000EE"/>
              </w:rPr>
              <w:t>How Can I Revoke or Change My Vote?</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6"/>
        </w:trPr>
        <w:tc>
          <w:tcPr>
            <w:tcW w:w="360" w:type="dxa"/>
            <w:vAlign w:val="bottom"/>
          </w:tcPr>
          <w:p>
            <w:pPr>
              <w:spacing w:after="0"/>
              <w:rPr>
                <w:sz w:val="20"/>
                <w:szCs w:val="20"/>
                <w:color w:val="auto"/>
              </w:rPr>
            </w:pPr>
          </w:p>
        </w:tc>
        <w:tc>
          <w:tcPr>
            <w:tcW w:w="214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8"/>
                <w:szCs w:val="18"/>
                <w:color w:val="0000EE"/>
                <w:w w:val="98"/>
              </w:rPr>
              <w:t>Who Will Count the Votes?</w:t>
            </w:r>
          </w:p>
        </w:tc>
        <w:tc>
          <w:tcPr>
            <w:tcW w:w="1040" w:type="dxa"/>
            <w:vAlign w:val="bottom"/>
            <w:tcBorders>
              <w:top w:val="single" w:sz="8" w:color="0000EE"/>
            </w:tcBorders>
            <w:gridSpan w:val="8"/>
          </w:tcPr>
          <w:p>
            <w:pPr>
              <w:spacing w:after="0"/>
              <w:rPr>
                <w:sz w:val="20"/>
                <w:szCs w:val="20"/>
                <w:color w:val="auto"/>
              </w:rPr>
            </w:pPr>
          </w:p>
        </w:tc>
        <w:tc>
          <w:tcPr>
            <w:tcW w:w="7340" w:type="dxa"/>
            <w:vAlign w:val="bottom"/>
            <w:gridSpan w:val="19"/>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360" w:type="dxa"/>
            <w:vAlign w:val="bottom"/>
          </w:tcPr>
          <w:p>
            <w:pPr>
              <w:spacing w:after="0"/>
              <w:rPr>
                <w:sz w:val="20"/>
                <w:szCs w:val="20"/>
                <w:color w:val="auto"/>
              </w:rPr>
            </w:pPr>
          </w:p>
        </w:tc>
        <w:tc>
          <w:tcPr>
            <w:tcW w:w="10520" w:type="dxa"/>
            <w:vAlign w:val="bottom"/>
            <w:gridSpan w:val="36"/>
          </w:tcPr>
          <w:p>
            <w:pPr>
              <w:spacing w:after="0"/>
              <w:rPr>
                <w:sz w:val="20"/>
                <w:szCs w:val="20"/>
                <w:color w:val="auto"/>
              </w:rPr>
            </w:pPr>
            <w:r>
              <w:rPr>
                <w:rFonts w:ascii="Arial" w:cs="Arial" w:eastAsia="Arial" w:hAnsi="Arial"/>
                <w:sz w:val="18"/>
                <w:szCs w:val="18"/>
                <w:color w:val="0000EE"/>
              </w:rPr>
              <w:t>How Will Business Be Conducted at the Annual Meeting?</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36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70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6"/>
        </w:trPr>
        <w:tc>
          <w:tcPr>
            <w:tcW w:w="360" w:type="dxa"/>
            <w:vAlign w:val="bottom"/>
          </w:tcPr>
          <w:p>
            <w:pPr>
              <w:spacing w:after="0"/>
              <w:rPr>
                <w:sz w:val="20"/>
                <w:szCs w:val="20"/>
                <w:color w:val="auto"/>
              </w:rPr>
            </w:pPr>
          </w:p>
        </w:tc>
        <w:tc>
          <w:tcPr>
            <w:tcW w:w="5820" w:type="dxa"/>
            <w:vAlign w:val="bottom"/>
            <w:tcBorders>
              <w:bottom w:val="single" w:sz="8" w:color="0000EE"/>
            </w:tcBorders>
            <w:gridSpan w:val="27"/>
          </w:tcPr>
          <w:p>
            <w:pPr>
              <w:spacing w:after="0"/>
              <w:rPr>
                <w:sz w:val="20"/>
                <w:szCs w:val="20"/>
                <w:color w:val="auto"/>
              </w:rPr>
            </w:pPr>
            <w:r>
              <w:rPr>
                <w:rFonts w:ascii="Arial" w:cs="Arial" w:eastAsia="Arial" w:hAnsi="Arial"/>
                <w:sz w:val="18"/>
                <w:szCs w:val="18"/>
                <w:color w:val="0000EE"/>
                <w:w w:val="99"/>
              </w:rPr>
              <w:t>How Can I Ask Questions in Advance of and During the Annual Meeting?</w:t>
            </w:r>
          </w:p>
        </w:tc>
        <w:tc>
          <w:tcPr>
            <w:tcW w:w="4700" w:type="dxa"/>
            <w:vAlign w:val="bottom"/>
            <w:gridSpan w:val="9"/>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0"/>
        </w:trPr>
        <w:tc>
          <w:tcPr>
            <w:tcW w:w="10880" w:type="dxa"/>
            <w:vAlign w:val="bottom"/>
            <w:gridSpan w:val="37"/>
          </w:tcPr>
          <w:p>
            <w:pPr>
              <w:spacing w:after="0"/>
              <w:rPr>
                <w:sz w:val="20"/>
                <w:szCs w:val="20"/>
                <w:color w:val="auto"/>
              </w:rPr>
            </w:pPr>
            <w:r>
              <w:rPr>
                <w:rFonts w:ascii="Arial" w:cs="Arial" w:eastAsia="Arial" w:hAnsi="Arial"/>
                <w:sz w:val="18"/>
                <w:szCs w:val="18"/>
                <w:color w:val="0000EE"/>
              </w:rPr>
              <w:t>PROPOSAL ONE—ELECTION OF DIRECTORS</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360" w:type="dxa"/>
            <w:vAlign w:val="bottom"/>
            <w:tcBorders>
              <w:top w:val="single" w:sz="8" w:color="0000EE"/>
            </w:tcBorders>
          </w:tcPr>
          <w:p>
            <w:pPr>
              <w:spacing w:after="0"/>
              <w:rPr>
                <w:sz w:val="20"/>
                <w:szCs w:val="20"/>
                <w:color w:val="auto"/>
              </w:rPr>
            </w:pPr>
          </w:p>
        </w:tc>
        <w:tc>
          <w:tcPr>
            <w:tcW w:w="3560" w:type="dxa"/>
            <w:vAlign w:val="bottom"/>
            <w:tcBorders>
              <w:top w:val="single" w:sz="8" w:color="0000EE"/>
            </w:tcBorders>
            <w:gridSpan w:val="19"/>
          </w:tcPr>
          <w:p>
            <w:pPr>
              <w:spacing w:after="0"/>
              <w:rPr>
                <w:sz w:val="20"/>
                <w:szCs w:val="20"/>
                <w:color w:val="auto"/>
              </w:rPr>
            </w:pPr>
            <w:r>
              <w:rPr>
                <w:rFonts w:ascii="Arial" w:cs="Arial" w:eastAsia="Arial" w:hAnsi="Arial"/>
                <w:sz w:val="18"/>
                <w:szCs w:val="18"/>
                <w:color w:val="0000EE"/>
              </w:rPr>
              <w:t>Board Size and Structure</w:t>
            </w:r>
          </w:p>
        </w:tc>
        <w:tc>
          <w:tcPr>
            <w:tcW w:w="6960" w:type="dxa"/>
            <w:vAlign w:val="bottom"/>
            <w:gridSpan w:val="17"/>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6"/>
        </w:trPr>
        <w:tc>
          <w:tcPr>
            <w:tcW w:w="360" w:type="dxa"/>
            <w:vAlign w:val="bottom"/>
          </w:tcPr>
          <w:p>
            <w:pPr>
              <w:spacing w:after="0"/>
              <w:rPr>
                <w:sz w:val="20"/>
                <w:szCs w:val="20"/>
                <w:color w:val="auto"/>
              </w:rPr>
            </w:pPr>
          </w:p>
        </w:tc>
        <w:tc>
          <w:tcPr>
            <w:tcW w:w="200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rPr>
              <w:t>Nominees for Director</w:t>
            </w:r>
          </w:p>
        </w:tc>
        <w:tc>
          <w:tcPr>
            <w:tcW w:w="8520" w:type="dxa"/>
            <w:vAlign w:val="bottom"/>
            <w:gridSpan w:val="29"/>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36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740" w:type="dxa"/>
            <w:vAlign w:val="bottom"/>
            <w:gridSpan w:val="8"/>
          </w:tcPr>
          <w:p>
            <w:pPr>
              <w:spacing w:after="0" w:line="20" w:lineRule="exact"/>
              <w:rPr>
                <w:sz w:val="1"/>
                <w:szCs w:val="1"/>
                <w:color w:val="auto"/>
              </w:rPr>
            </w:pPr>
          </w:p>
        </w:tc>
        <w:tc>
          <w:tcPr>
            <w:tcW w:w="554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7"/>
        </w:trPr>
        <w:tc>
          <w:tcPr>
            <w:tcW w:w="360" w:type="dxa"/>
            <w:vAlign w:val="bottom"/>
          </w:tcPr>
          <w:p>
            <w:pPr>
              <w:spacing w:after="0"/>
              <w:rPr>
                <w:sz w:val="20"/>
                <w:szCs w:val="20"/>
                <w:color w:val="auto"/>
              </w:rPr>
            </w:pPr>
          </w:p>
        </w:tc>
        <w:tc>
          <w:tcPr>
            <w:tcW w:w="19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8"/>
              </w:rPr>
              <w:t>Board Recommendation</w:t>
            </w:r>
          </w:p>
        </w:tc>
        <w:tc>
          <w:tcPr>
            <w:tcW w:w="8560" w:type="dxa"/>
            <w:vAlign w:val="bottom"/>
            <w:gridSpan w:val="30"/>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6"/>
        </w:trPr>
        <w:tc>
          <w:tcPr>
            <w:tcW w:w="360" w:type="dxa"/>
            <w:vAlign w:val="bottom"/>
          </w:tcPr>
          <w:p>
            <w:pPr>
              <w:spacing w:after="0"/>
              <w:rPr>
                <w:sz w:val="20"/>
                <w:szCs w:val="20"/>
                <w:color w:val="auto"/>
              </w:rPr>
            </w:pPr>
          </w:p>
        </w:tc>
        <w:tc>
          <w:tcPr>
            <w:tcW w:w="10520" w:type="dxa"/>
            <w:vAlign w:val="bottom"/>
            <w:gridSpan w:val="36"/>
          </w:tcPr>
          <w:p>
            <w:pPr>
              <w:spacing w:after="0"/>
              <w:rPr>
                <w:sz w:val="20"/>
                <w:szCs w:val="20"/>
                <w:color w:val="auto"/>
              </w:rPr>
            </w:pPr>
            <w:r>
              <w:rPr>
                <w:rFonts w:ascii="Arial" w:cs="Arial" w:eastAsia="Arial" w:hAnsi="Arial"/>
                <w:sz w:val="18"/>
                <w:szCs w:val="18"/>
                <w:color w:val="0000EE"/>
              </w:rPr>
              <w:t>Information About Director Nominees and Continuing Directors</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36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740" w:type="dxa"/>
            <w:vAlign w:val="bottom"/>
            <w:gridSpan w:val="8"/>
            <w:shd w:val="clear" w:color="auto" w:fill="0000EE"/>
          </w:tcPr>
          <w:p>
            <w:pPr>
              <w:spacing w:after="0" w:line="20" w:lineRule="exact"/>
              <w:rPr>
                <w:sz w:val="1"/>
                <w:szCs w:val="1"/>
                <w:color w:val="auto"/>
              </w:rPr>
            </w:pPr>
          </w:p>
        </w:tc>
        <w:tc>
          <w:tcPr>
            <w:tcW w:w="554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0880" w:type="dxa"/>
            <w:vAlign w:val="bottom"/>
            <w:gridSpan w:val="37"/>
          </w:tcPr>
          <w:p>
            <w:pPr>
              <w:spacing w:after="0"/>
              <w:rPr>
                <w:sz w:val="20"/>
                <w:szCs w:val="20"/>
                <w:color w:val="auto"/>
              </w:rPr>
            </w:pPr>
            <w:r>
              <w:rPr>
                <w:rFonts w:ascii="Arial" w:cs="Arial" w:eastAsia="Arial" w:hAnsi="Arial"/>
                <w:sz w:val="18"/>
                <w:szCs w:val="18"/>
                <w:color w:val="0000EE"/>
              </w:rPr>
              <w:t>CORPORATE GOVERNANCE</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360" w:type="dxa"/>
            <w:vAlign w:val="bottom"/>
            <w:tcBorders>
              <w:right w:val="single" w:sz="8" w:color="0000EE"/>
            </w:tcBorders>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7280" w:type="dxa"/>
            <w:vAlign w:val="bottom"/>
            <w:gridSpan w:val="1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7"/>
        </w:trPr>
        <w:tc>
          <w:tcPr>
            <w:tcW w:w="360" w:type="dxa"/>
            <w:vAlign w:val="bottom"/>
          </w:tcPr>
          <w:p>
            <w:pPr>
              <w:spacing w:after="0"/>
              <w:rPr>
                <w:sz w:val="20"/>
                <w:szCs w:val="20"/>
                <w:color w:val="auto"/>
              </w:rPr>
            </w:pPr>
          </w:p>
        </w:tc>
        <w:tc>
          <w:tcPr>
            <w:tcW w:w="10520" w:type="dxa"/>
            <w:vAlign w:val="bottom"/>
            <w:gridSpan w:val="36"/>
          </w:tcPr>
          <w:p>
            <w:pPr>
              <w:spacing w:after="0"/>
              <w:rPr>
                <w:sz w:val="20"/>
                <w:szCs w:val="20"/>
                <w:color w:val="auto"/>
              </w:rPr>
            </w:pPr>
            <w:r>
              <w:rPr>
                <w:rFonts w:ascii="Arial" w:cs="Arial" w:eastAsia="Arial" w:hAnsi="Arial"/>
                <w:sz w:val="18"/>
                <w:szCs w:val="18"/>
                <w:color w:val="0000EE"/>
              </w:rPr>
              <w:t>Corporate Governance Guidelines</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360" w:type="dxa"/>
            <w:vAlign w:val="bottom"/>
          </w:tcPr>
          <w:p>
            <w:pPr>
              <w:spacing w:after="0"/>
              <w:rPr>
                <w:sz w:val="20"/>
                <w:szCs w:val="20"/>
                <w:color w:val="auto"/>
              </w:rPr>
            </w:pPr>
          </w:p>
        </w:tc>
        <w:tc>
          <w:tcPr>
            <w:tcW w:w="2200" w:type="dxa"/>
            <w:vAlign w:val="bottom"/>
            <w:tcBorders>
              <w:top w:val="single" w:sz="8" w:color="0000EE"/>
              <w:bottom w:val="single" w:sz="8" w:color="0000EE"/>
            </w:tcBorders>
            <w:gridSpan w:val="12"/>
          </w:tcPr>
          <w:p>
            <w:pPr>
              <w:spacing w:after="0"/>
              <w:rPr>
                <w:sz w:val="20"/>
                <w:szCs w:val="20"/>
                <w:color w:val="auto"/>
              </w:rPr>
            </w:pPr>
            <w:r>
              <w:rPr>
                <w:rFonts w:ascii="Arial" w:cs="Arial" w:eastAsia="Arial" w:hAnsi="Arial"/>
                <w:sz w:val="18"/>
                <w:szCs w:val="18"/>
                <w:color w:val="0000EE"/>
                <w:w w:val="99"/>
              </w:rPr>
              <w:t>Board Leadership Structure</w:t>
            </w:r>
          </w:p>
        </w:tc>
        <w:tc>
          <w:tcPr>
            <w:tcW w:w="520" w:type="dxa"/>
            <w:vAlign w:val="bottom"/>
            <w:tcBorders>
              <w:top w:val="single" w:sz="8" w:color="0000EE"/>
            </w:tcBorders>
            <w:gridSpan w:val="3"/>
          </w:tcPr>
          <w:p>
            <w:pPr>
              <w:spacing w:after="0"/>
              <w:rPr>
                <w:sz w:val="20"/>
                <w:szCs w:val="20"/>
                <w:color w:val="auto"/>
              </w:rPr>
            </w:pPr>
          </w:p>
        </w:tc>
        <w:tc>
          <w:tcPr>
            <w:tcW w:w="7800" w:type="dxa"/>
            <w:vAlign w:val="bottom"/>
            <w:gridSpan w:val="21"/>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6"/>
        </w:trPr>
        <w:tc>
          <w:tcPr>
            <w:tcW w:w="360" w:type="dxa"/>
            <w:vAlign w:val="bottom"/>
          </w:tcPr>
          <w:p>
            <w:pPr>
              <w:spacing w:after="0"/>
              <w:rPr>
                <w:sz w:val="20"/>
                <w:szCs w:val="20"/>
                <w:color w:val="auto"/>
              </w:rPr>
            </w:pPr>
          </w:p>
        </w:tc>
        <w:tc>
          <w:tcPr>
            <w:tcW w:w="18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8"/>
              </w:rPr>
              <w:t>Director Independence</w:t>
            </w:r>
          </w:p>
        </w:tc>
        <w:tc>
          <w:tcPr>
            <w:tcW w:w="8700" w:type="dxa"/>
            <w:vAlign w:val="bottom"/>
            <w:gridSpan w:val="31"/>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360" w:type="dxa"/>
            <w:vAlign w:val="bottom"/>
          </w:tcPr>
          <w:p>
            <w:pPr>
              <w:spacing w:after="0"/>
              <w:rPr>
                <w:sz w:val="20"/>
                <w:szCs w:val="20"/>
                <w:color w:val="auto"/>
              </w:rPr>
            </w:pPr>
          </w:p>
        </w:tc>
        <w:tc>
          <w:tcPr>
            <w:tcW w:w="10520" w:type="dxa"/>
            <w:vAlign w:val="bottom"/>
            <w:gridSpan w:val="36"/>
          </w:tcPr>
          <w:p>
            <w:pPr>
              <w:spacing w:after="0"/>
              <w:rPr>
                <w:sz w:val="20"/>
                <w:szCs w:val="20"/>
                <w:color w:val="auto"/>
              </w:rPr>
            </w:pPr>
            <w:r>
              <w:rPr>
                <w:rFonts w:ascii="Arial" w:cs="Arial" w:eastAsia="Arial" w:hAnsi="Arial"/>
                <w:sz w:val="18"/>
                <w:szCs w:val="18"/>
                <w:color w:val="0000EE"/>
              </w:rPr>
              <w:t>Director Attendance; Executive Sessions</w:t>
            </w: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6"/>
        </w:trPr>
        <w:tc>
          <w:tcPr>
            <w:tcW w:w="360" w:type="dxa"/>
            <w:vAlign w:val="bottom"/>
          </w:tcPr>
          <w:p>
            <w:pPr>
              <w:spacing w:after="0"/>
              <w:rPr>
                <w:sz w:val="20"/>
                <w:szCs w:val="20"/>
                <w:color w:val="auto"/>
              </w:rPr>
            </w:pPr>
          </w:p>
        </w:tc>
        <w:tc>
          <w:tcPr>
            <w:tcW w:w="3240" w:type="dxa"/>
            <w:vAlign w:val="bottom"/>
            <w:tcBorders>
              <w:top w:val="single" w:sz="8" w:color="0000EE"/>
            </w:tcBorders>
            <w:gridSpan w:val="18"/>
          </w:tcPr>
          <w:p>
            <w:pPr>
              <w:spacing w:after="0"/>
              <w:rPr>
                <w:sz w:val="20"/>
                <w:szCs w:val="20"/>
                <w:color w:val="auto"/>
              </w:rPr>
            </w:pPr>
            <w:r>
              <w:rPr>
                <w:rFonts w:ascii="Arial" w:cs="Arial" w:eastAsia="Arial" w:hAnsi="Arial"/>
                <w:sz w:val="18"/>
                <w:szCs w:val="18"/>
                <w:color w:val="0000EE"/>
              </w:rPr>
              <w:t>Board Committees</w:t>
            </w:r>
          </w:p>
        </w:tc>
        <w:tc>
          <w:tcPr>
            <w:tcW w:w="7280" w:type="dxa"/>
            <w:vAlign w:val="bottom"/>
            <w:gridSpan w:val="18"/>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36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000" w:type="dxa"/>
            <w:vAlign w:val="bottom"/>
            <w:gridSpan w:val="11"/>
          </w:tcPr>
          <w:p>
            <w:pPr>
              <w:spacing w:after="0" w:line="20" w:lineRule="exact"/>
              <w:rPr>
                <w:sz w:val="1"/>
                <w:szCs w:val="1"/>
                <w:color w:val="auto"/>
              </w:rPr>
            </w:pPr>
          </w:p>
        </w:tc>
        <w:tc>
          <w:tcPr>
            <w:tcW w:w="8040" w:type="dxa"/>
            <w:vAlign w:val="bottom"/>
            <w:gridSpan w:val="2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7"/>
        </w:trPr>
        <w:tc>
          <w:tcPr>
            <w:tcW w:w="360" w:type="dxa"/>
            <w:vAlign w:val="bottom"/>
          </w:tcPr>
          <w:p>
            <w:pPr>
              <w:spacing w:after="0"/>
              <w:rPr>
                <w:sz w:val="20"/>
                <w:szCs w:val="20"/>
                <w:color w:val="auto"/>
              </w:rPr>
            </w:pPr>
          </w:p>
        </w:tc>
        <w:tc>
          <w:tcPr>
            <w:tcW w:w="248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9"/>
              </w:rPr>
              <w:t>Board’s Role in Risk Oversight</w:t>
            </w:r>
          </w:p>
        </w:tc>
        <w:tc>
          <w:tcPr>
            <w:tcW w:w="8040" w:type="dxa"/>
            <w:vAlign w:val="bottom"/>
            <w:gridSpan w:val="23"/>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0560" w:type="dxa"/>
            <w:vAlign w:val="bottom"/>
            <w:gridSpan w:val="42"/>
          </w:tcPr>
          <w:p>
            <w:pPr>
              <w:spacing w:after="0"/>
              <w:rPr>
                <w:sz w:val="20"/>
                <w:szCs w:val="20"/>
                <w:color w:val="auto"/>
              </w:rPr>
            </w:pPr>
            <w:r>
              <w:rPr>
                <w:rFonts w:ascii="Arial" w:cs="Arial" w:eastAsia="Arial" w:hAnsi="Arial"/>
                <w:sz w:val="18"/>
                <w:szCs w:val="18"/>
                <w:color w:val="0000EE"/>
              </w:rPr>
              <w:t>Table of Contents</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9"/>
              </w:rPr>
              <w:t>Executive Compensation Process</w:t>
            </w:r>
          </w:p>
        </w:tc>
        <w:tc>
          <w:tcPr>
            <w:tcW w:w="7500" w:type="dxa"/>
            <w:vAlign w:val="bottom"/>
            <w:gridSpan w:val="2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20" w:type="dxa"/>
            <w:vAlign w:val="bottom"/>
            <w:tcBorders>
              <w:bottom w:val="single" w:sz="8" w:color="0000EE"/>
            </w:tcBorders>
            <w:gridSpan w:val="25"/>
          </w:tcPr>
          <w:p>
            <w:pPr>
              <w:spacing w:after="0"/>
              <w:rPr>
                <w:sz w:val="20"/>
                <w:szCs w:val="20"/>
                <w:color w:val="auto"/>
              </w:rPr>
            </w:pPr>
            <w:r>
              <w:rPr>
                <w:rFonts w:ascii="Arial" w:cs="Arial" w:eastAsia="Arial" w:hAnsi="Arial"/>
                <w:sz w:val="18"/>
                <w:szCs w:val="18"/>
                <w:color w:val="0000EE"/>
                <w:w w:val="99"/>
              </w:rPr>
              <w:t>Director Nomination and Refreshment Process</w:t>
            </w:r>
          </w:p>
        </w:tc>
        <w:tc>
          <w:tcPr>
            <w:tcW w:w="6480" w:type="dxa"/>
            <w:vAlign w:val="bottom"/>
            <w:gridSpan w:val="15"/>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900" w:type="dxa"/>
            <w:vAlign w:val="bottom"/>
            <w:tcBorders>
              <w:bottom w:val="single" w:sz="8" w:color="0000EE"/>
            </w:tcBorders>
            <w:gridSpan w:val="37"/>
          </w:tcPr>
          <w:p>
            <w:pPr>
              <w:spacing w:after="0"/>
              <w:rPr>
                <w:sz w:val="20"/>
                <w:szCs w:val="20"/>
                <w:color w:val="auto"/>
              </w:rPr>
            </w:pPr>
            <w:r>
              <w:rPr>
                <w:rFonts w:ascii="Arial" w:cs="Arial" w:eastAsia="Arial" w:hAnsi="Arial"/>
                <w:sz w:val="18"/>
                <w:szCs w:val="18"/>
                <w:color w:val="0000EE"/>
                <w:w w:val="99"/>
              </w:rPr>
              <w:t>Related Person Transactions and Policies and Procedures Regarding Related Person Transactions</w:t>
            </w:r>
          </w:p>
        </w:tc>
        <w:tc>
          <w:tcPr>
            <w:tcW w:w="2300" w:type="dxa"/>
            <w:vAlign w:val="bottom"/>
            <w:gridSpan w:val="3"/>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40"/>
          </w:tcPr>
          <w:p>
            <w:pPr>
              <w:spacing w:after="0"/>
              <w:rPr>
                <w:sz w:val="20"/>
                <w:szCs w:val="20"/>
                <w:color w:val="auto"/>
              </w:rPr>
            </w:pPr>
            <w:r>
              <w:rPr>
                <w:rFonts w:ascii="Arial" w:cs="Arial" w:eastAsia="Arial" w:hAnsi="Arial"/>
                <w:sz w:val="18"/>
                <w:szCs w:val="18"/>
                <w:color w:val="0000EE"/>
              </w:rPr>
              <w:t>Board of Directors Business Ethics Policy Statement</w:t>
            </w: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40"/>
          </w:tcPr>
          <w:p>
            <w:pPr>
              <w:spacing w:after="0"/>
              <w:rPr>
                <w:sz w:val="20"/>
                <w:szCs w:val="20"/>
                <w:color w:val="auto"/>
              </w:rPr>
            </w:pPr>
            <w:r>
              <w:rPr>
                <w:rFonts w:ascii="Arial" w:cs="Arial" w:eastAsia="Arial" w:hAnsi="Arial"/>
                <w:sz w:val="18"/>
                <w:szCs w:val="18"/>
                <w:color w:val="0000EE"/>
              </w:rPr>
              <w:t>Code of Conduct and Code of Ethics for our CEO and Senior Financial Personnel</w:t>
            </w: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6"/>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tcBorders>
              <w:top w:val="single" w:sz="8" w:color="0000EE"/>
              <w:bottom w:val="single" w:sz="8" w:color="0000EE"/>
            </w:tcBorders>
            <w:gridSpan w:val="14"/>
          </w:tcPr>
          <w:p>
            <w:pPr>
              <w:spacing w:after="0"/>
              <w:rPr>
                <w:sz w:val="20"/>
                <w:szCs w:val="20"/>
                <w:color w:val="auto"/>
              </w:rPr>
            </w:pPr>
            <w:r>
              <w:rPr>
                <w:rFonts w:ascii="Arial" w:cs="Arial" w:eastAsia="Arial" w:hAnsi="Arial"/>
                <w:sz w:val="18"/>
                <w:szCs w:val="18"/>
                <w:color w:val="0000EE"/>
                <w:w w:val="99"/>
              </w:rPr>
              <w:t>Communications with Directors</w:t>
            </w:r>
          </w:p>
        </w:tc>
        <w:tc>
          <w:tcPr>
            <w:tcW w:w="4000" w:type="dxa"/>
            <w:vAlign w:val="bottom"/>
            <w:tcBorders>
              <w:top w:val="single" w:sz="8" w:color="0000EE"/>
            </w:tcBorders>
            <w:gridSpan w:val="21"/>
          </w:tcPr>
          <w:p>
            <w:pPr>
              <w:spacing w:after="0"/>
              <w:rPr>
                <w:sz w:val="20"/>
                <w:szCs w:val="20"/>
                <w:color w:val="auto"/>
              </w:rPr>
            </w:pPr>
          </w:p>
        </w:tc>
        <w:tc>
          <w:tcPr>
            <w:tcW w:w="3720" w:type="dxa"/>
            <w:vAlign w:val="bottom"/>
            <w:gridSpan w:val="5"/>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8"/>
              </w:rPr>
              <w:t>Complaint Procedures</w:t>
            </w:r>
          </w:p>
        </w:tc>
        <w:tc>
          <w:tcPr>
            <w:tcW w:w="8420" w:type="dxa"/>
            <w:vAlign w:val="bottom"/>
            <w:gridSpan w:val="30"/>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10560" w:type="dxa"/>
            <w:vAlign w:val="bottom"/>
            <w:gridSpan w:val="42"/>
          </w:tcPr>
          <w:p>
            <w:pPr>
              <w:spacing w:after="0"/>
              <w:rPr>
                <w:sz w:val="20"/>
                <w:szCs w:val="20"/>
                <w:color w:val="auto"/>
              </w:rPr>
            </w:pPr>
            <w:r>
              <w:rPr>
                <w:rFonts w:ascii="Arial" w:cs="Arial" w:eastAsia="Arial" w:hAnsi="Arial"/>
                <w:sz w:val="18"/>
                <w:szCs w:val="18"/>
                <w:color w:val="0000EE"/>
              </w:rPr>
              <w:t>DIRECTOR COMPENSATION</w:t>
            </w: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40"/>
          </w:tcPr>
          <w:p>
            <w:pPr>
              <w:spacing w:after="0"/>
              <w:rPr>
                <w:sz w:val="20"/>
                <w:szCs w:val="20"/>
                <w:color w:val="auto"/>
              </w:rPr>
            </w:pPr>
            <w:r>
              <w:rPr>
                <w:rFonts w:ascii="Arial" w:cs="Arial" w:eastAsia="Arial" w:hAnsi="Arial"/>
                <w:sz w:val="18"/>
                <w:szCs w:val="18"/>
                <w:color w:val="0000EE"/>
              </w:rPr>
              <w:t>Director Compensation Program for Fiscal 2022</w:t>
            </w: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6"/>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0" w:type="dxa"/>
            <w:vAlign w:val="bottom"/>
            <w:tcBorders>
              <w:top w:val="single" w:sz="8" w:color="0000EE"/>
            </w:tcBorders>
            <w:gridSpan w:val="27"/>
          </w:tcPr>
          <w:p>
            <w:pPr>
              <w:spacing w:after="0"/>
              <w:rPr>
                <w:sz w:val="20"/>
                <w:szCs w:val="20"/>
                <w:color w:val="auto"/>
              </w:rPr>
            </w:pPr>
            <w:r>
              <w:rPr>
                <w:rFonts w:ascii="Arial" w:cs="Arial" w:eastAsia="Arial" w:hAnsi="Arial"/>
                <w:sz w:val="18"/>
                <w:szCs w:val="18"/>
                <w:color w:val="0000EE"/>
              </w:rPr>
              <w:t>Director Compensation for Fiscal 2022</w:t>
            </w:r>
          </w:p>
        </w:tc>
        <w:tc>
          <w:tcPr>
            <w:tcW w:w="6400" w:type="dxa"/>
            <w:vAlign w:val="bottom"/>
            <w:gridSpan w:val="13"/>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560" w:type="dxa"/>
            <w:vAlign w:val="bottom"/>
            <w:gridSpan w:val="42"/>
          </w:tcPr>
          <w:p>
            <w:pPr>
              <w:spacing w:after="0"/>
              <w:rPr>
                <w:sz w:val="20"/>
                <w:szCs w:val="20"/>
                <w:color w:val="auto"/>
              </w:rPr>
            </w:pPr>
            <w:r>
              <w:rPr>
                <w:rFonts w:ascii="Arial" w:cs="Arial" w:eastAsia="Arial" w:hAnsi="Arial"/>
                <w:sz w:val="18"/>
                <w:szCs w:val="18"/>
                <w:color w:val="0000EE"/>
              </w:rPr>
              <w:t>PROPOSAL TWO—RATIFICATION OF SELECTION OF INDEPENDENT REGISTERED PUBLIC ACCOUNTING FIRM</w:t>
            </w: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2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4800" w:type="dxa"/>
            <w:vAlign w:val="bottom"/>
            <w:tcBorders>
              <w:top w:val="single" w:sz="8" w:color="0000EE"/>
              <w:bottom w:val="single" w:sz="8" w:color="0000EE"/>
            </w:tcBorders>
            <w:gridSpan w:val="32"/>
          </w:tcPr>
          <w:p>
            <w:pPr>
              <w:spacing w:after="0"/>
              <w:rPr>
                <w:sz w:val="20"/>
                <w:szCs w:val="20"/>
                <w:color w:val="auto"/>
              </w:rPr>
            </w:pPr>
            <w:r>
              <w:rPr>
                <w:rFonts w:ascii="Arial" w:cs="Arial" w:eastAsia="Arial" w:hAnsi="Arial"/>
                <w:sz w:val="18"/>
                <w:szCs w:val="18"/>
                <w:color w:val="0000EE"/>
                <w:w w:val="99"/>
              </w:rPr>
              <w:t>Selection of Independent Registered Public Accounting Firm</w:t>
            </w:r>
          </w:p>
        </w:tc>
        <w:tc>
          <w:tcPr>
            <w:tcW w:w="4380" w:type="dxa"/>
            <w:vAlign w:val="bottom"/>
            <w:tcBorders>
              <w:top w:val="single" w:sz="8" w:color="0000EE"/>
            </w:tcBorders>
            <w:gridSpan w:val="6"/>
          </w:tcPr>
          <w:p>
            <w:pPr>
              <w:spacing w:after="0"/>
              <w:rPr>
                <w:sz w:val="20"/>
                <w:szCs w:val="20"/>
                <w:color w:val="auto"/>
              </w:rPr>
            </w:pPr>
          </w:p>
        </w:tc>
        <w:tc>
          <w:tcPr>
            <w:tcW w:w="1020" w:type="dxa"/>
            <w:vAlign w:val="bottom"/>
            <w:gridSpan w:val="2"/>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8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98"/>
              </w:rPr>
              <w:t>Audit, Audit-Related, Tax and Other Fees</w:t>
            </w:r>
          </w:p>
        </w:tc>
        <w:tc>
          <w:tcPr>
            <w:tcW w:w="6920" w:type="dxa"/>
            <w:vAlign w:val="bottom"/>
            <w:gridSpan w:val="18"/>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9"/>
              </w:rPr>
              <w:t>Pre-Approval Policies and Procedures</w:t>
            </w:r>
          </w:p>
        </w:tc>
        <w:tc>
          <w:tcPr>
            <w:tcW w:w="7140" w:type="dxa"/>
            <w:vAlign w:val="bottom"/>
            <w:gridSpan w:val="20"/>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8"/>
              </w:rPr>
              <w:t>Board Recommendation</w:t>
            </w:r>
          </w:p>
        </w:tc>
        <w:tc>
          <w:tcPr>
            <w:tcW w:w="8260" w:type="dxa"/>
            <w:vAlign w:val="bottom"/>
            <w:gridSpan w:val="28"/>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6"/>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8"/>
              </w:rPr>
              <w:t>Audit Committee Report</w:t>
            </w:r>
          </w:p>
        </w:tc>
        <w:tc>
          <w:tcPr>
            <w:tcW w:w="8280" w:type="dxa"/>
            <w:vAlign w:val="bottom"/>
            <w:gridSpan w:val="29"/>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0"/>
        </w:trPr>
        <w:tc>
          <w:tcPr>
            <w:tcW w:w="10560" w:type="dxa"/>
            <w:vAlign w:val="bottom"/>
            <w:gridSpan w:val="42"/>
          </w:tcPr>
          <w:p>
            <w:pPr>
              <w:spacing w:after="0"/>
              <w:rPr>
                <w:sz w:val="20"/>
                <w:szCs w:val="20"/>
                <w:color w:val="auto"/>
              </w:rPr>
            </w:pPr>
            <w:r>
              <w:rPr>
                <w:rFonts w:ascii="Arial" w:cs="Arial" w:eastAsia="Arial" w:hAnsi="Arial"/>
                <w:sz w:val="18"/>
                <w:szCs w:val="18"/>
                <w:color w:val="0000EE"/>
              </w:rPr>
              <w:t>PROPOSAL THREE—ADVISORY APPROVAL OF OUR EXECUTIVE COMPENSATION</w:t>
            </w:r>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50"/>
        </w:trPr>
        <w:tc>
          <w:tcPr>
            <w:tcW w:w="2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9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7"/>
              </w:rPr>
              <w:t>Background</w:t>
            </w:r>
          </w:p>
        </w:tc>
        <w:tc>
          <w:tcPr>
            <w:tcW w:w="5760" w:type="dxa"/>
            <w:vAlign w:val="bottom"/>
            <w:tcBorders>
              <w:top w:val="single" w:sz="8" w:color="0000EE"/>
            </w:tcBorders>
            <w:gridSpan w:val="35"/>
          </w:tcPr>
          <w:p>
            <w:pPr>
              <w:spacing w:after="0"/>
              <w:rPr>
                <w:sz w:val="21"/>
                <w:szCs w:val="21"/>
                <w:color w:val="auto"/>
              </w:rPr>
            </w:pPr>
          </w:p>
        </w:tc>
        <w:tc>
          <w:tcPr>
            <w:tcW w:w="3480" w:type="dxa"/>
            <w:vAlign w:val="bottom"/>
            <w:gridSpan w:val="4"/>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0" w:type="dxa"/>
            <w:vAlign w:val="bottom"/>
            <w:gridSpan w:val="40"/>
          </w:tcPr>
          <w:p>
            <w:pPr>
              <w:spacing w:after="0"/>
              <w:rPr>
                <w:sz w:val="20"/>
                <w:szCs w:val="20"/>
                <w:color w:val="auto"/>
              </w:rPr>
            </w:pPr>
            <w:r>
              <w:rPr>
                <w:rFonts w:ascii="Arial" w:cs="Arial" w:eastAsia="Arial" w:hAnsi="Arial"/>
                <w:sz w:val="18"/>
                <w:szCs w:val="18"/>
                <w:color w:val="0000EE"/>
              </w:rPr>
              <w:t>Our Pay Philosophy</w:t>
            </w:r>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rPr>
              <w:t>Best Practices</w:t>
            </w:r>
          </w:p>
        </w:tc>
        <w:tc>
          <w:tcPr>
            <w:tcW w:w="8620" w:type="dxa"/>
            <w:vAlign w:val="bottom"/>
            <w:gridSpan w:val="33"/>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0" w:type="dxa"/>
            <w:vAlign w:val="bottom"/>
            <w:gridSpan w:val="40"/>
          </w:tcPr>
          <w:p>
            <w:pPr>
              <w:spacing w:after="0"/>
              <w:rPr>
                <w:sz w:val="20"/>
                <w:szCs w:val="20"/>
                <w:color w:val="auto"/>
              </w:rPr>
            </w:pPr>
            <w:r>
              <w:rPr>
                <w:rFonts w:ascii="Arial" w:cs="Arial" w:eastAsia="Arial" w:hAnsi="Arial"/>
                <w:sz w:val="18"/>
                <w:szCs w:val="18"/>
                <w:color w:val="0000EE"/>
              </w:rPr>
              <w:t>Proposed Resolution</w:t>
            </w: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0" w:type="dxa"/>
            <w:vAlign w:val="bottom"/>
            <w:gridSpan w:val="40"/>
          </w:tcPr>
          <w:p>
            <w:pPr>
              <w:spacing w:after="0"/>
              <w:rPr>
                <w:sz w:val="20"/>
                <w:szCs w:val="20"/>
                <w:color w:val="auto"/>
              </w:rPr>
            </w:pPr>
            <w:r>
              <w:rPr>
                <w:rFonts w:ascii="Arial" w:cs="Arial" w:eastAsia="Arial" w:hAnsi="Arial"/>
                <w:sz w:val="18"/>
                <w:szCs w:val="18"/>
                <w:color w:val="0000EE"/>
              </w:rPr>
              <w:t>Next Say-on-Pay Vote</w:t>
            </w: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8"/>
              </w:rPr>
              <w:t>Board Recommendation</w:t>
            </w:r>
          </w:p>
        </w:tc>
        <w:tc>
          <w:tcPr>
            <w:tcW w:w="8260" w:type="dxa"/>
            <w:vAlign w:val="bottom"/>
            <w:gridSpan w:val="28"/>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0"/>
        </w:trPr>
        <w:tc>
          <w:tcPr>
            <w:tcW w:w="10560" w:type="dxa"/>
            <w:vAlign w:val="bottom"/>
            <w:gridSpan w:val="42"/>
          </w:tcPr>
          <w:p>
            <w:pPr>
              <w:spacing w:after="0"/>
              <w:rPr>
                <w:sz w:val="20"/>
                <w:szCs w:val="20"/>
                <w:color w:val="auto"/>
              </w:rPr>
            </w:pPr>
            <w:r>
              <w:rPr>
                <w:rFonts w:ascii="Arial" w:cs="Arial" w:eastAsia="Arial" w:hAnsi="Arial"/>
                <w:sz w:val="18"/>
                <w:szCs w:val="18"/>
                <w:color w:val="0000EE"/>
              </w:rPr>
              <w:t>PROPOSAL FOUR—ADVISORY APPROVAL OF THE FREQUENCY OF THE ADVISORY APPROVAL OF OUR EXECUTIVE</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220" w:type="dxa"/>
            <w:vAlign w:val="bottom"/>
            <w:tcBorders>
              <w:top w:val="single" w:sz="8" w:color="0000EE"/>
            </w:tcBorders>
          </w:tcPr>
          <w:p>
            <w:pPr>
              <w:spacing w:after="0"/>
              <w:rPr>
                <w:sz w:val="15"/>
                <w:szCs w:val="15"/>
                <w:color w:val="auto"/>
              </w:rPr>
            </w:pPr>
          </w:p>
        </w:tc>
        <w:tc>
          <w:tcPr>
            <w:tcW w:w="146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8"/>
              </w:rPr>
              <w:t>COMPENSATION</w:t>
            </w:r>
          </w:p>
        </w:tc>
        <w:tc>
          <w:tcPr>
            <w:tcW w:w="8400" w:type="dxa"/>
            <w:vAlign w:val="bottom"/>
            <w:tcBorders>
              <w:top w:val="single" w:sz="8" w:color="0000EE"/>
            </w:tcBorders>
            <w:gridSpan w:val="35"/>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7"/>
              </w:rPr>
              <w:t>Background</w:t>
            </w:r>
          </w:p>
        </w:tc>
        <w:tc>
          <w:tcPr>
            <w:tcW w:w="9240" w:type="dxa"/>
            <w:vAlign w:val="bottom"/>
            <w:gridSpan w:val="39"/>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8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8"/>
              </w:rPr>
              <w:t>Reasons for Annual Say-on-Pay Vote</w:t>
            </w:r>
          </w:p>
        </w:tc>
        <w:tc>
          <w:tcPr>
            <w:tcW w:w="7220" w:type="dxa"/>
            <w:vAlign w:val="bottom"/>
            <w:gridSpan w:val="21"/>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40" w:type="dxa"/>
            <w:vAlign w:val="bottom"/>
            <w:tcBorders>
              <w:bottom w:val="single" w:sz="8" w:color="0000EE"/>
            </w:tcBorders>
            <w:gridSpan w:val="26"/>
          </w:tcPr>
          <w:p>
            <w:pPr>
              <w:spacing w:after="0"/>
              <w:rPr>
                <w:sz w:val="20"/>
                <w:szCs w:val="20"/>
                <w:color w:val="auto"/>
              </w:rPr>
            </w:pPr>
            <w:r>
              <w:rPr>
                <w:rFonts w:ascii="Arial" w:cs="Arial" w:eastAsia="Arial" w:hAnsi="Arial"/>
                <w:sz w:val="18"/>
                <w:szCs w:val="18"/>
                <w:color w:val="0000EE"/>
                <w:w w:val="99"/>
              </w:rPr>
              <w:t>Effect of Say-on-Pay Frequency Vote Outcome</w:t>
            </w:r>
          </w:p>
        </w:tc>
        <w:tc>
          <w:tcPr>
            <w:tcW w:w="6460" w:type="dxa"/>
            <w:vAlign w:val="bottom"/>
            <w:gridSpan w:val="14"/>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4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8"/>
              </w:rPr>
              <w:t>Board Recommendation</w:t>
            </w:r>
          </w:p>
        </w:tc>
        <w:tc>
          <w:tcPr>
            <w:tcW w:w="8260" w:type="dxa"/>
            <w:vAlign w:val="bottom"/>
            <w:gridSpan w:val="28"/>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0"/>
        </w:trPr>
        <w:tc>
          <w:tcPr>
            <w:tcW w:w="3980" w:type="dxa"/>
            <w:vAlign w:val="bottom"/>
            <w:tcBorders>
              <w:bottom w:val="single" w:sz="8" w:color="0000EE"/>
            </w:tcBorders>
            <w:gridSpan w:val="26"/>
          </w:tcPr>
          <w:p>
            <w:pPr>
              <w:spacing w:after="0"/>
              <w:rPr>
                <w:sz w:val="20"/>
                <w:szCs w:val="20"/>
                <w:color w:val="auto"/>
              </w:rPr>
            </w:pPr>
            <w:r>
              <w:rPr>
                <w:rFonts w:ascii="Arial" w:cs="Arial" w:eastAsia="Arial" w:hAnsi="Arial"/>
                <w:sz w:val="18"/>
                <w:szCs w:val="18"/>
                <w:color w:val="0000EE"/>
                <w:w w:val="99"/>
              </w:rPr>
              <w:t>COMPENSATION DISCUSSION AND ANALYSIS</w:t>
            </w:r>
          </w:p>
        </w:tc>
        <w:tc>
          <w:tcPr>
            <w:tcW w:w="6580" w:type="dxa"/>
            <w:vAlign w:val="bottom"/>
            <w:gridSpan w:val="16"/>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40"/>
          </w:tcPr>
          <w:p>
            <w:pPr>
              <w:spacing w:after="0"/>
              <w:rPr>
                <w:sz w:val="20"/>
                <w:szCs w:val="20"/>
                <w:color w:val="auto"/>
              </w:rPr>
            </w:pPr>
            <w:r>
              <w:rPr>
                <w:rFonts w:ascii="Arial" w:cs="Arial" w:eastAsia="Arial" w:hAnsi="Arial"/>
                <w:sz w:val="18"/>
                <w:szCs w:val="18"/>
                <w:color w:val="0000EE"/>
              </w:rPr>
              <w:t>Executive Summary: Fiscal 2022 Compensation Actions and Outcomes</w:t>
            </w:r>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80" w:type="dxa"/>
            <w:vAlign w:val="bottom"/>
            <w:tcBorders>
              <w:top w:val="single" w:sz="8" w:color="0000EE"/>
            </w:tcBorders>
            <w:gridSpan w:val="34"/>
          </w:tcPr>
          <w:p>
            <w:pPr>
              <w:spacing w:after="0"/>
              <w:rPr>
                <w:sz w:val="20"/>
                <w:szCs w:val="20"/>
                <w:color w:val="auto"/>
              </w:rPr>
            </w:pPr>
            <w:r>
              <w:rPr>
                <w:rFonts w:ascii="Arial" w:cs="Arial" w:eastAsia="Arial" w:hAnsi="Arial"/>
                <w:sz w:val="18"/>
                <w:szCs w:val="18"/>
                <w:color w:val="0000EE"/>
              </w:rPr>
              <w:t>Compensation Philosophy</w:t>
            </w:r>
          </w:p>
        </w:tc>
        <w:tc>
          <w:tcPr>
            <w:tcW w:w="4520" w:type="dxa"/>
            <w:vAlign w:val="bottom"/>
            <w:gridSpan w:val="6"/>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7"/>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2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40"/>
          </w:tcPr>
          <w:p>
            <w:pPr>
              <w:spacing w:after="0"/>
              <w:rPr>
                <w:sz w:val="20"/>
                <w:szCs w:val="20"/>
                <w:color w:val="auto"/>
              </w:rPr>
            </w:pPr>
            <w:r>
              <w:rPr>
                <w:rFonts w:ascii="Arial" w:cs="Arial" w:eastAsia="Arial" w:hAnsi="Arial"/>
                <w:sz w:val="18"/>
                <w:szCs w:val="18"/>
                <w:color w:val="0000EE"/>
              </w:rPr>
              <w:t>Compensation Highlights and Best Practices</w:t>
            </w: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40" w:type="dxa"/>
            <w:vAlign w:val="bottom"/>
            <w:tcBorders>
              <w:top w:val="single" w:sz="8" w:color="0000EE"/>
            </w:tcBorders>
            <w:gridSpan w:val="23"/>
          </w:tcPr>
          <w:p>
            <w:pPr>
              <w:spacing w:after="0"/>
              <w:rPr>
                <w:sz w:val="20"/>
                <w:szCs w:val="20"/>
                <w:color w:val="auto"/>
              </w:rPr>
            </w:pPr>
            <w:r>
              <w:rPr>
                <w:rFonts w:ascii="Arial" w:cs="Arial" w:eastAsia="Arial" w:hAnsi="Arial"/>
                <w:sz w:val="18"/>
                <w:szCs w:val="18"/>
                <w:color w:val="0000EE"/>
              </w:rPr>
              <w:t>Pay for Performance and Pay Mix</w:t>
            </w:r>
          </w:p>
        </w:tc>
        <w:tc>
          <w:tcPr>
            <w:tcW w:w="6660" w:type="dxa"/>
            <w:vAlign w:val="bottom"/>
            <w:gridSpan w:val="17"/>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8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8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2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80" w:type="dxa"/>
            <w:vAlign w:val="bottom"/>
            <w:tcBorders>
              <w:bottom w:val="single" w:sz="8" w:color="0000EE"/>
            </w:tcBorders>
            <w:gridSpan w:val="28"/>
          </w:tcPr>
          <w:p>
            <w:pPr>
              <w:spacing w:after="0"/>
              <w:rPr>
                <w:sz w:val="20"/>
                <w:szCs w:val="20"/>
                <w:color w:val="auto"/>
              </w:rPr>
            </w:pPr>
            <w:r>
              <w:rPr>
                <w:rFonts w:ascii="Arial" w:cs="Arial" w:eastAsia="Arial" w:hAnsi="Arial"/>
                <w:sz w:val="18"/>
                <w:szCs w:val="18"/>
                <w:color w:val="0000EE"/>
                <w:w w:val="99"/>
              </w:rPr>
              <w:t>Elements of Our Executive Compensation Program</w:t>
            </w:r>
          </w:p>
        </w:tc>
        <w:tc>
          <w:tcPr>
            <w:tcW w:w="6120" w:type="dxa"/>
            <w:vAlign w:val="bottom"/>
            <w:gridSpan w:val="12"/>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40"/>
          </w:tcPr>
          <w:p>
            <w:pPr>
              <w:spacing w:after="0"/>
              <w:rPr>
                <w:sz w:val="20"/>
                <w:szCs w:val="20"/>
                <w:color w:val="auto"/>
              </w:rPr>
            </w:pPr>
            <w:r>
              <w:rPr>
                <w:rFonts w:ascii="Arial" w:cs="Arial" w:eastAsia="Arial" w:hAnsi="Arial"/>
                <w:sz w:val="18"/>
                <w:szCs w:val="18"/>
                <w:color w:val="0000EE"/>
              </w:rPr>
              <w:t>Employment, Severance and Change in Control Arrangements</w:t>
            </w: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6"/>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80" w:type="dxa"/>
            <w:vAlign w:val="bottom"/>
            <w:tcBorders>
              <w:top w:val="single" w:sz="8" w:color="0000EE"/>
            </w:tcBorders>
            <w:gridSpan w:val="33"/>
          </w:tcPr>
          <w:p>
            <w:pPr>
              <w:spacing w:after="0"/>
              <w:rPr>
                <w:sz w:val="20"/>
                <w:szCs w:val="20"/>
                <w:color w:val="auto"/>
              </w:rPr>
            </w:pPr>
            <w:r>
              <w:rPr>
                <w:rFonts w:ascii="Arial" w:cs="Arial" w:eastAsia="Arial" w:hAnsi="Arial"/>
                <w:sz w:val="18"/>
                <w:szCs w:val="18"/>
                <w:color w:val="0000EE"/>
              </w:rPr>
              <w:t>Named Executive Officers Stock Ownership Guidelines</w:t>
            </w:r>
          </w:p>
        </w:tc>
        <w:tc>
          <w:tcPr>
            <w:tcW w:w="5220" w:type="dxa"/>
            <w:vAlign w:val="bottom"/>
            <w:gridSpan w:val="7"/>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80" w:type="dxa"/>
            <w:vAlign w:val="bottom"/>
            <w:tcBorders>
              <w:top w:val="single" w:sz="8" w:color="0000EE"/>
            </w:tcBorders>
            <w:gridSpan w:val="30"/>
          </w:tcPr>
          <w:p>
            <w:pPr>
              <w:spacing w:after="0"/>
              <w:rPr>
                <w:sz w:val="20"/>
                <w:szCs w:val="20"/>
                <w:color w:val="auto"/>
              </w:rPr>
            </w:pPr>
            <w:r>
              <w:rPr>
                <w:rFonts w:ascii="Arial" w:cs="Arial" w:eastAsia="Arial" w:hAnsi="Arial"/>
                <w:sz w:val="18"/>
                <w:szCs w:val="18"/>
                <w:color w:val="0000EE"/>
              </w:rPr>
              <w:t>Anti-Hedging and Anti-Pledging</w:t>
            </w:r>
          </w:p>
        </w:tc>
        <w:tc>
          <w:tcPr>
            <w:tcW w:w="5820" w:type="dxa"/>
            <w:vAlign w:val="bottom"/>
            <w:gridSpan w:val="10"/>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6"/>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tcBorders>
              <w:top w:val="single" w:sz="8" w:color="0000EE"/>
            </w:tcBorders>
            <w:gridSpan w:val="15"/>
          </w:tcPr>
          <w:p>
            <w:pPr>
              <w:spacing w:after="0"/>
              <w:rPr>
                <w:sz w:val="20"/>
                <w:szCs w:val="20"/>
                <w:color w:val="auto"/>
              </w:rPr>
            </w:pPr>
            <w:r>
              <w:rPr>
                <w:rFonts w:ascii="Arial" w:cs="Arial" w:eastAsia="Arial" w:hAnsi="Arial"/>
                <w:sz w:val="18"/>
                <w:szCs w:val="18"/>
                <w:color w:val="0000EE"/>
              </w:rPr>
              <w:t>Tax Considerations</w:t>
            </w:r>
          </w:p>
        </w:tc>
        <w:tc>
          <w:tcPr>
            <w:tcW w:w="7700" w:type="dxa"/>
            <w:vAlign w:val="bottom"/>
            <w:gridSpan w:val="25"/>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98"/>
              </w:rPr>
              <w:t>Risk Assessment</w:t>
            </w:r>
          </w:p>
        </w:tc>
        <w:tc>
          <w:tcPr>
            <w:tcW w:w="140" w:type="dxa"/>
            <w:vAlign w:val="bottom"/>
            <w:tcBorders>
              <w:top w:val="single" w:sz="8" w:color="0000EE"/>
            </w:tcBorders>
          </w:tcPr>
          <w:p>
            <w:pPr>
              <w:spacing w:after="0"/>
              <w:rPr>
                <w:sz w:val="20"/>
                <w:szCs w:val="20"/>
                <w:color w:val="auto"/>
              </w:rPr>
            </w:pPr>
          </w:p>
        </w:tc>
        <w:tc>
          <w:tcPr>
            <w:tcW w:w="8680" w:type="dxa"/>
            <w:vAlign w:val="bottom"/>
            <w:gridSpan w:val="34"/>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9"/>
              </w:rPr>
              <w:t>Clawback Policy and Provisions</w:t>
            </w:r>
          </w:p>
        </w:tc>
        <w:tc>
          <w:tcPr>
            <w:tcW w:w="7660" w:type="dxa"/>
            <w:vAlign w:val="bottom"/>
            <w:gridSpan w:val="24"/>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6"/>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40"/>
          </w:tcPr>
          <w:p>
            <w:pPr>
              <w:spacing w:after="0"/>
              <w:rPr>
                <w:sz w:val="20"/>
                <w:szCs w:val="20"/>
                <w:color w:val="auto"/>
              </w:rPr>
            </w:pPr>
            <w:r>
              <w:rPr>
                <w:rFonts w:ascii="Arial" w:cs="Arial" w:eastAsia="Arial" w:hAnsi="Arial"/>
                <w:sz w:val="18"/>
                <w:szCs w:val="18"/>
                <w:color w:val="0000EE"/>
              </w:rPr>
              <w:t>Competitive Considerations and Use of Market Data</w:t>
            </w: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60" w:type="dxa"/>
            <w:vAlign w:val="bottom"/>
            <w:tcBorders>
              <w:top w:val="single" w:sz="8" w:color="0000EE"/>
            </w:tcBorders>
            <w:gridSpan w:val="29"/>
          </w:tcPr>
          <w:p>
            <w:pPr>
              <w:spacing w:after="0"/>
              <w:rPr>
                <w:sz w:val="20"/>
                <w:szCs w:val="20"/>
                <w:color w:val="auto"/>
              </w:rPr>
            </w:pPr>
            <w:r>
              <w:rPr>
                <w:rFonts w:ascii="Arial" w:cs="Arial" w:eastAsia="Arial" w:hAnsi="Arial"/>
                <w:sz w:val="18"/>
                <w:szCs w:val="18"/>
                <w:color w:val="0000EE"/>
              </w:rPr>
              <w:t>How We Make Compensation Decisions</w:t>
            </w:r>
          </w:p>
        </w:tc>
        <w:tc>
          <w:tcPr>
            <w:tcW w:w="6040" w:type="dxa"/>
            <w:vAlign w:val="bottom"/>
            <w:gridSpan w:val="11"/>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0" w:type="dxa"/>
            <w:vAlign w:val="bottom"/>
            <w:gridSpan w:val="21"/>
            <w:shd w:val="clear" w:color="auto" w:fill="0000EE"/>
          </w:tcPr>
          <w:p>
            <w:pPr>
              <w:spacing w:after="0" w:line="20" w:lineRule="exact"/>
              <w:rPr>
                <w:sz w:val="1"/>
                <w:szCs w:val="1"/>
                <w:color w:val="auto"/>
              </w:rPr>
            </w:pPr>
          </w:p>
        </w:tc>
        <w:tc>
          <w:tcPr>
            <w:tcW w:w="1360" w:type="dxa"/>
            <w:vAlign w:val="bottom"/>
            <w:gridSpan w:val="10"/>
          </w:tcPr>
          <w:p>
            <w:pPr>
              <w:spacing w:after="0" w:line="20" w:lineRule="exact"/>
              <w:rPr>
                <w:sz w:val="1"/>
                <w:szCs w:val="1"/>
                <w:color w:val="auto"/>
              </w:rPr>
            </w:pPr>
          </w:p>
        </w:tc>
        <w:tc>
          <w:tcPr>
            <w:tcW w:w="5640" w:type="dxa"/>
            <w:vAlign w:val="bottom"/>
            <w:gridSpan w:val="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60" w:type="dxa"/>
            <w:vAlign w:val="bottom"/>
            <w:tcBorders>
              <w:bottom w:val="single" w:sz="8" w:color="0000EE"/>
            </w:tcBorders>
            <w:gridSpan w:val="31"/>
          </w:tcPr>
          <w:p>
            <w:pPr>
              <w:spacing w:after="0"/>
              <w:rPr>
                <w:sz w:val="20"/>
                <w:szCs w:val="20"/>
                <w:color w:val="auto"/>
              </w:rPr>
            </w:pPr>
            <w:r>
              <w:rPr>
                <w:rFonts w:ascii="Arial" w:cs="Arial" w:eastAsia="Arial" w:hAnsi="Arial"/>
                <w:sz w:val="18"/>
                <w:szCs w:val="18"/>
                <w:color w:val="0000EE"/>
                <w:w w:val="99"/>
              </w:rPr>
              <w:t>Compensation and Human Resources Committee Report</w:t>
            </w:r>
          </w:p>
        </w:tc>
        <w:tc>
          <w:tcPr>
            <w:tcW w:w="5640" w:type="dxa"/>
            <w:vAlign w:val="bottom"/>
            <w:gridSpan w:val="9"/>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980" w:type="dxa"/>
            <w:vAlign w:val="bottom"/>
            <w:gridSpan w:val="22"/>
          </w:tcPr>
          <w:p>
            <w:pPr>
              <w:spacing w:after="0"/>
              <w:rPr>
                <w:sz w:val="20"/>
                <w:szCs w:val="20"/>
                <w:color w:val="auto"/>
              </w:rPr>
            </w:pPr>
            <w:r>
              <w:rPr>
                <w:rFonts w:ascii="Arial" w:cs="Arial" w:eastAsia="Arial" w:hAnsi="Arial"/>
                <w:sz w:val="18"/>
                <w:szCs w:val="18"/>
                <w:color w:val="0000EE"/>
              </w:rPr>
              <w:t>Table of Contents</w:t>
            </w:r>
          </w:p>
        </w:tc>
        <w:tc>
          <w:tcPr>
            <w:tcW w:w="2260" w:type="dxa"/>
            <w:vAlign w:val="bottom"/>
          </w:tcPr>
          <w:p>
            <w:pPr>
              <w:spacing w:after="0"/>
              <w:rPr>
                <w:sz w:val="17"/>
                <w:szCs w:val="17"/>
                <w:color w:val="auto"/>
              </w:rPr>
            </w:pPr>
          </w:p>
        </w:tc>
      </w:tr>
      <w:tr>
        <w:trPr>
          <w:trHeight w:val="20"/>
        </w:trPr>
        <w:tc>
          <w:tcPr>
            <w:tcW w:w="360" w:type="dxa"/>
            <w:vAlign w:val="bottom"/>
            <w:tcBorders>
              <w:right w:val="single" w:sz="8" w:color="0000EE"/>
            </w:tcBorders>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58"/>
        </w:trPr>
        <w:tc>
          <w:tcPr>
            <w:tcW w:w="8980" w:type="dxa"/>
            <w:vAlign w:val="bottom"/>
            <w:gridSpan w:val="22"/>
          </w:tcPr>
          <w:p>
            <w:pPr>
              <w:spacing w:after="0"/>
              <w:rPr>
                <w:sz w:val="20"/>
                <w:szCs w:val="20"/>
                <w:color w:val="auto"/>
              </w:rPr>
            </w:pPr>
            <w:r>
              <w:rPr>
                <w:rFonts w:ascii="Arial" w:cs="Arial" w:eastAsia="Arial" w:hAnsi="Arial"/>
                <w:sz w:val="18"/>
                <w:szCs w:val="18"/>
                <w:color w:val="0000EE"/>
              </w:rPr>
              <w:t>EXECUTIVE COMPENSATION</w:t>
            </w:r>
          </w:p>
        </w:tc>
        <w:tc>
          <w:tcPr>
            <w:tcW w:w="22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36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24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8"/>
              </w:rPr>
              <w:t>Summary Compensation Table</w:t>
            </w:r>
          </w:p>
        </w:tc>
        <w:tc>
          <w:tcPr>
            <w:tcW w:w="6140" w:type="dxa"/>
            <w:vAlign w:val="bottom"/>
            <w:gridSpan w:val="14"/>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50"/>
        </w:trPr>
        <w:tc>
          <w:tcPr>
            <w:tcW w:w="360" w:type="dxa"/>
            <w:vAlign w:val="bottom"/>
          </w:tcPr>
          <w:p>
            <w:pPr>
              <w:spacing w:after="0"/>
              <w:rPr>
                <w:sz w:val="21"/>
                <w:szCs w:val="21"/>
                <w:color w:val="auto"/>
              </w:rPr>
            </w:pPr>
          </w:p>
        </w:tc>
        <w:tc>
          <w:tcPr>
            <w:tcW w:w="312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8"/>
              </w:rPr>
              <w:t>All Other Compensation for Fiscal 2022</w:t>
            </w:r>
          </w:p>
        </w:tc>
        <w:tc>
          <w:tcPr>
            <w:tcW w:w="5500" w:type="dxa"/>
            <w:vAlign w:val="bottom"/>
            <w:gridSpan w:val="11"/>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50"/>
        </w:trPr>
        <w:tc>
          <w:tcPr>
            <w:tcW w:w="360" w:type="dxa"/>
            <w:vAlign w:val="bottom"/>
          </w:tcPr>
          <w:p>
            <w:pPr>
              <w:spacing w:after="0"/>
              <w:rPr>
                <w:sz w:val="21"/>
                <w:szCs w:val="21"/>
                <w:color w:val="auto"/>
              </w:rPr>
            </w:pPr>
          </w:p>
        </w:tc>
        <w:tc>
          <w:tcPr>
            <w:tcW w:w="8620" w:type="dxa"/>
            <w:vAlign w:val="bottom"/>
            <w:gridSpan w:val="21"/>
          </w:tcPr>
          <w:p>
            <w:pPr>
              <w:spacing w:after="0"/>
              <w:rPr>
                <w:sz w:val="20"/>
                <w:szCs w:val="20"/>
                <w:color w:val="auto"/>
              </w:rPr>
            </w:pPr>
            <w:r>
              <w:rPr>
                <w:rFonts w:ascii="Arial" w:cs="Arial" w:eastAsia="Arial" w:hAnsi="Arial"/>
                <w:sz w:val="18"/>
                <w:szCs w:val="18"/>
                <w:color w:val="0000EE"/>
              </w:rPr>
              <w:t>Grants of Plan-Based Awards for Fiscal 2022</w:t>
            </w:r>
          </w:p>
        </w:tc>
        <w:tc>
          <w:tcPr>
            <w:tcW w:w="22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8620" w:type="dxa"/>
            <w:vAlign w:val="bottom"/>
            <w:gridSpan w:val="21"/>
          </w:tcPr>
          <w:p>
            <w:pPr>
              <w:spacing w:after="0"/>
              <w:rPr>
                <w:sz w:val="20"/>
                <w:szCs w:val="20"/>
                <w:color w:val="auto"/>
              </w:rPr>
            </w:pPr>
            <w:r>
              <w:rPr>
                <w:rFonts w:ascii="Arial" w:cs="Arial" w:eastAsia="Arial" w:hAnsi="Arial"/>
                <w:sz w:val="18"/>
                <w:szCs w:val="18"/>
                <w:color w:val="0000EE"/>
              </w:rPr>
              <w:t>Outstanding Equity Awards at Fiscal Year-End for 2022</w:t>
            </w:r>
          </w:p>
        </w:tc>
        <w:tc>
          <w:tcPr>
            <w:tcW w:w="22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50"/>
        </w:trPr>
        <w:tc>
          <w:tcPr>
            <w:tcW w:w="360" w:type="dxa"/>
            <w:vAlign w:val="bottom"/>
          </w:tcPr>
          <w:p>
            <w:pPr>
              <w:spacing w:after="0"/>
              <w:rPr>
                <w:sz w:val="21"/>
                <w:szCs w:val="21"/>
                <w:color w:val="auto"/>
              </w:rPr>
            </w:pPr>
          </w:p>
        </w:tc>
        <w:tc>
          <w:tcPr>
            <w:tcW w:w="4020" w:type="dxa"/>
            <w:vAlign w:val="bottom"/>
            <w:tcBorders>
              <w:top w:val="single" w:sz="8" w:color="0000EE"/>
              <w:bottom w:val="single" w:sz="8" w:color="0000EE"/>
            </w:tcBorders>
            <w:gridSpan w:val="15"/>
          </w:tcPr>
          <w:p>
            <w:pPr>
              <w:spacing w:after="0"/>
              <w:rPr>
                <w:sz w:val="20"/>
                <w:szCs w:val="20"/>
                <w:color w:val="auto"/>
              </w:rPr>
            </w:pPr>
            <w:r>
              <w:rPr>
                <w:rFonts w:ascii="Arial" w:cs="Arial" w:eastAsia="Arial" w:hAnsi="Arial"/>
                <w:sz w:val="18"/>
                <w:szCs w:val="18"/>
                <w:color w:val="0000EE"/>
                <w:w w:val="98"/>
              </w:rPr>
              <w:t>Option Exercises and Stock Vested for Fiscal 2022</w:t>
            </w:r>
          </w:p>
        </w:tc>
        <w:tc>
          <w:tcPr>
            <w:tcW w:w="340" w:type="dxa"/>
            <w:vAlign w:val="bottom"/>
            <w:tcBorders>
              <w:top w:val="single" w:sz="8" w:color="0000EE"/>
            </w:tcBorders>
            <w:gridSpan w:val="2"/>
          </w:tcPr>
          <w:p>
            <w:pPr>
              <w:spacing w:after="0"/>
              <w:rPr>
                <w:sz w:val="21"/>
                <w:szCs w:val="21"/>
                <w:color w:val="auto"/>
              </w:rPr>
            </w:pPr>
          </w:p>
        </w:tc>
        <w:tc>
          <w:tcPr>
            <w:tcW w:w="4260" w:type="dxa"/>
            <w:vAlign w:val="bottom"/>
            <w:gridSpan w:val="4"/>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50"/>
        </w:trPr>
        <w:tc>
          <w:tcPr>
            <w:tcW w:w="360" w:type="dxa"/>
            <w:vAlign w:val="bottom"/>
          </w:tcPr>
          <w:p>
            <w:pPr>
              <w:spacing w:after="0"/>
              <w:rPr>
                <w:sz w:val="21"/>
                <w:szCs w:val="21"/>
                <w:color w:val="auto"/>
              </w:rPr>
            </w:pPr>
          </w:p>
        </w:tc>
        <w:tc>
          <w:tcPr>
            <w:tcW w:w="8620" w:type="dxa"/>
            <w:vAlign w:val="bottom"/>
            <w:gridSpan w:val="21"/>
          </w:tcPr>
          <w:p>
            <w:pPr>
              <w:spacing w:after="0"/>
              <w:rPr>
                <w:sz w:val="20"/>
                <w:szCs w:val="20"/>
                <w:color w:val="auto"/>
              </w:rPr>
            </w:pPr>
            <w:r>
              <w:rPr>
                <w:rFonts w:ascii="Arial" w:cs="Arial" w:eastAsia="Arial" w:hAnsi="Arial"/>
                <w:sz w:val="18"/>
                <w:szCs w:val="18"/>
                <w:color w:val="0000EE"/>
              </w:rPr>
              <w:t>Nonqualified Deferred Compensation for Fiscal 2022</w:t>
            </w:r>
          </w:p>
        </w:tc>
        <w:tc>
          <w:tcPr>
            <w:tcW w:w="22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470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8"/>
              </w:rPr>
              <w:t>Potential Payments Upon Termination or Change in Control</w:t>
            </w:r>
          </w:p>
        </w:tc>
        <w:tc>
          <w:tcPr>
            <w:tcW w:w="3920" w:type="dxa"/>
            <w:vAlign w:val="bottom"/>
            <w:gridSpan w:val="3"/>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50"/>
        </w:trPr>
        <w:tc>
          <w:tcPr>
            <w:tcW w:w="360" w:type="dxa"/>
            <w:vAlign w:val="bottom"/>
          </w:tcPr>
          <w:p>
            <w:pPr>
              <w:spacing w:after="0"/>
              <w:rPr>
                <w:sz w:val="21"/>
                <w:szCs w:val="21"/>
                <w:color w:val="auto"/>
              </w:rPr>
            </w:pPr>
          </w:p>
        </w:tc>
        <w:tc>
          <w:tcPr>
            <w:tcW w:w="8620" w:type="dxa"/>
            <w:vAlign w:val="bottom"/>
            <w:gridSpan w:val="21"/>
          </w:tcPr>
          <w:p>
            <w:pPr>
              <w:spacing w:after="0"/>
              <w:rPr>
                <w:sz w:val="20"/>
                <w:szCs w:val="20"/>
                <w:color w:val="auto"/>
              </w:rPr>
            </w:pPr>
            <w:r>
              <w:rPr>
                <w:rFonts w:ascii="Arial" w:cs="Arial" w:eastAsia="Arial" w:hAnsi="Arial"/>
                <w:sz w:val="18"/>
                <w:szCs w:val="18"/>
                <w:color w:val="0000EE"/>
              </w:rPr>
              <w:t>Pay Ratio Disclosure</w:t>
            </w:r>
          </w:p>
        </w:tc>
        <w:tc>
          <w:tcPr>
            <w:tcW w:w="22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8620" w:type="dxa"/>
            <w:vAlign w:val="bottom"/>
            <w:gridSpan w:val="21"/>
          </w:tcPr>
          <w:p>
            <w:pPr>
              <w:spacing w:after="0"/>
              <w:rPr>
                <w:sz w:val="20"/>
                <w:szCs w:val="20"/>
                <w:color w:val="auto"/>
              </w:rPr>
            </w:pPr>
            <w:r>
              <w:rPr>
                <w:rFonts w:ascii="Arial" w:cs="Arial" w:eastAsia="Arial" w:hAnsi="Arial"/>
                <w:sz w:val="18"/>
                <w:szCs w:val="18"/>
                <w:color w:val="0000EE"/>
              </w:rPr>
              <w:t>Compensation &amp; Human Resources Committee Interlocks and Insider Participation</w:t>
            </w:r>
          </w:p>
        </w:tc>
        <w:tc>
          <w:tcPr>
            <w:tcW w:w="22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580" w:type="dxa"/>
            <w:vAlign w:val="bottom"/>
            <w:gridSpan w:val="5"/>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50"/>
        </w:trPr>
        <w:tc>
          <w:tcPr>
            <w:tcW w:w="8980" w:type="dxa"/>
            <w:vAlign w:val="bottom"/>
            <w:gridSpan w:val="22"/>
          </w:tcPr>
          <w:p>
            <w:pPr>
              <w:spacing w:after="0"/>
              <w:rPr>
                <w:sz w:val="20"/>
                <w:szCs w:val="20"/>
                <w:color w:val="auto"/>
              </w:rPr>
            </w:pPr>
            <w:r>
              <w:rPr>
                <w:rFonts w:ascii="Arial" w:cs="Arial" w:eastAsia="Arial" w:hAnsi="Arial"/>
                <w:sz w:val="18"/>
                <w:szCs w:val="18"/>
                <w:color w:val="0000EE"/>
              </w:rPr>
              <w:t>STOCK OWNERSHIP</w:t>
            </w:r>
          </w:p>
        </w:tc>
        <w:tc>
          <w:tcPr>
            <w:tcW w:w="22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36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37"/>
        </w:trPr>
        <w:tc>
          <w:tcPr>
            <w:tcW w:w="360" w:type="dxa"/>
            <w:vAlign w:val="bottom"/>
          </w:tcPr>
          <w:p>
            <w:pPr>
              <w:spacing w:after="0"/>
              <w:rPr>
                <w:sz w:val="20"/>
                <w:szCs w:val="20"/>
                <w:color w:val="auto"/>
              </w:rPr>
            </w:pPr>
          </w:p>
        </w:tc>
        <w:tc>
          <w:tcPr>
            <w:tcW w:w="8620" w:type="dxa"/>
            <w:vAlign w:val="bottom"/>
            <w:gridSpan w:val="21"/>
          </w:tcPr>
          <w:p>
            <w:pPr>
              <w:spacing w:after="0"/>
              <w:rPr>
                <w:sz w:val="20"/>
                <w:szCs w:val="20"/>
                <w:color w:val="auto"/>
              </w:rPr>
            </w:pPr>
            <w:r>
              <w:rPr>
                <w:rFonts w:ascii="Arial" w:cs="Arial" w:eastAsia="Arial" w:hAnsi="Arial"/>
                <w:sz w:val="18"/>
                <w:szCs w:val="18"/>
                <w:color w:val="0000EE"/>
              </w:rPr>
              <w:t>Significant Beneficial Owners</w:t>
            </w:r>
          </w:p>
        </w:tc>
        <w:tc>
          <w:tcPr>
            <w:tcW w:w="22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36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37"/>
        </w:trPr>
        <w:tc>
          <w:tcPr>
            <w:tcW w:w="360" w:type="dxa"/>
            <w:vAlign w:val="bottom"/>
          </w:tcPr>
          <w:p>
            <w:pPr>
              <w:spacing w:after="0"/>
              <w:rPr>
                <w:sz w:val="20"/>
                <w:szCs w:val="20"/>
                <w:color w:val="auto"/>
              </w:rPr>
            </w:pPr>
          </w:p>
        </w:tc>
        <w:tc>
          <w:tcPr>
            <w:tcW w:w="8620" w:type="dxa"/>
            <w:vAlign w:val="bottom"/>
            <w:gridSpan w:val="21"/>
          </w:tcPr>
          <w:p>
            <w:pPr>
              <w:spacing w:after="0"/>
              <w:rPr>
                <w:sz w:val="20"/>
                <w:szCs w:val="20"/>
                <w:color w:val="auto"/>
              </w:rPr>
            </w:pPr>
            <w:r>
              <w:rPr>
                <w:rFonts w:ascii="Arial" w:cs="Arial" w:eastAsia="Arial" w:hAnsi="Arial"/>
                <w:sz w:val="18"/>
                <w:szCs w:val="18"/>
                <w:color w:val="0000EE"/>
              </w:rPr>
              <w:t>Directors and Executive Officers</w:t>
            </w:r>
          </w:p>
        </w:tc>
        <w:tc>
          <w:tcPr>
            <w:tcW w:w="22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7"/>
        </w:trPr>
        <w:tc>
          <w:tcPr>
            <w:tcW w:w="360" w:type="dxa"/>
            <w:vAlign w:val="bottom"/>
          </w:tcPr>
          <w:p>
            <w:pPr>
              <w:spacing w:after="0"/>
              <w:rPr>
                <w:sz w:val="20"/>
                <w:szCs w:val="20"/>
                <w:color w:val="auto"/>
              </w:rPr>
            </w:pPr>
          </w:p>
        </w:tc>
        <w:tc>
          <w:tcPr>
            <w:tcW w:w="232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rPr>
              <w:t>Stock Ownership Guidelines</w:t>
            </w:r>
          </w:p>
        </w:tc>
        <w:tc>
          <w:tcPr>
            <w:tcW w:w="240" w:type="dxa"/>
            <w:vAlign w:val="bottom"/>
            <w:tcBorders>
              <w:top w:val="single" w:sz="8" w:color="0000EE"/>
            </w:tcBorders>
            <w:gridSpan w:val="2"/>
          </w:tcPr>
          <w:p>
            <w:pPr>
              <w:spacing w:after="0"/>
              <w:rPr>
                <w:sz w:val="20"/>
                <w:szCs w:val="20"/>
                <w:color w:val="auto"/>
              </w:rPr>
            </w:pPr>
          </w:p>
        </w:tc>
        <w:tc>
          <w:tcPr>
            <w:tcW w:w="6060" w:type="dxa"/>
            <w:vAlign w:val="bottom"/>
            <w:gridSpan w:val="13"/>
          </w:tcPr>
          <w:p>
            <w:pPr>
              <w:spacing w:after="0"/>
              <w:rPr>
                <w:sz w:val="20"/>
                <w:szCs w:val="20"/>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7"/>
        </w:trPr>
        <w:tc>
          <w:tcPr>
            <w:tcW w:w="360" w:type="dxa"/>
            <w:vAlign w:val="bottom"/>
          </w:tcPr>
          <w:p>
            <w:pPr>
              <w:spacing w:after="0"/>
              <w:rPr>
                <w:sz w:val="20"/>
                <w:szCs w:val="20"/>
                <w:color w:val="auto"/>
              </w:rPr>
            </w:pPr>
          </w:p>
        </w:tc>
        <w:tc>
          <w:tcPr>
            <w:tcW w:w="318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9"/>
              </w:rPr>
              <w:t>Anti-Hedging and Anti-Pledging Policies</w:t>
            </w:r>
          </w:p>
        </w:tc>
        <w:tc>
          <w:tcPr>
            <w:tcW w:w="5440" w:type="dxa"/>
            <w:vAlign w:val="bottom"/>
            <w:gridSpan w:val="10"/>
          </w:tcPr>
          <w:p>
            <w:pPr>
              <w:spacing w:after="0"/>
              <w:rPr>
                <w:sz w:val="20"/>
                <w:szCs w:val="20"/>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6"/>
        </w:trPr>
        <w:tc>
          <w:tcPr>
            <w:tcW w:w="360" w:type="dxa"/>
            <w:vAlign w:val="bottom"/>
          </w:tcPr>
          <w:p>
            <w:pPr>
              <w:spacing w:after="0"/>
              <w:rPr>
                <w:sz w:val="20"/>
                <w:szCs w:val="20"/>
                <w:color w:val="auto"/>
              </w:rPr>
            </w:pPr>
          </w:p>
        </w:tc>
        <w:tc>
          <w:tcPr>
            <w:tcW w:w="266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9"/>
              </w:rPr>
              <w:t>Delinquent Section 16(a) Reports</w:t>
            </w:r>
          </w:p>
        </w:tc>
        <w:tc>
          <w:tcPr>
            <w:tcW w:w="5960" w:type="dxa"/>
            <w:vAlign w:val="bottom"/>
            <w:gridSpan w:val="12"/>
          </w:tcPr>
          <w:p>
            <w:pPr>
              <w:spacing w:after="0"/>
              <w:rPr>
                <w:sz w:val="20"/>
                <w:szCs w:val="20"/>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50"/>
        </w:trPr>
        <w:tc>
          <w:tcPr>
            <w:tcW w:w="400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9"/>
              </w:rPr>
              <w:t>EQUITY COMPENSATION PLAN INFORMATION</w:t>
            </w:r>
          </w:p>
        </w:tc>
        <w:tc>
          <w:tcPr>
            <w:tcW w:w="4980" w:type="dxa"/>
            <w:vAlign w:val="bottom"/>
            <w:gridSpan w:val="7"/>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50"/>
        </w:trPr>
        <w:tc>
          <w:tcPr>
            <w:tcW w:w="20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rPr>
              <w:t>OTHER INFORMATION</w:t>
            </w:r>
          </w:p>
        </w:tc>
        <w:tc>
          <w:tcPr>
            <w:tcW w:w="6980" w:type="dxa"/>
            <w:vAlign w:val="bottom"/>
            <w:gridSpan w:val="17"/>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7"/>
        </w:trPr>
        <w:tc>
          <w:tcPr>
            <w:tcW w:w="360" w:type="dxa"/>
            <w:vAlign w:val="bottom"/>
          </w:tcPr>
          <w:p>
            <w:pPr>
              <w:spacing w:after="0"/>
              <w:rPr>
                <w:sz w:val="20"/>
                <w:szCs w:val="20"/>
                <w:color w:val="auto"/>
              </w:rPr>
            </w:pPr>
          </w:p>
        </w:tc>
        <w:tc>
          <w:tcPr>
            <w:tcW w:w="8620" w:type="dxa"/>
            <w:vAlign w:val="bottom"/>
            <w:gridSpan w:val="21"/>
          </w:tcPr>
          <w:p>
            <w:pPr>
              <w:spacing w:after="0"/>
              <w:rPr>
                <w:sz w:val="20"/>
                <w:szCs w:val="20"/>
                <w:color w:val="auto"/>
              </w:rPr>
            </w:pPr>
            <w:r>
              <w:rPr>
                <w:rFonts w:ascii="Arial" w:cs="Arial" w:eastAsia="Arial" w:hAnsi="Arial"/>
                <w:sz w:val="18"/>
                <w:szCs w:val="18"/>
                <w:color w:val="0000EE"/>
              </w:rPr>
              <w:t>Shareholder Proposals and Director Nominations for the 2024 Annual Meeting</w:t>
            </w:r>
          </w:p>
        </w:tc>
        <w:tc>
          <w:tcPr>
            <w:tcW w:w="22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7"/>
        </w:trPr>
        <w:tc>
          <w:tcPr>
            <w:tcW w:w="360" w:type="dxa"/>
            <w:vAlign w:val="bottom"/>
          </w:tcPr>
          <w:p>
            <w:pPr>
              <w:spacing w:after="0"/>
              <w:rPr>
                <w:sz w:val="20"/>
                <w:szCs w:val="20"/>
                <w:color w:val="auto"/>
              </w:rPr>
            </w:pPr>
          </w:p>
        </w:tc>
        <w:tc>
          <w:tcPr>
            <w:tcW w:w="3380" w:type="dxa"/>
            <w:vAlign w:val="bottom"/>
            <w:tcBorders>
              <w:top w:val="single" w:sz="8" w:color="0000EE"/>
              <w:bottom w:val="single" w:sz="8" w:color="0000EE"/>
            </w:tcBorders>
            <w:gridSpan w:val="12"/>
          </w:tcPr>
          <w:p>
            <w:pPr>
              <w:spacing w:after="0"/>
              <w:rPr>
                <w:sz w:val="20"/>
                <w:szCs w:val="20"/>
                <w:color w:val="auto"/>
              </w:rPr>
            </w:pPr>
            <w:r>
              <w:rPr>
                <w:rFonts w:ascii="Arial" w:cs="Arial" w:eastAsia="Arial" w:hAnsi="Arial"/>
                <w:sz w:val="18"/>
                <w:szCs w:val="18"/>
                <w:color w:val="0000EE"/>
                <w:w w:val="99"/>
              </w:rPr>
              <w:t>Householding of Annual Meeting Materials</w:t>
            </w:r>
          </w:p>
        </w:tc>
        <w:tc>
          <w:tcPr>
            <w:tcW w:w="2840" w:type="dxa"/>
            <w:vAlign w:val="bottom"/>
            <w:tcBorders>
              <w:top w:val="single" w:sz="8" w:color="0000EE"/>
            </w:tcBorders>
            <w:gridSpan w:val="7"/>
          </w:tcPr>
          <w:p>
            <w:pPr>
              <w:spacing w:after="0"/>
              <w:rPr>
                <w:sz w:val="20"/>
                <w:szCs w:val="20"/>
                <w:color w:val="auto"/>
              </w:rPr>
            </w:pPr>
          </w:p>
        </w:tc>
        <w:tc>
          <w:tcPr>
            <w:tcW w:w="2400" w:type="dxa"/>
            <w:vAlign w:val="bottom"/>
            <w:gridSpan w:val="2"/>
          </w:tcPr>
          <w:p>
            <w:pPr>
              <w:spacing w:after="0"/>
              <w:rPr>
                <w:sz w:val="20"/>
                <w:szCs w:val="20"/>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7"/>
        </w:trPr>
        <w:tc>
          <w:tcPr>
            <w:tcW w:w="360" w:type="dxa"/>
            <w:vAlign w:val="bottom"/>
          </w:tcPr>
          <w:p>
            <w:pPr>
              <w:spacing w:after="0"/>
              <w:rPr>
                <w:sz w:val="20"/>
                <w:szCs w:val="20"/>
                <w:color w:val="auto"/>
              </w:rPr>
            </w:pPr>
          </w:p>
        </w:tc>
        <w:tc>
          <w:tcPr>
            <w:tcW w:w="8620" w:type="dxa"/>
            <w:vAlign w:val="bottom"/>
            <w:gridSpan w:val="21"/>
          </w:tcPr>
          <w:p>
            <w:pPr>
              <w:spacing w:after="0"/>
              <w:rPr>
                <w:sz w:val="20"/>
                <w:szCs w:val="20"/>
                <w:color w:val="auto"/>
              </w:rPr>
            </w:pPr>
            <w:r>
              <w:rPr>
                <w:rFonts w:ascii="Arial" w:cs="Arial" w:eastAsia="Arial" w:hAnsi="Arial"/>
                <w:sz w:val="18"/>
                <w:szCs w:val="18"/>
                <w:color w:val="0000EE"/>
              </w:rPr>
              <w:t>Annual Report</w:t>
            </w:r>
          </w:p>
        </w:tc>
        <w:tc>
          <w:tcPr>
            <w:tcW w:w="22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36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6140" w:type="dxa"/>
            <w:vAlign w:val="bottom"/>
            <w:gridSpan w:val="14"/>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36"/>
        </w:trPr>
        <w:tc>
          <w:tcPr>
            <w:tcW w:w="360" w:type="dxa"/>
            <w:vAlign w:val="bottom"/>
          </w:tcPr>
          <w:p>
            <w:pPr>
              <w:spacing w:after="0"/>
              <w:rPr>
                <w:sz w:val="20"/>
                <w:szCs w:val="20"/>
                <w:color w:val="auto"/>
              </w:rPr>
            </w:pPr>
          </w:p>
        </w:tc>
        <w:tc>
          <w:tcPr>
            <w:tcW w:w="8620" w:type="dxa"/>
            <w:vAlign w:val="bottom"/>
            <w:gridSpan w:val="21"/>
          </w:tcPr>
          <w:p>
            <w:pPr>
              <w:spacing w:after="0"/>
              <w:rPr>
                <w:sz w:val="20"/>
                <w:szCs w:val="20"/>
                <w:color w:val="auto"/>
              </w:rPr>
            </w:pPr>
            <w:r>
              <w:rPr>
                <w:rFonts w:ascii="Arial" w:cs="Arial" w:eastAsia="Arial" w:hAnsi="Arial"/>
                <w:sz w:val="18"/>
                <w:szCs w:val="18"/>
                <w:color w:val="0000EE"/>
              </w:rPr>
              <w:t>Cost and Method of Solicitation</w:t>
            </w:r>
          </w:p>
        </w:tc>
        <w:tc>
          <w:tcPr>
            <w:tcW w:w="22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36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_____________________</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References in this proxy statement to:</w:t>
      </w:r>
    </w:p>
    <w:p>
      <w:pPr>
        <w:spacing w:after="0" w:line="104" w:lineRule="exact"/>
        <w:rPr>
          <w:sz w:val="20"/>
          <w:szCs w:val="20"/>
          <w:color w:val="auto"/>
        </w:rPr>
      </w:pPr>
    </w:p>
    <w:p>
      <w:pPr>
        <w:ind w:left="1120" w:hanging="711"/>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“TTC,” “we,” “us,” “our,” or the “Company” refer to The Toro Company;</w:t>
      </w:r>
    </w:p>
    <w:p>
      <w:pPr>
        <w:spacing w:after="0" w:line="103" w:lineRule="exact"/>
        <w:rPr>
          <w:rFonts w:ascii="Arial" w:cs="Arial" w:eastAsia="Arial" w:hAnsi="Arial"/>
          <w:sz w:val="18"/>
          <w:szCs w:val="18"/>
          <w:color w:val="auto"/>
        </w:rPr>
      </w:pPr>
    </w:p>
    <w:p>
      <w:pPr>
        <w:ind w:left="1120" w:hanging="711"/>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“Board” refer to the Board of Directors of TTC;</w:t>
      </w:r>
    </w:p>
    <w:p>
      <w:pPr>
        <w:spacing w:after="0" w:line="103" w:lineRule="exact"/>
        <w:rPr>
          <w:rFonts w:ascii="Arial" w:cs="Arial" w:eastAsia="Arial" w:hAnsi="Arial"/>
          <w:sz w:val="18"/>
          <w:szCs w:val="18"/>
          <w:color w:val="auto"/>
        </w:rPr>
      </w:pPr>
    </w:p>
    <w:p>
      <w:pPr>
        <w:ind w:left="1120" w:hanging="711"/>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“annual meeting” refer to our 2023 Annual Meeting of Shareholders; and</w:t>
      </w:r>
    </w:p>
    <w:p>
      <w:pPr>
        <w:spacing w:after="0" w:line="103" w:lineRule="exact"/>
        <w:rPr>
          <w:rFonts w:ascii="Arial" w:cs="Arial" w:eastAsia="Arial" w:hAnsi="Arial"/>
          <w:sz w:val="18"/>
          <w:szCs w:val="18"/>
          <w:color w:val="auto"/>
        </w:rPr>
      </w:pPr>
    </w:p>
    <w:p>
      <w:pPr>
        <w:ind w:left="800" w:right="180" w:hanging="401"/>
        <w:spacing w:after="0" w:line="271"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“2022 Annual Report” refer to our Annual Report to Shareholders for fiscal 2022, which includes our Annual Report on Form 10-K for the fiscal year ended October 31, 2022, being made available together with this proxy statement.</w:t>
      </w:r>
    </w:p>
    <w:p>
      <w:pPr>
        <w:spacing w:after="0" w:line="46" w:lineRule="exact"/>
        <w:rPr>
          <w:sz w:val="20"/>
          <w:szCs w:val="20"/>
          <w:color w:val="auto"/>
        </w:rPr>
      </w:pPr>
    </w:p>
    <w:p>
      <w:pPr>
        <w:ind w:right="320" w:firstLine="401"/>
        <w:spacing w:after="0" w:line="271" w:lineRule="auto"/>
        <w:rPr>
          <w:sz w:val="20"/>
          <w:szCs w:val="20"/>
          <w:color w:val="auto"/>
        </w:rPr>
      </w:pPr>
      <w:r>
        <w:rPr>
          <w:rFonts w:ascii="Arial" w:cs="Arial" w:eastAsia="Arial" w:hAnsi="Arial"/>
          <w:sz w:val="18"/>
          <w:szCs w:val="18"/>
          <w:color w:val="auto"/>
        </w:rPr>
        <w:t>Information on our website and any other websites referenced herein is not incorporated by reference into, and does not constitute a part of, this proxy statement.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45" w:lineRule="exact"/>
        <w:rPr>
          <w:sz w:val="20"/>
          <w:szCs w:val="20"/>
          <w:color w:val="auto"/>
        </w:rPr>
      </w:pPr>
    </w:p>
    <w:p>
      <w:pPr>
        <w:ind w:left="1600"/>
        <w:spacing w:after="0"/>
        <w:rPr>
          <w:sz w:val="20"/>
          <w:szCs w:val="20"/>
          <w:color w:val="auto"/>
        </w:rPr>
      </w:pPr>
      <w:r>
        <w:rPr>
          <w:rFonts w:ascii="Arial" w:cs="Arial" w:eastAsia="Arial" w:hAnsi="Arial"/>
          <w:sz w:val="20"/>
          <w:szCs w:val="20"/>
          <w:b w:val="1"/>
          <w:bCs w:val="1"/>
          <w:color w:val="FFFFFF"/>
        </w:rPr>
        <w:t>THE TORO COMPANY HIGHLIGHTS AND PROXY STATEMENT EXECUTIVE SUMMARY</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Business Overview</w:t>
      </w:r>
    </w:p>
    <w:p>
      <w:pPr>
        <w:spacing w:after="0" w:line="99" w:lineRule="exact"/>
        <w:rPr>
          <w:sz w:val="20"/>
          <w:szCs w:val="20"/>
          <w:color w:val="auto"/>
        </w:rPr>
      </w:pPr>
    </w:p>
    <w:p>
      <w:pPr>
        <w:ind w:right="40" w:firstLine="401"/>
        <w:spacing w:after="0"/>
        <w:rPr>
          <w:sz w:val="20"/>
          <w:szCs w:val="20"/>
          <w:color w:val="auto"/>
        </w:rPr>
      </w:pPr>
      <w:r>
        <w:rPr>
          <w:rFonts w:ascii="Arial" w:cs="Arial" w:eastAsia="Arial" w:hAnsi="Arial"/>
          <w:sz w:val="18"/>
          <w:szCs w:val="18"/>
          <w:color w:val="auto"/>
        </w:rPr>
        <w:t>The Toro Company, founded in 1914, is a leading worldwide provider of innovative solutions for the outdoor environment including turf and landscape maintenance, snow and ice management, underground utility construction, rental and specialty construction, and irrigation and outdoor lighting solutions. With its worldwide headquarters in Bloomington, Minnesota, The Toro Company’s global presence extends to more than 125 countries through a family of brands that includes Toro, Ditch Witch, Exmark, Spartan Mowers, BOSS Snowplow, Ventrac, American Augers, Trencor, Pope, Subsite Electronics, HammerHead, Radius HDD, Perrot, Hayter, Unique Lighting Systems, Irritrol, and Lawn-Boy. Through constant innovation and caring relationships built on trust and integrity, The Toro Company and its family of brands have built a legacy of excellence by helping customers work on golf courses, sports fields, construction sites, public green spaces, commercial and residential properties and agricultural operations.</w:t>
      </w:r>
    </w:p>
    <w:p>
      <w:pPr>
        <w:spacing w:after="0" w:line="71" w:lineRule="exact"/>
        <w:rPr>
          <w:sz w:val="20"/>
          <w:szCs w:val="20"/>
          <w:color w:val="auto"/>
        </w:rPr>
      </w:pPr>
    </w:p>
    <w:tbl>
      <w:tblPr>
        <w:tblLayout w:type="fixed"/>
        <w:tblInd w:w="890" w:type="dxa"/>
        <w:tblCellMar>
          <w:top w:w="0" w:type="dxa"/>
          <w:left w:w="0" w:type="dxa"/>
          <w:bottom w:w="0" w:type="dxa"/>
          <w:right w:w="0" w:type="dxa"/>
        </w:tblCellMar>
      </w:tblPr>
      <w:tr>
        <w:trPr>
          <w:trHeight w:val="292"/>
        </w:trPr>
        <w:tc>
          <w:tcPr>
            <w:tcW w:w="296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C00000"/>
                <w:w w:val="99"/>
              </w:rPr>
              <w:t>OUR PURPOSE</w:t>
            </w:r>
          </w:p>
        </w:tc>
        <w:tc>
          <w:tcPr>
            <w:tcW w:w="100" w:type="dxa"/>
            <w:vAlign w:val="bottom"/>
            <w:tcBorders>
              <w:right w:val="single" w:sz="8" w:color="auto"/>
            </w:tcBorders>
          </w:tcPr>
          <w:p>
            <w:pPr>
              <w:spacing w:after="0"/>
              <w:rPr>
                <w:sz w:val="24"/>
                <w:szCs w:val="24"/>
                <w:color w:val="auto"/>
              </w:rPr>
            </w:pPr>
          </w:p>
        </w:tc>
        <w:tc>
          <w:tcPr>
            <w:tcW w:w="32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C00000"/>
                <w:w w:val="99"/>
              </w:rPr>
              <w:t>OUR VISION</w:t>
            </w:r>
          </w:p>
        </w:tc>
        <w:tc>
          <w:tcPr>
            <w:tcW w:w="100" w:type="dxa"/>
            <w:vAlign w:val="bottom"/>
            <w:tcBorders>
              <w:right w:val="single" w:sz="8" w:color="auto"/>
            </w:tcBorders>
          </w:tcPr>
          <w:p>
            <w:pPr>
              <w:spacing w:after="0"/>
              <w:rPr>
                <w:sz w:val="24"/>
                <w:szCs w:val="24"/>
                <w:color w:val="auto"/>
              </w:rPr>
            </w:pPr>
          </w:p>
        </w:tc>
        <w:tc>
          <w:tcPr>
            <w:tcW w:w="30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C00000"/>
                <w:w w:val="99"/>
              </w:rPr>
              <w:t>OUR MISSION</w:t>
            </w:r>
          </w:p>
        </w:tc>
      </w:tr>
      <w:tr>
        <w:trPr>
          <w:trHeight w:val="203"/>
        </w:trPr>
        <w:tc>
          <w:tcPr>
            <w:tcW w:w="2960" w:type="dxa"/>
            <w:vAlign w:val="bottom"/>
            <w:tcBorders>
              <w:left w:val="single" w:sz="8" w:color="auto"/>
              <w:right w:val="single" w:sz="8" w:color="auto"/>
            </w:tcBorders>
            <w:shd w:val="clear" w:color="auto" w:fill="D9D9D9"/>
          </w:tcPr>
          <w:p>
            <w:pPr>
              <w:jc w:val="center"/>
              <w:spacing w:after="0" w:line="202" w:lineRule="exact"/>
              <w:rPr>
                <w:sz w:val="20"/>
                <w:szCs w:val="20"/>
                <w:color w:val="auto"/>
              </w:rPr>
            </w:pPr>
            <w:r>
              <w:rPr>
                <w:rFonts w:ascii="Arial" w:cs="Arial" w:eastAsia="Arial" w:hAnsi="Arial"/>
                <w:sz w:val="18"/>
                <w:szCs w:val="18"/>
                <w:color w:val="auto"/>
                <w:w w:val="98"/>
              </w:rPr>
              <w:t>To help our customers enrich the</w:t>
            </w:r>
          </w:p>
        </w:tc>
        <w:tc>
          <w:tcPr>
            <w:tcW w:w="10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shd w:val="clear" w:color="auto" w:fill="D9D9D9"/>
          </w:tcPr>
          <w:p>
            <w:pPr>
              <w:jc w:val="center"/>
              <w:spacing w:after="0" w:line="202" w:lineRule="exact"/>
              <w:rPr>
                <w:sz w:val="20"/>
                <w:szCs w:val="20"/>
                <w:color w:val="auto"/>
              </w:rPr>
            </w:pPr>
            <w:r>
              <w:rPr>
                <w:rFonts w:ascii="Arial" w:cs="Arial" w:eastAsia="Arial" w:hAnsi="Arial"/>
                <w:sz w:val="18"/>
                <w:szCs w:val="18"/>
                <w:color w:val="auto"/>
                <w:w w:val="98"/>
              </w:rPr>
              <w:t>To be the most trusted leader</w:t>
            </w:r>
          </w:p>
        </w:tc>
        <w:tc>
          <w:tcPr>
            <w:tcW w:w="100" w:type="dxa"/>
            <w:vAlign w:val="bottom"/>
            <w:tcBorders>
              <w:right w:val="single" w:sz="8" w:color="auto"/>
            </w:tcBorders>
          </w:tcPr>
          <w:p>
            <w:pPr>
              <w:spacing w:after="0"/>
              <w:rPr>
                <w:sz w:val="17"/>
                <w:szCs w:val="17"/>
                <w:color w:val="auto"/>
              </w:rPr>
            </w:pPr>
          </w:p>
        </w:tc>
        <w:tc>
          <w:tcPr>
            <w:tcW w:w="3060" w:type="dxa"/>
            <w:vAlign w:val="bottom"/>
            <w:tcBorders>
              <w:right w:val="single" w:sz="8" w:color="auto"/>
            </w:tcBorders>
            <w:shd w:val="clear" w:color="auto" w:fill="D9D9D9"/>
          </w:tcPr>
          <w:p>
            <w:pPr>
              <w:jc w:val="center"/>
              <w:spacing w:after="0" w:line="202" w:lineRule="exact"/>
              <w:rPr>
                <w:sz w:val="20"/>
                <w:szCs w:val="20"/>
                <w:color w:val="auto"/>
              </w:rPr>
            </w:pPr>
            <w:r>
              <w:rPr>
                <w:rFonts w:ascii="Arial" w:cs="Arial" w:eastAsia="Arial" w:hAnsi="Arial"/>
                <w:sz w:val="18"/>
                <w:szCs w:val="18"/>
                <w:color w:val="auto"/>
                <w:w w:val="98"/>
              </w:rPr>
              <w:t>To deliver superior innovation and to</w:t>
            </w:r>
          </w:p>
        </w:tc>
      </w:tr>
      <w:tr>
        <w:trPr>
          <w:trHeight w:val="203"/>
        </w:trPr>
        <w:tc>
          <w:tcPr>
            <w:tcW w:w="2960" w:type="dxa"/>
            <w:vAlign w:val="bottom"/>
            <w:tcBorders>
              <w:left w:val="single" w:sz="8" w:color="auto"/>
              <w:right w:val="single" w:sz="8" w:color="auto"/>
            </w:tcBorders>
            <w:shd w:val="clear" w:color="auto" w:fill="D9D9D9"/>
          </w:tcPr>
          <w:p>
            <w:pPr>
              <w:jc w:val="center"/>
              <w:spacing w:after="0" w:line="202" w:lineRule="exact"/>
              <w:rPr>
                <w:sz w:val="20"/>
                <w:szCs w:val="20"/>
                <w:color w:val="auto"/>
              </w:rPr>
            </w:pPr>
            <w:r>
              <w:rPr>
                <w:rFonts w:ascii="Arial" w:cs="Arial" w:eastAsia="Arial" w:hAnsi="Arial"/>
                <w:sz w:val="18"/>
                <w:szCs w:val="18"/>
                <w:color w:val="auto"/>
                <w:w w:val="98"/>
              </w:rPr>
              <w:t>beauty, productivity and</w:t>
            </w:r>
          </w:p>
        </w:tc>
        <w:tc>
          <w:tcPr>
            <w:tcW w:w="10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shd w:val="clear" w:color="auto" w:fill="D9D9D9"/>
          </w:tcPr>
          <w:p>
            <w:pPr>
              <w:jc w:val="center"/>
              <w:spacing w:after="0" w:line="202" w:lineRule="exact"/>
              <w:rPr>
                <w:sz w:val="20"/>
                <w:szCs w:val="20"/>
                <w:color w:val="auto"/>
              </w:rPr>
            </w:pPr>
            <w:r>
              <w:rPr>
                <w:rFonts w:ascii="Arial" w:cs="Arial" w:eastAsia="Arial" w:hAnsi="Arial"/>
                <w:sz w:val="18"/>
                <w:szCs w:val="18"/>
                <w:color w:val="auto"/>
                <w:w w:val="99"/>
              </w:rPr>
              <w:t>in solutions for the outdoor environment.</w:t>
            </w:r>
          </w:p>
        </w:tc>
        <w:tc>
          <w:tcPr>
            <w:tcW w:w="100" w:type="dxa"/>
            <w:vAlign w:val="bottom"/>
            <w:tcBorders>
              <w:right w:val="single" w:sz="8" w:color="auto"/>
            </w:tcBorders>
          </w:tcPr>
          <w:p>
            <w:pPr>
              <w:spacing w:after="0"/>
              <w:rPr>
                <w:sz w:val="17"/>
                <w:szCs w:val="17"/>
                <w:color w:val="auto"/>
              </w:rPr>
            </w:pPr>
          </w:p>
        </w:tc>
        <w:tc>
          <w:tcPr>
            <w:tcW w:w="3060" w:type="dxa"/>
            <w:vAlign w:val="bottom"/>
            <w:tcBorders>
              <w:right w:val="single" w:sz="8" w:color="auto"/>
            </w:tcBorders>
            <w:shd w:val="clear" w:color="auto" w:fill="D9D9D9"/>
          </w:tcPr>
          <w:p>
            <w:pPr>
              <w:jc w:val="center"/>
              <w:spacing w:after="0" w:line="202" w:lineRule="exact"/>
              <w:rPr>
                <w:sz w:val="20"/>
                <w:szCs w:val="20"/>
                <w:color w:val="auto"/>
              </w:rPr>
            </w:pPr>
            <w:r>
              <w:rPr>
                <w:rFonts w:ascii="Arial" w:cs="Arial" w:eastAsia="Arial" w:hAnsi="Arial"/>
                <w:sz w:val="18"/>
                <w:szCs w:val="18"/>
                <w:color w:val="auto"/>
              </w:rPr>
              <w:t>deliver superior customer care.</w:t>
            </w:r>
          </w:p>
        </w:tc>
      </w:tr>
      <w:tr>
        <w:trPr>
          <w:trHeight w:val="221"/>
        </w:trPr>
        <w:tc>
          <w:tcPr>
            <w:tcW w:w="296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sustainability of the land.</w:t>
            </w:r>
          </w:p>
        </w:tc>
        <w:tc>
          <w:tcPr>
            <w:tcW w:w="100" w:type="dxa"/>
            <w:vAlign w:val="bottom"/>
            <w:tcBorders>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8"/>
              </w:rPr>
              <w:t>Every day. Everywhere.</w:t>
            </w:r>
          </w:p>
        </w:tc>
        <w:tc>
          <w:tcPr>
            <w:tcW w:w="100" w:type="dxa"/>
            <w:vAlign w:val="bottom"/>
            <w:tcBorders>
              <w:right w:val="single" w:sz="8" w:color="auto"/>
            </w:tcBorders>
          </w:tcPr>
          <w:p>
            <w:pPr>
              <w:spacing w:after="0"/>
              <w:rPr>
                <w:sz w:val="19"/>
                <w:szCs w:val="19"/>
                <w:color w:val="auto"/>
              </w:rPr>
            </w:pPr>
          </w:p>
        </w:tc>
        <w:tc>
          <w:tcPr>
            <w:tcW w:w="3060" w:type="dxa"/>
            <w:vAlign w:val="bottom"/>
            <w:tcBorders>
              <w:bottom w:val="single" w:sz="8" w:color="auto"/>
              <w:right w:val="single" w:sz="8" w:color="auto"/>
            </w:tcBorders>
            <w:shd w:val="clear" w:color="auto" w:fill="D9D9D9"/>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51435</wp:posOffset>
            </wp:positionV>
            <wp:extent cx="6017895" cy="7461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17895" cy="746125"/>
                    </a:xfrm>
                    <a:prstGeom prst="rect">
                      <a:avLst/>
                    </a:prstGeom>
                    <a:noFill/>
                  </pic:spPr>
                </pic:pic>
              </a:graphicData>
            </a:graphic>
          </wp:anchor>
        </w:drawing>
      </w:r>
    </w:p>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C00000"/>
        </w:rPr>
        <w:t>OUR GUIDING PRINCIPLES</w:t>
      </w:r>
    </w:p>
    <w:p>
      <w:pPr>
        <w:spacing w:after="0" w:line="40" w:lineRule="exact"/>
        <w:rPr>
          <w:sz w:val="20"/>
          <w:szCs w:val="20"/>
          <w:color w:val="auto"/>
        </w:rPr>
      </w:pPr>
    </w:p>
    <w:p>
      <w:pPr>
        <w:jc w:val="center"/>
        <w:ind w:right="20"/>
        <w:spacing w:after="0" w:line="251" w:lineRule="auto"/>
        <w:rPr>
          <w:sz w:val="20"/>
          <w:szCs w:val="20"/>
          <w:color w:val="auto"/>
        </w:rPr>
      </w:pPr>
      <w:r>
        <w:rPr>
          <w:rFonts w:ascii="Arial" w:cs="Arial" w:eastAsia="Arial" w:hAnsi="Arial"/>
          <w:sz w:val="18"/>
          <w:szCs w:val="18"/>
          <w:color w:val="auto"/>
        </w:rPr>
        <w:t>Our success is founded on a long history of caring relationships based on trust and integrity. These relationships are the foundation on which we build market leadership with the best in innovative products and solutions to make outdoor environments beautiful, productive, and sustainable. We are entrusted to strengthen this legacy of excellence.</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Highlights of Our Financial, Operational and Strategic Achievements for Fiscal 2022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420" w:type="dxa"/>
            <w:vAlign w:val="bottom"/>
            <w:tcBorders>
              <w:top w:val="single" w:sz="8" w:color="BFBFBF"/>
            </w:tcBorders>
          </w:tcPr>
          <w:p>
            <w:pPr>
              <w:ind w:left="20"/>
              <w:spacing w:after="0" w:line="167" w:lineRule="exact"/>
              <w:rPr>
                <w:sz w:val="20"/>
                <w:szCs w:val="20"/>
                <w:color w:val="auto"/>
              </w:rPr>
            </w:pPr>
            <w:r>
              <w:rPr>
                <w:rFonts w:ascii="Arial" w:cs="Arial" w:eastAsia="Arial" w:hAnsi="Arial"/>
                <w:sz w:val="16"/>
                <w:szCs w:val="16"/>
                <w:b w:val="1"/>
                <w:bCs w:val="1"/>
                <w:color w:val="C00000"/>
              </w:rPr>
              <w:t>$4.5 billion</w:t>
            </w:r>
          </w:p>
        </w:tc>
        <w:tc>
          <w:tcPr>
            <w:tcW w:w="9820" w:type="dxa"/>
            <w:vAlign w:val="bottom"/>
            <w:tcBorders>
              <w:top w:val="single" w:sz="8" w:color="BFBFBF"/>
            </w:tcBorders>
          </w:tcPr>
          <w:p>
            <w:pPr>
              <w:ind w:left="440"/>
              <w:spacing w:after="0" w:line="167" w:lineRule="exact"/>
              <w:rPr>
                <w:sz w:val="20"/>
                <w:szCs w:val="20"/>
                <w:color w:val="auto"/>
              </w:rPr>
            </w:pPr>
            <w:r>
              <w:rPr>
                <w:rFonts w:ascii="Arial" w:cs="Arial" w:eastAsia="Arial" w:hAnsi="Arial"/>
                <w:sz w:val="16"/>
                <w:szCs w:val="16"/>
                <w:b w:val="1"/>
                <w:bCs w:val="1"/>
                <w:i w:val="1"/>
                <w:iCs w:val="1"/>
                <w:color w:val="auto"/>
              </w:rPr>
              <w:t>Net Sales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9820" w:type="dxa"/>
            <w:vAlign w:val="bottom"/>
          </w:tcPr>
          <w:p>
            <w:pPr>
              <w:ind w:left="440"/>
              <w:spacing w:after="0"/>
              <w:rPr>
                <w:sz w:val="20"/>
                <w:szCs w:val="20"/>
                <w:color w:val="auto"/>
              </w:rPr>
            </w:pPr>
            <w:r>
              <w:rPr>
                <w:rFonts w:ascii="Arial" w:cs="Arial" w:eastAsia="Arial" w:hAnsi="Arial"/>
                <w:sz w:val="16"/>
                <w:szCs w:val="16"/>
                <w:color w:val="auto"/>
              </w:rPr>
              <w:t xml:space="preserve">Achieved $4.5 billion in total net sales, a </w:t>
            </w:r>
            <w:r>
              <w:rPr>
                <w:rFonts w:ascii="Arial" w:cs="Arial" w:eastAsia="Arial" w:hAnsi="Arial"/>
                <w:sz w:val="16"/>
                <w:szCs w:val="16"/>
                <w:b w:val="1"/>
                <w:bCs w:val="1"/>
                <w:color w:val="C00000"/>
              </w:rPr>
              <w:t>14.0%</w:t>
            </w:r>
            <w:r>
              <w:rPr>
                <w:rFonts w:ascii="Arial" w:cs="Arial" w:eastAsia="Arial" w:hAnsi="Arial"/>
                <w:sz w:val="16"/>
                <w:szCs w:val="16"/>
                <w:color w:val="auto"/>
              </w:rPr>
              <w:t xml:space="preserve"> </w:t>
            </w:r>
            <w:r>
              <w:rPr>
                <w:rFonts w:ascii="Times New Roman" w:cs="Times New Roman" w:eastAsia="Times New Roman" w:hAnsi="Times New Roman"/>
                <w:sz w:val="16"/>
                <w:szCs w:val="16"/>
                <w:b w:val="1"/>
                <w:bCs w:val="1"/>
                <w:color w:val="C00000"/>
              </w:rPr>
              <w:t>é</w:t>
            </w:r>
            <w:r>
              <w:rPr>
                <w:rFonts w:ascii="Arial" w:cs="Arial" w:eastAsia="Arial" w:hAnsi="Arial"/>
                <w:sz w:val="16"/>
                <w:szCs w:val="16"/>
                <w:color w:val="auto"/>
              </w:rPr>
              <w:t xml:space="preserve"> year-over-year, consisting of a </w:t>
            </w:r>
            <w:r>
              <w:rPr>
                <w:rFonts w:ascii="Arial" w:cs="Arial" w:eastAsia="Arial" w:hAnsi="Arial"/>
                <w:sz w:val="16"/>
                <w:szCs w:val="16"/>
                <w:b w:val="1"/>
                <w:bCs w:val="1"/>
                <w:color w:val="C00000"/>
              </w:rPr>
              <w:t>17.1%</w:t>
            </w:r>
            <w:r>
              <w:rPr>
                <w:rFonts w:ascii="Arial" w:cs="Arial" w:eastAsia="Arial" w:hAnsi="Arial"/>
                <w:sz w:val="16"/>
                <w:szCs w:val="16"/>
                <w:color w:val="auto"/>
              </w:rPr>
              <w:t xml:space="preserve"> </w:t>
            </w:r>
            <w:r>
              <w:rPr>
                <w:rFonts w:ascii="Times New Roman" w:cs="Times New Roman" w:eastAsia="Times New Roman" w:hAnsi="Times New Roman"/>
                <w:sz w:val="16"/>
                <w:szCs w:val="16"/>
                <w:b w:val="1"/>
                <w:bCs w:val="1"/>
                <w:color w:val="C00000"/>
              </w:rPr>
              <w:t>é</w:t>
            </w:r>
            <w:r>
              <w:rPr>
                <w:rFonts w:ascii="Arial" w:cs="Arial" w:eastAsia="Arial" w:hAnsi="Arial"/>
                <w:sz w:val="16"/>
                <w:szCs w:val="16"/>
                <w:color w:val="auto"/>
              </w:rPr>
              <w:t xml:space="preserve"> in professional segment net sales and 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9820" w:type="dxa"/>
            <w:vAlign w:val="bottom"/>
          </w:tcPr>
          <w:p>
            <w:pPr>
              <w:ind w:left="440"/>
              <w:spacing w:after="0"/>
              <w:rPr>
                <w:sz w:val="20"/>
                <w:szCs w:val="20"/>
                <w:color w:val="auto"/>
              </w:rPr>
            </w:pPr>
            <w:r>
              <w:rPr>
                <w:rFonts w:ascii="Arial" w:cs="Arial" w:eastAsia="Arial" w:hAnsi="Arial"/>
                <w:sz w:val="16"/>
                <w:szCs w:val="16"/>
                <w:b w:val="1"/>
                <w:bCs w:val="1"/>
                <w:color w:val="C00000"/>
              </w:rPr>
              <w:t xml:space="preserve">5.8% </w:t>
            </w:r>
            <w:r>
              <w:rPr>
                <w:rFonts w:ascii="Times New Roman" w:cs="Times New Roman" w:eastAsia="Times New Roman" w:hAnsi="Times New Roman"/>
                <w:sz w:val="16"/>
                <w:szCs w:val="16"/>
                <w:b w:val="1"/>
                <w:bCs w:val="1"/>
                <w:color w:val="C00000"/>
              </w:rPr>
              <w:t>é</w:t>
            </w:r>
            <w:r>
              <w:rPr>
                <w:rFonts w:ascii="Arial" w:cs="Arial" w:eastAsia="Arial" w:hAnsi="Arial"/>
                <w:sz w:val="16"/>
                <w:szCs w:val="16"/>
                <w:b w:val="1"/>
                <w:bCs w:val="1"/>
                <w:color w:val="C00000"/>
              </w:rPr>
              <w:t xml:space="preserve"> </w:t>
            </w:r>
            <w:r>
              <w:rPr>
                <w:rFonts w:ascii="Arial" w:cs="Arial" w:eastAsia="Arial" w:hAnsi="Arial"/>
                <w:sz w:val="16"/>
                <w:szCs w:val="16"/>
                <w:color w:val="000000"/>
              </w:rPr>
              <w:t>in residential segment net sales.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1420" w:type="dxa"/>
            <w:vAlign w:val="bottom"/>
            <w:tcBorders>
              <w:bottom w:val="single" w:sz="8" w:color="BFBFBF"/>
            </w:tcBorders>
          </w:tcPr>
          <w:p>
            <w:pPr>
              <w:spacing w:after="0"/>
              <w:rPr>
                <w:sz w:val="3"/>
                <w:szCs w:val="3"/>
                <w:color w:val="auto"/>
              </w:rPr>
            </w:pPr>
          </w:p>
        </w:tc>
        <w:tc>
          <w:tcPr>
            <w:tcW w:w="9820" w:type="dxa"/>
            <w:vAlign w:val="bottom"/>
            <w:tcBorders>
              <w:bottom w:val="single" w:sz="8" w:color="BFBFBF"/>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420" w:type="dxa"/>
            <w:vAlign w:val="bottom"/>
            <w:shd w:val="clear" w:color="auto" w:fill="D9D9D9"/>
          </w:tcPr>
          <w:p>
            <w:pPr>
              <w:ind w:left="20"/>
              <w:spacing w:after="0" w:line="181" w:lineRule="exact"/>
              <w:rPr>
                <w:sz w:val="20"/>
                <w:szCs w:val="20"/>
                <w:color w:val="auto"/>
              </w:rPr>
            </w:pPr>
            <w:r>
              <w:rPr>
                <w:rFonts w:ascii="Arial" w:cs="Arial" w:eastAsia="Arial" w:hAnsi="Arial"/>
                <w:sz w:val="16"/>
                <w:szCs w:val="16"/>
                <w:b w:val="1"/>
                <w:bCs w:val="1"/>
                <w:color w:val="C00000"/>
              </w:rPr>
              <w:t>$4.20</w:t>
            </w:r>
          </w:p>
        </w:tc>
        <w:tc>
          <w:tcPr>
            <w:tcW w:w="9820" w:type="dxa"/>
            <w:vAlign w:val="bottom"/>
            <w:shd w:val="clear" w:color="auto" w:fill="D9D9D9"/>
          </w:tcPr>
          <w:p>
            <w:pPr>
              <w:ind w:left="420"/>
              <w:spacing w:after="0" w:line="181" w:lineRule="exact"/>
              <w:rPr>
                <w:sz w:val="20"/>
                <w:szCs w:val="20"/>
                <w:color w:val="auto"/>
              </w:rPr>
            </w:pPr>
            <w:r>
              <w:rPr>
                <w:rFonts w:ascii="Arial" w:cs="Arial" w:eastAsia="Arial" w:hAnsi="Arial"/>
                <w:sz w:val="16"/>
                <w:szCs w:val="16"/>
                <w:b w:val="1"/>
                <w:bCs w:val="1"/>
                <w:i w:val="1"/>
                <w:iCs w:val="1"/>
                <w:color w:val="auto"/>
              </w:rPr>
              <w:t>Earnings Per Share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420" w:type="dxa"/>
            <w:vAlign w:val="bottom"/>
            <w:tcBorders>
              <w:bottom w:val="single" w:sz="8" w:color="D9D9D9"/>
            </w:tcBorders>
            <w:shd w:val="clear" w:color="auto" w:fill="D9D9D9"/>
          </w:tcPr>
          <w:p>
            <w:pPr>
              <w:spacing w:after="0"/>
              <w:rPr>
                <w:sz w:val="23"/>
                <w:szCs w:val="23"/>
                <w:color w:val="auto"/>
              </w:rPr>
            </w:pPr>
          </w:p>
        </w:tc>
        <w:tc>
          <w:tcPr>
            <w:tcW w:w="9820" w:type="dxa"/>
            <w:vAlign w:val="bottom"/>
            <w:tcBorders>
              <w:bottom w:val="single" w:sz="8" w:color="D9D9D9"/>
            </w:tcBorders>
            <w:shd w:val="clear" w:color="auto" w:fill="D9D9D9"/>
          </w:tcPr>
          <w:p>
            <w:pPr>
              <w:ind w:left="420"/>
              <w:spacing w:after="0"/>
              <w:rPr>
                <w:sz w:val="20"/>
                <w:szCs w:val="20"/>
                <w:color w:val="auto"/>
              </w:rPr>
            </w:pPr>
            <w:r>
              <w:rPr>
                <w:rFonts w:ascii="Arial" w:cs="Arial" w:eastAsia="Arial" w:hAnsi="Arial"/>
                <w:sz w:val="16"/>
                <w:szCs w:val="16"/>
                <w:color w:val="auto"/>
              </w:rPr>
              <w:t xml:space="preserve">Achieved reported diluted earnings per share, or EPS, of $4.20 per share, an </w:t>
            </w:r>
            <w:r>
              <w:rPr>
                <w:rFonts w:ascii="Arial" w:cs="Arial" w:eastAsia="Arial" w:hAnsi="Arial"/>
                <w:sz w:val="16"/>
                <w:szCs w:val="16"/>
                <w:b w:val="1"/>
                <w:bCs w:val="1"/>
                <w:color w:val="C00000"/>
              </w:rPr>
              <w:t>11.1%</w:t>
            </w:r>
            <w:r>
              <w:rPr>
                <w:rFonts w:ascii="Arial" w:cs="Arial" w:eastAsia="Arial" w:hAnsi="Arial"/>
                <w:sz w:val="16"/>
                <w:szCs w:val="16"/>
                <w:color w:val="auto"/>
              </w:rPr>
              <w:t xml:space="preserve"> </w:t>
            </w:r>
            <w:r>
              <w:rPr>
                <w:rFonts w:ascii="Times New Roman" w:cs="Times New Roman" w:eastAsia="Times New Roman" w:hAnsi="Times New Roman"/>
                <w:sz w:val="16"/>
                <w:szCs w:val="16"/>
                <w:b w:val="1"/>
                <w:bCs w:val="1"/>
                <w:color w:val="C00000"/>
              </w:rPr>
              <w:t>é</w:t>
            </w:r>
            <w:r>
              <w:rPr>
                <w:rFonts w:ascii="Arial" w:cs="Arial" w:eastAsia="Arial" w:hAnsi="Arial"/>
                <w:sz w:val="16"/>
                <w:szCs w:val="16"/>
                <w:color w:val="auto"/>
              </w:rPr>
              <w:t xml:space="preserve"> year-over-year.</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1420" w:type="dxa"/>
            <w:vAlign w:val="bottom"/>
            <w:tcBorders>
              <w:top w:val="single" w:sz="8" w:color="BFBFBF"/>
            </w:tcBorders>
          </w:tcPr>
          <w:p>
            <w:pPr>
              <w:ind w:left="20"/>
              <w:spacing w:after="0" w:line="181" w:lineRule="exact"/>
              <w:rPr>
                <w:sz w:val="20"/>
                <w:szCs w:val="20"/>
                <w:color w:val="auto"/>
              </w:rPr>
            </w:pPr>
            <w:r>
              <w:rPr>
                <w:rFonts w:ascii="Arial" w:cs="Arial" w:eastAsia="Arial" w:hAnsi="Arial"/>
                <w:sz w:val="16"/>
                <w:szCs w:val="16"/>
                <w:b w:val="1"/>
                <w:bCs w:val="1"/>
                <w:color w:val="C00000"/>
              </w:rPr>
              <w:t>$0.30 share</w:t>
            </w:r>
          </w:p>
        </w:tc>
        <w:tc>
          <w:tcPr>
            <w:tcW w:w="9820" w:type="dxa"/>
            <w:vAlign w:val="bottom"/>
            <w:tcBorders>
              <w:top w:val="single" w:sz="8" w:color="BFBFBF"/>
            </w:tcBorders>
          </w:tcPr>
          <w:p>
            <w:pPr>
              <w:ind w:left="420"/>
              <w:spacing w:after="0" w:line="181" w:lineRule="exact"/>
              <w:rPr>
                <w:sz w:val="20"/>
                <w:szCs w:val="20"/>
                <w:color w:val="auto"/>
              </w:rPr>
            </w:pPr>
            <w:r>
              <w:rPr>
                <w:rFonts w:ascii="Arial" w:cs="Arial" w:eastAsia="Arial" w:hAnsi="Arial"/>
                <w:sz w:val="16"/>
                <w:szCs w:val="16"/>
                <w:b w:val="1"/>
                <w:bCs w:val="1"/>
                <w:i w:val="1"/>
                <w:iCs w:val="1"/>
                <w:color w:val="auto"/>
              </w:rPr>
              <w:t>Quarterly Cash Dividend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420" w:type="dxa"/>
            <w:vAlign w:val="bottom"/>
          </w:tcPr>
          <w:p>
            <w:pPr>
              <w:spacing w:after="0"/>
              <w:rPr>
                <w:sz w:val="17"/>
                <w:szCs w:val="17"/>
                <w:color w:val="auto"/>
              </w:rPr>
            </w:pPr>
          </w:p>
        </w:tc>
        <w:tc>
          <w:tcPr>
            <w:tcW w:w="9820" w:type="dxa"/>
            <w:vAlign w:val="bottom"/>
          </w:tcPr>
          <w:p>
            <w:pPr>
              <w:ind w:left="420"/>
              <w:spacing w:after="0"/>
              <w:rPr>
                <w:sz w:val="20"/>
                <w:szCs w:val="20"/>
                <w:color w:val="auto"/>
              </w:rPr>
            </w:pPr>
            <w:r>
              <w:rPr>
                <w:rFonts w:ascii="Arial" w:cs="Arial" w:eastAsia="Arial" w:hAnsi="Arial"/>
                <w:sz w:val="16"/>
                <w:szCs w:val="16"/>
                <w:color w:val="auto"/>
              </w:rPr>
              <w:t xml:space="preserve">Paid a $0.30 per share quarterly cash dividend, which was a </w:t>
            </w:r>
            <w:r>
              <w:rPr>
                <w:rFonts w:ascii="Arial" w:cs="Arial" w:eastAsia="Arial" w:hAnsi="Arial"/>
                <w:sz w:val="16"/>
                <w:szCs w:val="16"/>
                <w:b w:val="1"/>
                <w:bCs w:val="1"/>
                <w:color w:val="C00000"/>
              </w:rPr>
              <w:t>14.0%</w:t>
            </w:r>
            <w:r>
              <w:rPr>
                <w:rFonts w:ascii="Arial" w:cs="Arial" w:eastAsia="Arial" w:hAnsi="Arial"/>
                <w:sz w:val="16"/>
                <w:szCs w:val="16"/>
                <w:color w:val="auto"/>
              </w:rPr>
              <w:t xml:space="preserve"> </w:t>
            </w:r>
            <w:r>
              <w:rPr>
                <w:rFonts w:ascii="Times New Roman" w:cs="Times New Roman" w:eastAsia="Times New Roman" w:hAnsi="Times New Roman"/>
                <w:sz w:val="16"/>
                <w:szCs w:val="16"/>
                <w:b w:val="1"/>
                <w:bCs w:val="1"/>
                <w:color w:val="C00000"/>
              </w:rPr>
              <w:t>é</w:t>
            </w:r>
            <w:r>
              <w:rPr>
                <w:rFonts w:ascii="Arial" w:cs="Arial" w:eastAsia="Arial" w:hAnsi="Arial"/>
                <w:sz w:val="16"/>
                <w:szCs w:val="16"/>
                <w:color w:val="auto"/>
              </w:rPr>
              <w:t xml:space="preserve"> over our fiscal 2021 quarterly cash dividend, and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9820" w:type="dxa"/>
            <w:vAlign w:val="bottom"/>
          </w:tcPr>
          <w:p>
            <w:pPr>
              <w:ind w:left="420"/>
              <w:spacing w:after="0"/>
              <w:rPr>
                <w:sz w:val="20"/>
                <w:szCs w:val="20"/>
                <w:color w:val="auto"/>
              </w:rPr>
            </w:pPr>
            <w:r>
              <w:rPr>
                <w:rFonts w:ascii="Arial" w:cs="Arial" w:eastAsia="Arial" w:hAnsi="Arial"/>
                <w:sz w:val="16"/>
                <w:szCs w:val="16"/>
                <w:color w:val="auto"/>
              </w:rPr>
              <w:t>announced a $0.34 per share quarterly cash dividend for fiscal 2023, a 13% increase over our fiscal 2022 dividend.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420" w:type="dxa"/>
            <w:vAlign w:val="bottom"/>
            <w:shd w:val="clear" w:color="auto" w:fill="C00000"/>
          </w:tcPr>
          <w:p>
            <w:pPr>
              <w:spacing w:after="0"/>
              <w:rPr>
                <w:sz w:val="20"/>
                <w:szCs w:val="20"/>
                <w:color w:val="auto"/>
              </w:rPr>
            </w:pPr>
            <w:r>
              <w:rPr>
                <w:rFonts w:ascii="Arial" w:cs="Arial" w:eastAsia="Arial" w:hAnsi="Arial"/>
                <w:sz w:val="18"/>
                <w:szCs w:val="18"/>
                <w:b w:val="1"/>
                <w:bCs w:val="1"/>
                <w:color w:val="FFFFFF"/>
              </w:rPr>
              <w:t>Operational</w:t>
            </w:r>
          </w:p>
        </w:tc>
        <w:tc>
          <w:tcPr>
            <w:tcW w:w="9820" w:type="dxa"/>
            <w:vAlign w:val="bottom"/>
            <w:shd w:val="clear" w:color="auto" w:fill="C0000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420" w:type="dxa"/>
            <w:vAlign w:val="bottom"/>
          </w:tcPr>
          <w:p>
            <w:pPr>
              <w:ind w:left="20"/>
              <w:spacing w:after="0" w:line="162" w:lineRule="exact"/>
              <w:rPr>
                <w:sz w:val="20"/>
                <w:szCs w:val="20"/>
                <w:color w:val="auto"/>
              </w:rPr>
            </w:pPr>
            <w:r>
              <w:rPr>
                <w:rFonts w:ascii="MS PGothic" w:cs="MS PGothic" w:eastAsia="MS PGothic" w:hAnsi="MS PGothic"/>
                <w:sz w:val="21"/>
                <w:szCs w:val="21"/>
                <w:color w:val="auto"/>
                <w:shd w:val="clear" w:color="auto" w:fill="C00000"/>
              </w:rPr>
              <w:t>✓</w:t>
            </w:r>
          </w:p>
        </w:tc>
        <w:tc>
          <w:tcPr>
            <w:tcW w:w="9820" w:type="dxa"/>
            <w:vAlign w:val="bottom"/>
            <w:vMerge w:val="restart"/>
          </w:tcPr>
          <w:p>
            <w:pPr>
              <w:ind w:left="400"/>
              <w:spacing w:after="0"/>
              <w:rPr>
                <w:sz w:val="20"/>
                <w:szCs w:val="20"/>
                <w:color w:val="auto"/>
              </w:rPr>
            </w:pPr>
            <w:r>
              <w:rPr>
                <w:rFonts w:ascii="Arial" w:cs="Arial" w:eastAsia="Arial" w:hAnsi="Arial"/>
                <w:sz w:val="16"/>
                <w:szCs w:val="16"/>
                <w:b w:val="1"/>
                <w:bCs w:val="1"/>
                <w:i w:val="1"/>
                <w:iCs w:val="1"/>
                <w:color w:val="auto"/>
              </w:rPr>
              <w:t>Drive for Five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1420" w:type="dxa"/>
            <w:vAlign w:val="bottom"/>
          </w:tcPr>
          <w:p>
            <w:pPr>
              <w:spacing w:after="0"/>
              <w:rPr>
                <w:sz w:val="2"/>
                <w:szCs w:val="2"/>
                <w:color w:val="auto"/>
              </w:rPr>
            </w:pPr>
          </w:p>
        </w:tc>
        <w:tc>
          <w:tcPr>
            <w:tcW w:w="98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420" w:type="dxa"/>
            <w:vAlign w:val="bottom"/>
          </w:tcPr>
          <w:p>
            <w:pPr>
              <w:spacing w:after="0"/>
              <w:rPr>
                <w:sz w:val="16"/>
                <w:szCs w:val="16"/>
                <w:color w:val="auto"/>
              </w:rPr>
            </w:pPr>
          </w:p>
        </w:tc>
        <w:tc>
          <w:tcPr>
            <w:tcW w:w="9820" w:type="dxa"/>
            <w:vAlign w:val="bottom"/>
          </w:tcPr>
          <w:p>
            <w:pPr>
              <w:ind w:left="400"/>
              <w:spacing w:after="0"/>
              <w:rPr>
                <w:sz w:val="20"/>
                <w:szCs w:val="20"/>
                <w:color w:val="auto"/>
              </w:rPr>
            </w:pPr>
            <w:r>
              <w:rPr>
                <w:rFonts w:ascii="Arial" w:cs="Arial" w:eastAsia="Arial" w:hAnsi="Arial"/>
                <w:sz w:val="16"/>
                <w:szCs w:val="16"/>
                <w:color w:val="auto"/>
              </w:rPr>
              <w:t>Continued our multi-year employee initiative, "Drive for Five," intended to align and engage employees on furthering our strategic</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20" w:type="dxa"/>
            <w:vAlign w:val="bottom"/>
          </w:tcPr>
          <w:p>
            <w:pPr>
              <w:spacing w:after="0"/>
              <w:rPr>
                <w:sz w:val="16"/>
                <w:szCs w:val="16"/>
                <w:color w:val="auto"/>
              </w:rPr>
            </w:pPr>
          </w:p>
        </w:tc>
        <w:tc>
          <w:tcPr>
            <w:tcW w:w="9820" w:type="dxa"/>
            <w:vAlign w:val="bottom"/>
          </w:tcPr>
          <w:p>
            <w:pPr>
              <w:ind w:left="400"/>
              <w:spacing w:after="0"/>
              <w:rPr>
                <w:sz w:val="20"/>
                <w:szCs w:val="20"/>
                <w:color w:val="auto"/>
              </w:rPr>
            </w:pPr>
            <w:r>
              <w:rPr>
                <w:rFonts w:ascii="Arial" w:cs="Arial" w:eastAsia="Arial" w:hAnsi="Arial"/>
                <w:sz w:val="16"/>
                <w:szCs w:val="16"/>
                <w:color w:val="auto"/>
              </w:rPr>
              <w:t>growth by offering innovative business and product categories to serve our customers. The core focus of this initiative is our goal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20" w:type="dxa"/>
            <w:vAlign w:val="bottom"/>
          </w:tcPr>
          <w:p>
            <w:pPr>
              <w:spacing w:after="0"/>
              <w:rPr>
                <w:sz w:val="16"/>
                <w:szCs w:val="16"/>
                <w:color w:val="auto"/>
              </w:rPr>
            </w:pPr>
          </w:p>
        </w:tc>
        <w:tc>
          <w:tcPr>
            <w:tcW w:w="9820" w:type="dxa"/>
            <w:vAlign w:val="bottom"/>
          </w:tcPr>
          <w:p>
            <w:pPr>
              <w:ind w:left="400"/>
              <w:spacing w:after="0"/>
              <w:rPr>
                <w:sz w:val="20"/>
                <w:szCs w:val="20"/>
                <w:color w:val="auto"/>
              </w:rPr>
            </w:pPr>
            <w:r>
              <w:rPr>
                <w:rFonts w:ascii="Arial" w:cs="Arial" w:eastAsia="Arial" w:hAnsi="Arial"/>
                <w:sz w:val="16"/>
                <w:szCs w:val="16"/>
                <w:color w:val="auto"/>
              </w:rPr>
              <w:t>exceeding $5.0 billion in net sales through organic growth, while continuing our focus on improving profitability, by the end of fiscal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420" w:type="dxa"/>
            <w:vAlign w:val="bottom"/>
          </w:tcPr>
          <w:p>
            <w:pPr>
              <w:spacing w:after="0"/>
              <w:rPr>
                <w:sz w:val="18"/>
                <w:szCs w:val="18"/>
                <w:color w:val="auto"/>
              </w:rPr>
            </w:pPr>
          </w:p>
        </w:tc>
        <w:tc>
          <w:tcPr>
            <w:tcW w:w="9820" w:type="dxa"/>
            <w:vAlign w:val="bottom"/>
          </w:tcPr>
          <w:p>
            <w:pPr>
              <w:ind w:left="400"/>
              <w:spacing w:after="0"/>
              <w:rPr>
                <w:sz w:val="20"/>
                <w:szCs w:val="20"/>
                <w:color w:val="auto"/>
              </w:rPr>
            </w:pPr>
            <w:r>
              <w:rPr>
                <w:rFonts w:ascii="Arial" w:cs="Arial" w:eastAsia="Arial" w:hAnsi="Arial"/>
                <w:sz w:val="16"/>
                <w:szCs w:val="16"/>
                <w:color w:val="auto"/>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1420" w:type="dxa"/>
            <w:vAlign w:val="bottom"/>
          </w:tcPr>
          <w:p>
            <w:pPr>
              <w:spacing w:after="0"/>
              <w:rPr>
                <w:sz w:val="3"/>
                <w:szCs w:val="3"/>
                <w:color w:val="auto"/>
              </w:rPr>
            </w:pPr>
          </w:p>
        </w:tc>
        <w:tc>
          <w:tcPr>
            <w:tcW w:w="9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420" w:type="dxa"/>
            <w:vAlign w:val="bottom"/>
            <w:shd w:val="clear" w:color="auto" w:fill="D9D9D9"/>
          </w:tcPr>
          <w:p>
            <w:pPr>
              <w:ind w:left="20"/>
              <w:spacing w:after="0" w:line="162" w:lineRule="exact"/>
              <w:rPr>
                <w:sz w:val="20"/>
                <w:szCs w:val="20"/>
                <w:color w:val="auto"/>
              </w:rPr>
            </w:pPr>
            <w:r>
              <w:rPr>
                <w:rFonts w:ascii="MS PGothic" w:cs="MS PGothic" w:eastAsia="MS PGothic" w:hAnsi="MS PGothic"/>
                <w:sz w:val="21"/>
                <w:szCs w:val="21"/>
                <w:color w:val="auto"/>
                <w:shd w:val="clear" w:color="auto" w:fill="C00000"/>
              </w:rPr>
              <w:t>✓</w:t>
            </w:r>
          </w:p>
        </w:tc>
        <w:tc>
          <w:tcPr>
            <w:tcW w:w="9820" w:type="dxa"/>
            <w:vAlign w:val="bottom"/>
            <w:vMerge w:val="restart"/>
            <w:shd w:val="clear" w:color="auto" w:fill="D9D9D9"/>
          </w:tcPr>
          <w:p>
            <w:pPr>
              <w:ind w:left="400"/>
              <w:spacing w:after="0"/>
              <w:rPr>
                <w:sz w:val="20"/>
                <w:szCs w:val="20"/>
                <w:color w:val="auto"/>
              </w:rPr>
            </w:pPr>
            <w:r>
              <w:rPr>
                <w:rFonts w:ascii="Arial" w:cs="Arial" w:eastAsia="Arial" w:hAnsi="Arial"/>
                <w:sz w:val="16"/>
                <w:szCs w:val="16"/>
                <w:b w:val="1"/>
                <w:bCs w:val="1"/>
                <w:i w:val="1"/>
                <w:iCs w:val="1"/>
                <w:color w:val="auto"/>
              </w:rPr>
              <w:t>Sustainability Endures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1420" w:type="dxa"/>
            <w:vAlign w:val="bottom"/>
            <w:shd w:val="clear" w:color="auto" w:fill="D9D9D9"/>
          </w:tcPr>
          <w:p>
            <w:pPr>
              <w:spacing w:after="0"/>
              <w:rPr>
                <w:sz w:val="2"/>
                <w:szCs w:val="2"/>
                <w:color w:val="auto"/>
              </w:rPr>
            </w:pPr>
          </w:p>
        </w:tc>
        <w:tc>
          <w:tcPr>
            <w:tcW w:w="9820" w:type="dxa"/>
            <w:vAlign w:val="bottom"/>
            <w:vMerge w:val="continue"/>
            <w:shd w:val="clear" w:color="auto" w:fill="D9D9D9"/>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420" w:type="dxa"/>
            <w:vAlign w:val="bottom"/>
            <w:shd w:val="clear" w:color="auto" w:fill="D9D9D9"/>
          </w:tcPr>
          <w:p>
            <w:pPr>
              <w:spacing w:after="0"/>
              <w:rPr>
                <w:sz w:val="16"/>
                <w:szCs w:val="16"/>
                <w:color w:val="auto"/>
              </w:rPr>
            </w:pPr>
          </w:p>
        </w:tc>
        <w:tc>
          <w:tcPr>
            <w:tcW w:w="9820" w:type="dxa"/>
            <w:vAlign w:val="bottom"/>
            <w:shd w:val="clear" w:color="auto" w:fill="D9D9D9"/>
          </w:tcPr>
          <w:p>
            <w:pPr>
              <w:ind w:left="400"/>
              <w:spacing w:after="0"/>
              <w:rPr>
                <w:sz w:val="20"/>
                <w:szCs w:val="20"/>
                <w:color w:val="auto"/>
              </w:rPr>
            </w:pPr>
            <w:r>
              <w:rPr>
                <w:rFonts w:ascii="Arial" w:cs="Arial" w:eastAsia="Arial" w:hAnsi="Arial"/>
                <w:sz w:val="16"/>
                <w:szCs w:val="16"/>
                <w:color w:val="auto"/>
              </w:rPr>
              <w:t>Released our fiscal 2021 Sustainability Report in June 2022, which highlights key achievements, metrics and newly defined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20" w:type="dxa"/>
            <w:vAlign w:val="bottom"/>
            <w:shd w:val="clear" w:color="auto" w:fill="D9D9D9"/>
          </w:tcPr>
          <w:p>
            <w:pPr>
              <w:spacing w:after="0"/>
              <w:rPr>
                <w:sz w:val="16"/>
                <w:szCs w:val="16"/>
                <w:color w:val="auto"/>
              </w:rPr>
            </w:pPr>
          </w:p>
        </w:tc>
        <w:tc>
          <w:tcPr>
            <w:tcW w:w="9820" w:type="dxa"/>
            <w:vAlign w:val="bottom"/>
            <w:shd w:val="clear" w:color="auto" w:fill="D9D9D9"/>
          </w:tcPr>
          <w:p>
            <w:pPr>
              <w:ind w:left="400"/>
              <w:spacing w:after="0"/>
              <w:rPr>
                <w:sz w:val="20"/>
                <w:szCs w:val="20"/>
                <w:color w:val="auto"/>
              </w:rPr>
            </w:pPr>
            <w:r>
              <w:rPr>
                <w:rFonts w:ascii="Arial" w:cs="Arial" w:eastAsia="Arial" w:hAnsi="Arial"/>
                <w:sz w:val="16"/>
                <w:szCs w:val="16"/>
                <w:color w:val="auto"/>
              </w:rPr>
              <w:t>sustainability goals as part of our Sustainability Endures strategic initiative. The report builds on our longstanding commitment to</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420" w:type="dxa"/>
            <w:vAlign w:val="bottom"/>
            <w:shd w:val="clear" w:color="auto" w:fill="D9D9D9"/>
          </w:tcPr>
          <w:p>
            <w:pPr>
              <w:spacing w:after="0"/>
              <w:rPr>
                <w:sz w:val="18"/>
                <w:szCs w:val="18"/>
                <w:color w:val="auto"/>
              </w:rPr>
            </w:pPr>
          </w:p>
        </w:tc>
        <w:tc>
          <w:tcPr>
            <w:tcW w:w="9820" w:type="dxa"/>
            <w:vAlign w:val="bottom"/>
            <w:shd w:val="clear" w:color="auto" w:fill="D9D9D9"/>
          </w:tcPr>
          <w:p>
            <w:pPr>
              <w:ind w:left="400"/>
              <w:spacing w:after="0"/>
              <w:rPr>
                <w:sz w:val="20"/>
                <w:szCs w:val="20"/>
                <w:color w:val="auto"/>
              </w:rPr>
            </w:pPr>
            <w:r>
              <w:rPr>
                <w:rFonts w:ascii="Arial" w:cs="Arial" w:eastAsia="Arial" w:hAnsi="Arial"/>
                <w:sz w:val="16"/>
                <w:szCs w:val="16"/>
                <w:color w:val="auto"/>
              </w:rPr>
              <w:t>making a positive impact financially, socially and environmentally worldwide.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8"/>
        </w:trPr>
        <w:tc>
          <w:tcPr>
            <w:tcW w:w="1420" w:type="dxa"/>
            <w:vAlign w:val="bottom"/>
          </w:tcPr>
          <w:p>
            <w:pPr>
              <w:spacing w:after="0"/>
              <w:rPr>
                <w:sz w:val="24"/>
                <w:szCs w:val="24"/>
                <w:color w:val="auto"/>
              </w:rPr>
            </w:pPr>
          </w:p>
        </w:tc>
        <w:tc>
          <w:tcPr>
            <w:tcW w:w="9820" w:type="dxa"/>
            <w:vAlign w:val="bottom"/>
          </w:tcPr>
          <w:p>
            <w:pPr>
              <w:ind w:left="4120"/>
              <w:spacing w:after="0"/>
              <w:rPr>
                <w:sz w:val="20"/>
                <w:szCs w:val="20"/>
                <w:color w:val="auto"/>
              </w:rPr>
            </w:pPr>
            <w:r>
              <w:rPr>
                <w:rFonts w:ascii="Arial" w:cs="Arial" w:eastAsia="Arial" w:hAnsi="Arial"/>
                <w:sz w:val="18"/>
                <w:szCs w:val="18"/>
                <w:color w:val="auto"/>
              </w:rPr>
              <w:t>vii</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420" w:type="dxa"/>
            <w:vAlign w:val="bottom"/>
            <w:tcBorders>
              <w:bottom w:val="single" w:sz="8" w:color="9A9A9A"/>
            </w:tcBorders>
          </w:tcPr>
          <w:p>
            <w:pPr>
              <w:spacing w:after="0"/>
              <w:rPr>
                <w:sz w:val="8"/>
                <w:szCs w:val="8"/>
                <w:color w:val="auto"/>
              </w:rPr>
            </w:pPr>
          </w:p>
        </w:tc>
        <w:tc>
          <w:tcPr>
            <w:tcW w:w="98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3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FFFFF"/>
        </w:rPr>
        <w:t>Strategic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20" w:type="dxa"/>
            <w:vAlign w:val="bottom"/>
            <w:tcBorders>
              <w:top w:val="single" w:sz="8" w:color="BFBFBF"/>
            </w:tcBorders>
            <w:vMerge w:val="restart"/>
          </w:tcPr>
          <w:p>
            <w:pPr>
              <w:ind w:left="40"/>
              <w:spacing w:after="0" w:line="251" w:lineRule="exact"/>
              <w:rPr>
                <w:sz w:val="20"/>
                <w:szCs w:val="20"/>
                <w:color w:val="auto"/>
              </w:rPr>
            </w:pPr>
            <w:r>
              <w:rPr>
                <w:rFonts w:ascii="MS PGothic" w:cs="MS PGothic" w:eastAsia="MS PGothic" w:hAnsi="MS PGothic"/>
                <w:sz w:val="25"/>
                <w:szCs w:val="25"/>
                <w:color w:val="auto"/>
                <w:shd w:val="clear" w:color="auto" w:fill="C00000"/>
              </w:rPr>
              <w:t>✓</w:t>
            </w:r>
          </w:p>
        </w:tc>
        <w:tc>
          <w:tcPr>
            <w:tcW w:w="10220" w:type="dxa"/>
            <w:vAlign w:val="bottom"/>
            <w:tcBorders>
              <w:top w:val="single" w:sz="8" w:color="BFBFBF"/>
            </w:tcBorders>
          </w:tcPr>
          <w:p>
            <w:pPr>
              <w:ind w:left="780"/>
              <w:spacing w:after="0" w:line="182" w:lineRule="exact"/>
              <w:rPr>
                <w:sz w:val="20"/>
                <w:szCs w:val="20"/>
                <w:color w:val="auto"/>
              </w:rPr>
            </w:pPr>
            <w:r>
              <w:rPr>
                <w:rFonts w:ascii="Arial" w:cs="Arial" w:eastAsia="Arial" w:hAnsi="Arial"/>
                <w:sz w:val="16"/>
                <w:szCs w:val="16"/>
                <w:b w:val="1"/>
                <w:bCs w:val="1"/>
                <w:i w:val="1"/>
                <w:iCs w:val="1"/>
                <w:color w:val="auto"/>
              </w:rPr>
              <w:t>Accelerating Profitable Growth, Driving Productivity and Operational Excellence and Empowering our People</w:t>
            </w:r>
          </w:p>
        </w:tc>
        <w:tc>
          <w:tcPr>
            <w:tcW w:w="0" w:type="dxa"/>
            <w:vAlign w:val="bottom"/>
          </w:tcPr>
          <w:p>
            <w:pPr>
              <w:spacing w:after="0"/>
              <w:rPr>
                <w:sz w:val="1"/>
                <w:szCs w:val="1"/>
                <w:color w:val="auto"/>
              </w:rPr>
            </w:pPr>
          </w:p>
        </w:tc>
      </w:tr>
      <w:tr>
        <w:trPr>
          <w:trHeight w:val="189"/>
        </w:trPr>
        <w:tc>
          <w:tcPr>
            <w:tcW w:w="1020" w:type="dxa"/>
            <w:vAlign w:val="bottom"/>
            <w:vMerge w:val="continue"/>
          </w:tcPr>
          <w:p>
            <w:pPr>
              <w:spacing w:after="0"/>
              <w:rPr>
                <w:sz w:val="16"/>
                <w:szCs w:val="16"/>
                <w:color w:val="auto"/>
              </w:rPr>
            </w:pPr>
          </w:p>
        </w:tc>
        <w:tc>
          <w:tcPr>
            <w:tcW w:w="10220" w:type="dxa"/>
            <w:vAlign w:val="bottom"/>
          </w:tcPr>
          <w:p>
            <w:pPr>
              <w:ind w:left="780"/>
              <w:spacing w:after="0"/>
              <w:rPr>
                <w:sz w:val="20"/>
                <w:szCs w:val="20"/>
                <w:color w:val="auto"/>
              </w:rPr>
            </w:pPr>
            <w:r>
              <w:rPr>
                <w:rFonts w:ascii="Arial" w:cs="Arial" w:eastAsia="Arial" w:hAnsi="Arial"/>
                <w:sz w:val="16"/>
                <w:szCs w:val="16"/>
                <w:color w:val="auto"/>
              </w:rPr>
              <w:t>Continued our key strategic priorities of accelerating profitable growth, driving productivity and operational excellence, and</w:t>
            </w:r>
          </w:p>
        </w:tc>
        <w:tc>
          <w:tcPr>
            <w:tcW w:w="0" w:type="dxa"/>
            <w:vAlign w:val="bottom"/>
          </w:tcPr>
          <w:p>
            <w:pPr>
              <w:spacing w:after="0"/>
              <w:rPr>
                <w:sz w:val="1"/>
                <w:szCs w:val="1"/>
                <w:color w:val="auto"/>
              </w:rPr>
            </w:pPr>
          </w:p>
        </w:tc>
      </w:tr>
      <w:tr>
        <w:trPr>
          <w:trHeight w:val="215"/>
        </w:trPr>
        <w:tc>
          <w:tcPr>
            <w:tcW w:w="1020" w:type="dxa"/>
            <w:vAlign w:val="bottom"/>
          </w:tcPr>
          <w:p>
            <w:pPr>
              <w:spacing w:after="0"/>
              <w:rPr>
                <w:sz w:val="18"/>
                <w:szCs w:val="18"/>
                <w:color w:val="auto"/>
              </w:rPr>
            </w:pPr>
          </w:p>
        </w:tc>
        <w:tc>
          <w:tcPr>
            <w:tcW w:w="10220" w:type="dxa"/>
            <w:vAlign w:val="bottom"/>
          </w:tcPr>
          <w:p>
            <w:pPr>
              <w:ind w:left="780"/>
              <w:spacing w:after="0"/>
              <w:rPr>
                <w:sz w:val="20"/>
                <w:szCs w:val="20"/>
                <w:color w:val="auto"/>
              </w:rPr>
            </w:pPr>
            <w:r>
              <w:rPr>
                <w:rFonts w:ascii="Arial" w:cs="Arial" w:eastAsia="Arial" w:hAnsi="Arial"/>
                <w:sz w:val="16"/>
                <w:szCs w:val="16"/>
                <w:color w:val="auto"/>
              </w:rPr>
              <w:t>empowering our people.</w:t>
            </w:r>
          </w:p>
        </w:tc>
        <w:tc>
          <w:tcPr>
            <w:tcW w:w="0" w:type="dxa"/>
            <w:vAlign w:val="bottom"/>
          </w:tcPr>
          <w:p>
            <w:pPr>
              <w:spacing w:after="0"/>
              <w:rPr>
                <w:sz w:val="1"/>
                <w:szCs w:val="1"/>
                <w:color w:val="auto"/>
              </w:rPr>
            </w:pPr>
          </w:p>
        </w:tc>
      </w:tr>
    </w:tbl>
    <w:p>
      <w:pPr>
        <w:spacing w:after="0" w:line="5" w:lineRule="exact"/>
        <w:rPr>
          <w:sz w:val="20"/>
          <w:szCs w:val="20"/>
          <w:color w:val="auto"/>
        </w:rPr>
      </w:pPr>
    </w:p>
    <w:p>
      <w:pPr>
        <w:sectPr>
          <w:pgSz w:w="11900" w:h="16838" w:orient="portrait"/>
          <w:cols w:equalWidth="0" w:num="1">
            <w:col w:w="11260"/>
          </w:cols>
          <w:pgMar w:left="320" w:top="121" w:right="319" w:bottom="1440" w:gutter="0" w:footer="0" w:header="0"/>
        </w:sectPr>
      </w:pPr>
    </w:p>
    <w:p>
      <w:pPr>
        <w:ind w:left="40"/>
        <w:spacing w:after="0" w:line="201" w:lineRule="exact"/>
        <w:rPr>
          <w:sz w:val="20"/>
          <w:szCs w:val="20"/>
          <w:color w:val="auto"/>
        </w:rPr>
      </w:pPr>
      <w:r>
        <w:rPr>
          <w:rFonts w:ascii="MS PGothic" w:cs="MS PGothic" w:eastAsia="MS PGothic" w:hAnsi="MS PGothic"/>
          <w:sz w:val="20"/>
          <w:szCs w:val="20"/>
          <w:color w:val="auto"/>
          <w:shd w:val="clear" w:color="auto" w:fill="C00000"/>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
        <w:spacing w:after="0" w:line="201" w:lineRule="exact"/>
        <w:rPr>
          <w:sz w:val="20"/>
          <w:szCs w:val="20"/>
          <w:color w:val="auto"/>
        </w:rPr>
      </w:pPr>
      <w:r>
        <w:rPr>
          <w:rFonts w:ascii="MS PGothic" w:cs="MS PGothic" w:eastAsia="MS PGothic" w:hAnsi="MS PGothic"/>
          <w:sz w:val="20"/>
          <w:szCs w:val="20"/>
          <w:color w:val="auto"/>
          <w:shd w:val="clear" w:color="auto" w:fill="C00000"/>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Acquisition of Intimidator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-125730</wp:posOffset>
            </wp:positionV>
            <wp:extent cx="7132320" cy="531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ind w:right="140"/>
        <w:spacing w:after="0" w:line="256" w:lineRule="auto"/>
        <w:rPr>
          <w:sz w:val="20"/>
          <w:szCs w:val="20"/>
          <w:color w:val="auto"/>
        </w:rPr>
      </w:pPr>
      <w:r>
        <w:rPr>
          <w:rFonts w:ascii="Arial" w:cs="Arial" w:eastAsia="Arial" w:hAnsi="Arial"/>
          <w:sz w:val="16"/>
          <w:szCs w:val="16"/>
          <w:color w:val="auto"/>
        </w:rPr>
        <w:t>Acquired Intimidator Group in January 2022, which designs, manufactures, markets and sells a commercial-grade line of zero-turn mowers under the Spartan Mowers brand and which broadened our Professional reportable segment and expanded our manufacturing footprint and dealer network.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Continued Focus on Alternative Power, Smart-Connected Products and Autonomous Solutions</w:t>
      </w:r>
    </w:p>
    <w:p>
      <w:pPr>
        <w:spacing w:after="0" w:line="19"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Our creative, hard-working teams drove innovative advancements in technology, focusing on alternative power, smart-connected products and autonomous solutions. This culminated in the launch of our first commercial-grade, battery-powered, zero-emissions stand-on and zero-turn mowers and the showcasing of several autonomous prototypes.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19050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1080" w:space="720"/>
            <w:col w:w="9460"/>
          </w:cols>
          <w:pgMar w:left="320" w:top="121" w:right="319" w:bottom="1440" w:gutter="0" w:footer="0" w:header="0"/>
          <w:type w:val="continuous"/>
        </w:sectPr>
      </w:pPr>
    </w:p>
    <w:p>
      <w:pPr>
        <w:spacing w:after="0"/>
        <w:rPr>
          <w:sz w:val="20"/>
          <w:szCs w:val="20"/>
          <w:color w:val="auto"/>
        </w:rPr>
      </w:pPr>
      <w:r>
        <w:rPr>
          <w:rFonts w:ascii="Arial" w:cs="Arial" w:eastAsia="Arial" w:hAnsi="Arial"/>
          <w:sz w:val="20"/>
          <w:szCs w:val="20"/>
          <w:b w:val="1"/>
          <w:bCs w:val="1"/>
          <w:color w:val="C00000"/>
        </w:rPr>
        <w:t>The Toro Company’s Commitment to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3887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88745"/>
                    </a:xfrm>
                    <a:prstGeom prst="rect">
                      <a:avLst/>
                    </a:prstGeom>
                    <a:noFill/>
                  </pic:spPr>
                </pic:pic>
              </a:graphicData>
            </a:graphic>
          </wp:anchor>
        </w:drawing>
      </w:r>
    </w:p>
    <w:p>
      <w:pPr>
        <w:spacing w:after="0" w:line="187" w:lineRule="exact"/>
        <w:rPr>
          <w:sz w:val="20"/>
          <w:szCs w:val="20"/>
          <w:color w:val="auto"/>
        </w:rPr>
      </w:pPr>
    </w:p>
    <w:p>
      <w:pPr>
        <w:ind w:left="240" w:hanging="219"/>
        <w:spacing w:after="0"/>
        <w:tabs>
          <w:tab w:leader="none" w:pos="240" w:val="left"/>
        </w:tabs>
        <w:numPr>
          <w:ilvl w:val="0"/>
          <w:numId w:val="6"/>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Deeply rooted in our purpose and strategic business priorities</w:t>
      </w:r>
    </w:p>
    <w:p>
      <w:pPr>
        <w:spacing w:after="0" w:line="86" w:lineRule="exact"/>
        <w:rPr>
          <w:rFonts w:ascii="MS PGothic" w:cs="MS PGothic" w:eastAsia="MS PGothic" w:hAnsi="MS PGothic"/>
          <w:sz w:val="20"/>
          <w:szCs w:val="20"/>
          <w:color w:val="auto"/>
          <w:shd w:val="clear" w:color="auto" w:fill="C00000"/>
        </w:rPr>
      </w:pPr>
    </w:p>
    <w:p>
      <w:pPr>
        <w:ind w:left="220" w:right="4540" w:hanging="199"/>
        <w:spacing w:after="0" w:line="261" w:lineRule="auto"/>
        <w:tabs>
          <w:tab w:leader="none" w:pos="246" w:val="left"/>
        </w:tabs>
        <w:numPr>
          <w:ilvl w:val="0"/>
          <w:numId w:val="6"/>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Continuing to advance our sustainability platform, Sustainability Endures, through our focus on Product, Process and People, facilitated by Planning</w:t>
      </w:r>
    </w:p>
    <w:p>
      <w:pPr>
        <w:spacing w:after="0" w:line="46" w:lineRule="exact"/>
        <w:rPr>
          <w:rFonts w:ascii="MS PGothic" w:cs="MS PGothic" w:eastAsia="MS PGothic" w:hAnsi="MS PGothic"/>
          <w:sz w:val="20"/>
          <w:szCs w:val="20"/>
          <w:color w:val="auto"/>
          <w:shd w:val="clear" w:color="auto" w:fill="C00000"/>
        </w:rPr>
      </w:pPr>
    </w:p>
    <w:p>
      <w:pPr>
        <w:ind w:left="220" w:right="4360" w:hanging="199"/>
        <w:spacing w:after="0" w:line="261" w:lineRule="auto"/>
        <w:tabs>
          <w:tab w:leader="none" w:pos="246" w:val="left"/>
        </w:tabs>
        <w:numPr>
          <w:ilvl w:val="0"/>
          <w:numId w:val="6"/>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Demonstrating our commitment with an executive leadership role leading our efforts and enhancing our focus</w:t>
      </w:r>
    </w:p>
    <w:p>
      <w:pPr>
        <w:spacing w:after="0" w:line="46" w:lineRule="exact"/>
        <w:rPr>
          <w:rFonts w:ascii="MS PGothic" w:cs="MS PGothic" w:eastAsia="MS PGothic" w:hAnsi="MS PGothic"/>
          <w:sz w:val="20"/>
          <w:szCs w:val="20"/>
          <w:color w:val="auto"/>
          <w:shd w:val="clear" w:color="auto" w:fill="C00000"/>
        </w:rPr>
      </w:pPr>
    </w:p>
    <w:p>
      <w:pPr>
        <w:ind w:left="240" w:hanging="219"/>
        <w:spacing w:after="0"/>
        <w:tabs>
          <w:tab w:leader="none" w:pos="240" w:val="left"/>
        </w:tabs>
        <w:numPr>
          <w:ilvl w:val="0"/>
          <w:numId w:val="6"/>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Released our fiscal 2021 Sustainability Report in June 2022</w:t>
      </w:r>
    </w:p>
    <w:p>
      <w:pPr>
        <w:spacing w:after="0" w:line="86" w:lineRule="exact"/>
        <w:rPr>
          <w:rFonts w:ascii="MS PGothic" w:cs="MS PGothic" w:eastAsia="MS PGothic" w:hAnsi="MS PGothic"/>
          <w:sz w:val="20"/>
          <w:szCs w:val="20"/>
          <w:color w:val="auto"/>
          <w:shd w:val="clear" w:color="auto" w:fill="C00000"/>
        </w:rPr>
      </w:pPr>
    </w:p>
    <w:p>
      <w:pPr>
        <w:ind w:left="220" w:right="4660" w:hanging="199"/>
        <w:spacing w:after="0" w:line="283" w:lineRule="auto"/>
        <w:tabs>
          <w:tab w:leader="none" w:pos="236" w:val="left"/>
        </w:tabs>
        <w:numPr>
          <w:ilvl w:val="0"/>
          <w:numId w:val="6"/>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Aligning our priorities with six United Nations Sustainable Development Goals to address environmental and social issues globally</w:t>
      </w:r>
    </w:p>
    <w:p>
      <w:pPr>
        <w:sectPr>
          <w:pgSz w:w="11900" w:h="16838" w:orient="portrait"/>
          <w:cols w:equalWidth="0" w:num="1">
            <w:col w:w="11260"/>
          </w:cols>
          <w:pgMar w:left="320" w:top="121" w:right="319" w:bottom="1440" w:gutter="0" w:footer="0" w:header="0"/>
          <w:type w:val="continuous"/>
        </w:sectPr>
      </w:pPr>
    </w:p>
    <w:p>
      <w:pPr>
        <w:spacing w:after="0" w:line="102" w:lineRule="exact"/>
        <w:rPr>
          <w:sz w:val="20"/>
          <w:szCs w:val="20"/>
          <w:color w:val="auto"/>
        </w:rPr>
      </w:pPr>
    </w:p>
    <w:p>
      <w:pPr>
        <w:ind w:left="40"/>
        <w:spacing w:after="0" w:line="266" w:lineRule="auto"/>
        <w:rPr>
          <w:sz w:val="20"/>
          <w:szCs w:val="20"/>
          <w:color w:val="auto"/>
        </w:rPr>
      </w:pPr>
      <w:r>
        <w:rPr>
          <w:rFonts w:ascii="Arial" w:cs="Arial" w:eastAsia="Arial" w:hAnsi="Arial"/>
          <w:sz w:val="17"/>
          <w:szCs w:val="17"/>
          <w:b w:val="1"/>
          <w:bCs w:val="1"/>
          <w:color w:val="C00000"/>
        </w:rPr>
        <w:t xml:space="preserve">PRODUCTS: </w:t>
      </w:r>
      <w:r>
        <w:rPr>
          <w:rFonts w:ascii="Arial" w:cs="Arial" w:eastAsia="Arial" w:hAnsi="Arial"/>
          <w:sz w:val="17"/>
          <w:szCs w:val="17"/>
          <w:color w:val="000000"/>
        </w:rPr>
        <w:t>Develop innovative, safe</w:t>
      </w:r>
      <w:r>
        <w:rPr>
          <w:rFonts w:ascii="Arial" w:cs="Arial" w:eastAsia="Arial" w:hAnsi="Arial"/>
          <w:sz w:val="17"/>
          <w:szCs w:val="17"/>
          <w:b w:val="1"/>
          <w:bCs w:val="1"/>
          <w:color w:val="C00000"/>
        </w:rPr>
        <w:t xml:space="preserve"> </w:t>
      </w:r>
      <w:r>
        <w:rPr>
          <w:rFonts w:ascii="Arial" w:cs="Arial" w:eastAsia="Arial" w:hAnsi="Arial"/>
          <w:sz w:val="17"/>
          <w:szCs w:val="17"/>
          <w:color w:val="000000"/>
        </w:rPr>
        <w:t>and high-quality products that yield performance, productivity and environmental benefits for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2151380" cy="127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1380" cy="1276985"/>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C00000"/>
        </w:rPr>
        <w:t>Product Pillar Goal:</w:t>
      </w:r>
    </w:p>
    <w:p>
      <w:pPr>
        <w:spacing w:after="0" w:line="14" w:lineRule="exact"/>
        <w:rPr>
          <w:sz w:val="20"/>
          <w:szCs w:val="20"/>
          <w:color w:val="auto"/>
        </w:rPr>
      </w:pPr>
    </w:p>
    <w:p>
      <w:pPr>
        <w:ind w:left="40" w:right="260"/>
        <w:spacing w:after="0"/>
        <w:rPr>
          <w:sz w:val="20"/>
          <w:szCs w:val="20"/>
          <w:color w:val="auto"/>
        </w:rPr>
      </w:pPr>
      <w:r>
        <w:rPr>
          <w:rFonts w:ascii="Arial" w:cs="Arial" w:eastAsia="Arial" w:hAnsi="Arial"/>
          <w:sz w:val="18"/>
          <w:szCs w:val="18"/>
          <w:color w:val="auto"/>
        </w:rPr>
        <w:t>By 2025, increase battery and hybrid product sales to at least 20% of total adjusted net sales (motorized product sales)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266" w:lineRule="auto"/>
        <w:rPr>
          <w:sz w:val="20"/>
          <w:szCs w:val="20"/>
          <w:color w:val="auto"/>
        </w:rPr>
      </w:pPr>
      <w:r>
        <w:rPr>
          <w:rFonts w:ascii="Arial" w:cs="Arial" w:eastAsia="Arial" w:hAnsi="Arial"/>
          <w:sz w:val="17"/>
          <w:szCs w:val="17"/>
          <w:b w:val="1"/>
          <w:bCs w:val="1"/>
          <w:color w:val="C00000"/>
        </w:rPr>
        <w:t xml:space="preserve">PROCESS: </w:t>
      </w:r>
      <w:r>
        <w:rPr>
          <w:rFonts w:ascii="Arial" w:cs="Arial" w:eastAsia="Arial" w:hAnsi="Arial"/>
          <w:sz w:val="17"/>
          <w:szCs w:val="17"/>
          <w:color w:val="000000"/>
        </w:rPr>
        <w:t>Continuously improve operational</w:t>
      </w:r>
      <w:r>
        <w:rPr>
          <w:rFonts w:ascii="Arial" w:cs="Arial" w:eastAsia="Arial" w:hAnsi="Arial"/>
          <w:sz w:val="17"/>
          <w:szCs w:val="17"/>
          <w:b w:val="1"/>
          <w:bCs w:val="1"/>
          <w:color w:val="C00000"/>
        </w:rPr>
        <w:t xml:space="preserve"> </w:t>
      </w:r>
      <w:r>
        <w:rPr>
          <w:rFonts w:ascii="Arial" w:cs="Arial" w:eastAsia="Arial" w:hAnsi="Arial"/>
          <w:sz w:val="17"/>
          <w:szCs w:val="17"/>
          <w:color w:val="000000"/>
        </w:rPr>
        <w:t>and resource efficiency; energy, water and waste management; and implement Lean management across our value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-546100</wp:posOffset>
            </wp:positionV>
            <wp:extent cx="2374265" cy="127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74265" cy="1276985"/>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Process Pillar Goal:</w:t>
      </w:r>
    </w:p>
    <w:p>
      <w:pPr>
        <w:spacing w:after="0" w:line="14"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By 2025, reduce absolute Scope 1 and 2 greenhouse gas (GHG) emissions by at least 15% compared to fiscal 2019</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b w:val="1"/>
          <w:bCs w:val="1"/>
          <w:color w:val="C00000"/>
        </w:rPr>
        <w:t xml:space="preserve">PEOPLE: </w:t>
      </w:r>
      <w:r>
        <w:rPr>
          <w:rFonts w:ascii="Arial" w:cs="Arial" w:eastAsia="Arial" w:hAnsi="Arial"/>
          <w:sz w:val="18"/>
          <w:szCs w:val="18"/>
          <w:color w:val="000000"/>
        </w:rPr>
        <w:t>Promote the growth, development,</w:t>
      </w:r>
      <w:r>
        <w:rPr>
          <w:rFonts w:ascii="Arial" w:cs="Arial" w:eastAsia="Arial" w:hAnsi="Arial"/>
          <w:sz w:val="18"/>
          <w:szCs w:val="18"/>
          <w:b w:val="1"/>
          <w:bCs w:val="1"/>
          <w:color w:val="C00000"/>
        </w:rPr>
        <w:t xml:space="preserve"> </w:t>
      </w:r>
      <w:r>
        <w:rPr>
          <w:rFonts w:ascii="Arial" w:cs="Arial" w:eastAsia="Arial" w:hAnsi="Arial"/>
          <w:sz w:val="18"/>
          <w:szCs w:val="18"/>
          <w:color w:val="000000"/>
        </w:rPr>
        <w:t>health, safety and wellness of our employees and give back to the communities where we live and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-537210</wp:posOffset>
            </wp:positionV>
            <wp:extent cx="2503170" cy="127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03170" cy="1276985"/>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People Pillar Goal:</w:t>
      </w:r>
    </w:p>
    <w:p>
      <w:pPr>
        <w:spacing w:after="0" w:line="14"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By 2025, increase the number of women and racial and ethnic minorities in leadership positions by at least 20% compared to fiscal 2021</w:t>
      </w:r>
    </w:p>
    <w:p>
      <w:pPr>
        <w:spacing w:after="0" w:line="86" w:lineRule="exact"/>
        <w:rPr>
          <w:sz w:val="20"/>
          <w:szCs w:val="20"/>
          <w:color w:val="auto"/>
        </w:rPr>
      </w:pPr>
    </w:p>
    <w:p>
      <w:pPr>
        <w:sectPr>
          <w:pgSz w:w="11900" w:h="16838" w:orient="portrait"/>
          <w:cols w:equalWidth="0" w:num="3">
            <w:col w:w="3300" w:space="220"/>
            <w:col w:w="3660" w:space="160"/>
            <w:col w:w="3920"/>
          </w:cols>
          <w:pgMar w:left="320" w:top="121" w:right="319" w:bottom="1440" w:gutter="0" w:footer="0" w:header="0"/>
          <w:type w:val="continuous"/>
        </w:sectPr>
      </w:pPr>
    </w:p>
    <w:p>
      <w:pPr>
        <w:jc w:val="center"/>
        <w:spacing w:after="0" w:line="271" w:lineRule="auto"/>
        <w:rPr>
          <w:sz w:val="20"/>
          <w:szCs w:val="20"/>
          <w:color w:val="auto"/>
        </w:rPr>
      </w:pPr>
      <w:r>
        <w:rPr>
          <w:rFonts w:ascii="Arial" w:cs="Arial" w:eastAsia="Arial" w:hAnsi="Arial"/>
          <w:sz w:val="18"/>
          <w:szCs w:val="18"/>
          <w:b w:val="1"/>
          <w:bCs w:val="1"/>
          <w:color w:val="C00000"/>
        </w:rPr>
        <w:t xml:space="preserve">PLANNING: </w:t>
      </w:r>
      <w:r>
        <w:rPr>
          <w:rFonts w:ascii="Arial" w:cs="Arial" w:eastAsia="Arial" w:hAnsi="Arial"/>
          <w:sz w:val="18"/>
          <w:szCs w:val="18"/>
          <w:color w:val="000000"/>
        </w:rPr>
        <w:t>Embed sustainability into our culture by enhancing our strategic approach to sustainability initiatives, providing more</w:t>
      </w:r>
      <w:r>
        <w:rPr>
          <w:rFonts w:ascii="Arial" w:cs="Arial" w:eastAsia="Arial" w:hAnsi="Arial"/>
          <w:sz w:val="18"/>
          <w:szCs w:val="18"/>
          <w:b w:val="1"/>
          <w:bCs w:val="1"/>
          <w:color w:val="C00000"/>
        </w:rPr>
        <w:t xml:space="preserve"> </w:t>
      </w:r>
      <w:r>
        <w:rPr>
          <w:rFonts w:ascii="Arial" w:cs="Arial" w:eastAsia="Arial" w:hAnsi="Arial"/>
          <w:sz w:val="18"/>
          <w:szCs w:val="18"/>
          <w:color w:val="000000"/>
        </w:rPr>
        <w:t>transparency and supporting our pillars and program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2023 Annual Meeting of Shareholders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620" w:type="dxa"/>
            <w:vAlign w:val="bottom"/>
            <w:tcBorders>
              <w:right w:val="single" w:sz="8" w:color="auto"/>
            </w:tcBorders>
          </w:tcPr>
          <w:p>
            <w:pPr>
              <w:spacing w:after="0"/>
              <w:rPr>
                <w:sz w:val="23"/>
                <w:szCs w:val="23"/>
                <w:color w:val="auto"/>
              </w:rPr>
            </w:pPr>
          </w:p>
        </w:tc>
        <w:tc>
          <w:tcPr>
            <w:tcW w:w="3060" w:type="dxa"/>
            <w:vAlign w:val="bottom"/>
            <w:tcBorders>
              <w:top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8"/>
                <w:szCs w:val="18"/>
                <w:b w:val="1"/>
                <w:bCs w:val="1"/>
                <w:color w:val="C00000"/>
              </w:rPr>
              <w:t>Date and Time</w:t>
            </w:r>
          </w:p>
        </w:tc>
        <w:tc>
          <w:tcPr>
            <w:tcW w:w="100" w:type="dxa"/>
            <w:vAlign w:val="bottom"/>
            <w:tcBorders>
              <w:right w:val="single" w:sz="8" w:color="auto"/>
            </w:tcBorders>
          </w:tcPr>
          <w:p>
            <w:pPr>
              <w:spacing w:after="0"/>
              <w:rPr>
                <w:sz w:val="23"/>
                <w:szCs w:val="23"/>
                <w:color w:val="auto"/>
              </w:rPr>
            </w:pPr>
          </w:p>
        </w:tc>
        <w:tc>
          <w:tcPr>
            <w:tcW w:w="4900" w:type="dxa"/>
            <w:vAlign w:val="bottom"/>
            <w:tcBorders>
              <w:top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8"/>
                <w:szCs w:val="18"/>
                <w:b w:val="1"/>
                <w:bCs w:val="1"/>
                <w:color w:val="C00000"/>
              </w:rPr>
              <w:t>Location</w:t>
            </w:r>
          </w:p>
        </w:tc>
        <w:tc>
          <w:tcPr>
            <w:tcW w:w="100" w:type="dxa"/>
            <w:vAlign w:val="bottom"/>
            <w:tcBorders>
              <w:right w:val="single" w:sz="8" w:color="auto"/>
            </w:tcBorders>
          </w:tcPr>
          <w:p>
            <w:pPr>
              <w:spacing w:after="0"/>
              <w:rPr>
                <w:sz w:val="23"/>
                <w:szCs w:val="23"/>
                <w:color w:val="auto"/>
              </w:rPr>
            </w:pPr>
          </w:p>
        </w:tc>
        <w:tc>
          <w:tcPr>
            <w:tcW w:w="1880" w:type="dxa"/>
            <w:vAlign w:val="bottom"/>
            <w:tcBorders>
              <w:top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8"/>
                <w:szCs w:val="18"/>
                <w:b w:val="1"/>
                <w:bCs w:val="1"/>
                <w:color w:val="C00000"/>
              </w:rPr>
              <w:t>Record Date</w:t>
            </w:r>
          </w:p>
        </w:tc>
        <w:tc>
          <w:tcPr>
            <w:tcW w:w="600" w:type="dxa"/>
            <w:vAlign w:val="bottom"/>
          </w:tcPr>
          <w:p>
            <w:pPr>
              <w:spacing w:after="0"/>
              <w:rPr>
                <w:sz w:val="23"/>
                <w:szCs w:val="23"/>
                <w:color w:val="auto"/>
              </w:rPr>
            </w:pPr>
          </w:p>
        </w:tc>
      </w:tr>
      <w:tr>
        <w:trPr>
          <w:trHeight w:val="203"/>
        </w:trPr>
        <w:tc>
          <w:tcPr>
            <w:tcW w:w="620" w:type="dxa"/>
            <w:vAlign w:val="bottom"/>
            <w:tcBorders>
              <w:right w:val="single" w:sz="8" w:color="auto"/>
            </w:tcBorders>
          </w:tcPr>
          <w:p>
            <w:pPr>
              <w:spacing w:after="0"/>
              <w:rPr>
                <w:sz w:val="17"/>
                <w:szCs w:val="17"/>
                <w:color w:val="auto"/>
              </w:rPr>
            </w:pPr>
          </w:p>
        </w:tc>
        <w:tc>
          <w:tcPr>
            <w:tcW w:w="3060" w:type="dxa"/>
            <w:vAlign w:val="bottom"/>
            <w:tcBorders>
              <w:right w:val="single" w:sz="8" w:color="auto"/>
            </w:tcBorders>
            <w:shd w:val="clear" w:color="auto" w:fill="D9D9D9"/>
          </w:tcPr>
          <w:p>
            <w:pPr>
              <w:ind w:left="120"/>
              <w:spacing w:after="0" w:line="202" w:lineRule="exact"/>
              <w:rPr>
                <w:sz w:val="20"/>
                <w:szCs w:val="20"/>
                <w:color w:val="auto"/>
              </w:rPr>
            </w:pPr>
            <w:r>
              <w:rPr>
                <w:rFonts w:ascii="Arial" w:cs="Arial" w:eastAsia="Arial" w:hAnsi="Arial"/>
                <w:sz w:val="18"/>
                <w:szCs w:val="18"/>
                <w:color w:val="auto"/>
              </w:rPr>
              <w:t>Tuesday, March 21, 2023</w:t>
            </w:r>
          </w:p>
        </w:tc>
        <w:tc>
          <w:tcPr>
            <w:tcW w:w="100" w:type="dxa"/>
            <w:vAlign w:val="bottom"/>
            <w:tcBorders>
              <w:right w:val="single" w:sz="8" w:color="auto"/>
            </w:tcBorders>
          </w:tcPr>
          <w:p>
            <w:pPr>
              <w:spacing w:after="0"/>
              <w:rPr>
                <w:sz w:val="17"/>
                <w:szCs w:val="17"/>
                <w:color w:val="auto"/>
              </w:rPr>
            </w:pPr>
          </w:p>
        </w:tc>
        <w:tc>
          <w:tcPr>
            <w:tcW w:w="4900" w:type="dxa"/>
            <w:vAlign w:val="bottom"/>
            <w:tcBorders>
              <w:right w:val="single" w:sz="8" w:color="auto"/>
            </w:tcBorders>
            <w:shd w:val="clear" w:color="auto" w:fill="D9D9D9"/>
          </w:tcPr>
          <w:p>
            <w:pPr>
              <w:ind w:left="120"/>
              <w:spacing w:after="0" w:line="202" w:lineRule="exact"/>
              <w:rPr>
                <w:sz w:val="20"/>
                <w:szCs w:val="20"/>
                <w:color w:val="auto"/>
              </w:rPr>
            </w:pPr>
            <w:r>
              <w:rPr>
                <w:rFonts w:ascii="Arial" w:cs="Arial" w:eastAsia="Arial" w:hAnsi="Arial"/>
                <w:sz w:val="18"/>
                <w:szCs w:val="18"/>
                <w:color w:val="auto"/>
              </w:rPr>
              <w:t>www.virtualshareholdermeeting.com/TTC2023</w:t>
            </w:r>
          </w:p>
        </w:tc>
        <w:tc>
          <w:tcPr>
            <w:tcW w:w="10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shd w:val="clear" w:color="auto" w:fill="D9D9D9"/>
          </w:tcPr>
          <w:p>
            <w:pPr>
              <w:ind w:left="120"/>
              <w:spacing w:after="0" w:line="202" w:lineRule="exact"/>
              <w:rPr>
                <w:sz w:val="20"/>
                <w:szCs w:val="20"/>
                <w:color w:val="auto"/>
              </w:rPr>
            </w:pPr>
            <w:r>
              <w:rPr>
                <w:rFonts w:ascii="Arial" w:cs="Arial" w:eastAsia="Arial" w:hAnsi="Arial"/>
                <w:sz w:val="18"/>
                <w:szCs w:val="18"/>
                <w:color w:val="auto"/>
              </w:rPr>
              <w:t>January 20, 2023</w:t>
            </w:r>
          </w:p>
        </w:tc>
        <w:tc>
          <w:tcPr>
            <w:tcW w:w="600" w:type="dxa"/>
            <w:vAlign w:val="bottom"/>
          </w:tcPr>
          <w:p>
            <w:pPr>
              <w:spacing w:after="0"/>
              <w:rPr>
                <w:sz w:val="17"/>
                <w:szCs w:val="17"/>
                <w:color w:val="auto"/>
              </w:rPr>
            </w:pPr>
          </w:p>
        </w:tc>
      </w:tr>
      <w:tr>
        <w:trPr>
          <w:trHeight w:val="235"/>
        </w:trPr>
        <w:tc>
          <w:tcPr>
            <w:tcW w:w="620" w:type="dxa"/>
            <w:vAlign w:val="bottom"/>
            <w:tcBorders>
              <w:right w:val="single" w:sz="8" w:color="auto"/>
            </w:tcBorders>
          </w:tcPr>
          <w:p>
            <w:pPr>
              <w:spacing w:after="0"/>
              <w:rPr>
                <w:sz w:val="20"/>
                <w:szCs w:val="20"/>
                <w:color w:val="auto"/>
              </w:rPr>
            </w:pPr>
          </w:p>
        </w:tc>
        <w:tc>
          <w:tcPr>
            <w:tcW w:w="3060" w:type="dxa"/>
            <w:vAlign w:val="bottom"/>
            <w:tcBorders>
              <w:bottom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8"/>
                <w:szCs w:val="18"/>
                <w:color w:val="auto"/>
              </w:rPr>
              <w:t>2:00 p.m. CDT</w:t>
            </w:r>
          </w:p>
        </w:tc>
        <w:tc>
          <w:tcPr>
            <w:tcW w:w="100" w:type="dxa"/>
            <w:vAlign w:val="bottom"/>
            <w:tcBorders>
              <w:right w:val="single" w:sz="8" w:color="auto"/>
            </w:tcBorders>
          </w:tcPr>
          <w:p>
            <w:pPr>
              <w:spacing w:after="0"/>
              <w:rPr>
                <w:sz w:val="20"/>
                <w:szCs w:val="20"/>
                <w:color w:val="auto"/>
              </w:rPr>
            </w:pPr>
          </w:p>
        </w:tc>
        <w:tc>
          <w:tcPr>
            <w:tcW w:w="4900" w:type="dxa"/>
            <w:vAlign w:val="bottom"/>
            <w:tcBorders>
              <w:bottom w:val="single" w:sz="8" w:color="auto"/>
              <w:right w:val="single" w:sz="8" w:color="auto"/>
            </w:tcBorders>
            <w:shd w:val="clear" w:color="auto" w:fill="D9D9D9"/>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shd w:val="clear" w:color="auto" w:fill="D9D9D9"/>
          </w:tcPr>
          <w:p>
            <w:pPr>
              <w:spacing w:after="0"/>
              <w:rPr>
                <w:sz w:val="20"/>
                <w:szCs w:val="20"/>
                <w:color w:val="auto"/>
              </w:rPr>
            </w:pPr>
          </w:p>
        </w:tc>
        <w:tc>
          <w:tcPr>
            <w:tcW w:w="600" w:type="dxa"/>
            <w:vAlign w:val="bottom"/>
          </w:tcPr>
          <w:p>
            <w:pPr>
              <w:spacing w:after="0"/>
              <w:rPr>
                <w:sz w:val="20"/>
                <w:szCs w:val="20"/>
                <w:color w:val="auto"/>
              </w:rPr>
            </w:pPr>
          </w:p>
        </w:tc>
      </w:tr>
      <w:tr>
        <w:trPr>
          <w:trHeight w:val="430"/>
        </w:trPr>
        <w:tc>
          <w:tcPr>
            <w:tcW w:w="6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tcPr>
          <w:p>
            <w:pPr>
              <w:ind w:left="1740"/>
              <w:spacing w:after="0"/>
              <w:rPr>
                <w:sz w:val="20"/>
                <w:szCs w:val="20"/>
                <w:color w:val="auto"/>
              </w:rPr>
            </w:pPr>
            <w:r>
              <w:rPr>
                <w:rFonts w:ascii="Arial" w:cs="Arial" w:eastAsia="Arial" w:hAnsi="Arial"/>
                <w:sz w:val="18"/>
                <w:szCs w:val="18"/>
                <w:color w:val="auto"/>
              </w:rPr>
              <w:t>viii</w:t>
            </w: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98"/>
        </w:trPr>
        <w:tc>
          <w:tcPr>
            <w:tcW w:w="620" w:type="dxa"/>
            <w:vAlign w:val="bottom"/>
            <w:tcBorders>
              <w:bottom w:val="single" w:sz="8" w:color="9A9A9A"/>
            </w:tcBorders>
          </w:tcPr>
          <w:p>
            <w:pPr>
              <w:spacing w:after="0"/>
              <w:rPr>
                <w:sz w:val="8"/>
                <w:szCs w:val="8"/>
                <w:color w:val="auto"/>
              </w:rPr>
            </w:pPr>
          </w:p>
        </w:tc>
        <w:tc>
          <w:tcPr>
            <w:tcW w:w="30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9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Meeting Agenda Voting Matters and Recommendations</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8640" w:type="dxa"/>
            <w:vAlign w:val="bottom"/>
            <w:tcBorders>
              <w:top w:val="single" w:sz="8" w:color="auto"/>
              <w:left w:val="single" w:sz="8" w:color="auto"/>
            </w:tcBorders>
            <w:shd w:val="clear" w:color="auto" w:fill="D9D9D9"/>
          </w:tcPr>
          <w:p>
            <w:pPr>
              <w:ind w:left="60"/>
              <w:spacing w:after="0"/>
              <w:rPr>
                <w:sz w:val="20"/>
                <w:szCs w:val="20"/>
                <w:color w:val="auto"/>
              </w:rPr>
            </w:pPr>
            <w:r>
              <w:rPr>
                <w:rFonts w:ascii="Arial" w:cs="Arial" w:eastAsia="Arial" w:hAnsi="Arial"/>
                <w:sz w:val="18"/>
                <w:szCs w:val="18"/>
                <w:b w:val="1"/>
                <w:bCs w:val="1"/>
                <w:color w:val="C00000"/>
              </w:rPr>
              <w:t>Proposal One</w:t>
            </w:r>
          </w:p>
        </w:tc>
        <w:tc>
          <w:tcPr>
            <w:tcW w:w="620" w:type="dxa"/>
            <w:vAlign w:val="bottom"/>
            <w:tcBorders>
              <w:top w:val="single" w:sz="8" w:color="auto"/>
            </w:tcBorders>
            <w:shd w:val="clear" w:color="auto" w:fill="D9D9D9"/>
          </w:tcPr>
          <w:p>
            <w:pPr>
              <w:spacing w:after="0"/>
              <w:rPr>
                <w:sz w:val="23"/>
                <w:szCs w:val="23"/>
                <w:color w:val="auto"/>
              </w:rPr>
            </w:pPr>
          </w:p>
        </w:tc>
        <w:tc>
          <w:tcPr>
            <w:tcW w:w="940" w:type="dxa"/>
            <w:vAlign w:val="bottom"/>
            <w:tcBorders>
              <w:top w:val="single" w:sz="8" w:color="auto"/>
            </w:tcBorders>
            <w:shd w:val="clear" w:color="auto" w:fill="D9D9D9"/>
          </w:tcPr>
          <w:p>
            <w:pPr>
              <w:ind w:left="80"/>
              <w:spacing w:after="0"/>
              <w:rPr>
                <w:sz w:val="20"/>
                <w:szCs w:val="20"/>
                <w:color w:val="auto"/>
              </w:rPr>
            </w:pPr>
            <w:r>
              <w:rPr>
                <w:rFonts w:ascii="Arial" w:cs="Arial" w:eastAsia="Arial" w:hAnsi="Arial"/>
                <w:sz w:val="18"/>
                <w:szCs w:val="18"/>
                <w:color w:val="auto"/>
              </w:rPr>
              <w:t>FOR</w:t>
            </w:r>
          </w:p>
        </w:tc>
        <w:tc>
          <w:tcPr>
            <w:tcW w:w="1040" w:type="dxa"/>
            <w:vAlign w:val="bottom"/>
            <w:tcBorders>
              <w:top w:val="single" w:sz="8" w:color="auto"/>
              <w:right w:val="single" w:sz="8" w:color="auto"/>
            </w:tcBorders>
            <w:vMerge w:val="restart"/>
            <w:shd w:val="clear" w:color="auto" w:fill="D9D9D9"/>
          </w:tcPr>
          <w:p>
            <w:pPr>
              <w:ind w:left="180"/>
              <w:spacing w:after="0"/>
              <w:rPr>
                <w:sz w:val="20"/>
                <w:szCs w:val="20"/>
                <w:color w:val="auto"/>
              </w:rPr>
            </w:pPr>
            <w:r>
              <w:rPr>
                <w:rFonts w:ascii="Arial" w:cs="Arial" w:eastAsia="Arial" w:hAnsi="Arial"/>
                <w:sz w:val="18"/>
                <w:szCs w:val="18"/>
                <w:color w:val="auto"/>
              </w:rPr>
              <w:t>Page 5</w:t>
            </w:r>
          </w:p>
        </w:tc>
        <w:tc>
          <w:tcPr>
            <w:tcW w:w="0" w:type="dxa"/>
            <w:vAlign w:val="bottom"/>
          </w:tcPr>
          <w:p>
            <w:pPr>
              <w:spacing w:after="0"/>
              <w:rPr>
                <w:sz w:val="1"/>
                <w:szCs w:val="1"/>
                <w:color w:val="auto"/>
              </w:rPr>
            </w:pPr>
          </w:p>
        </w:tc>
      </w:tr>
      <w:tr>
        <w:trPr>
          <w:trHeight w:val="176"/>
        </w:trPr>
        <w:tc>
          <w:tcPr>
            <w:tcW w:w="8640" w:type="dxa"/>
            <w:vAlign w:val="bottom"/>
            <w:tcBorders>
              <w:left w:val="single" w:sz="8" w:color="auto"/>
            </w:tcBorders>
            <w:shd w:val="clear" w:color="auto" w:fill="D9D9D9"/>
          </w:tcPr>
          <w:p>
            <w:pPr>
              <w:ind w:left="60"/>
              <w:spacing w:after="0" w:line="176" w:lineRule="exact"/>
              <w:rPr>
                <w:sz w:val="20"/>
                <w:szCs w:val="20"/>
                <w:color w:val="auto"/>
              </w:rPr>
            </w:pPr>
            <w:r>
              <w:rPr>
                <w:rFonts w:ascii="Arial" w:cs="Arial" w:eastAsia="Arial" w:hAnsi="Arial"/>
                <w:sz w:val="18"/>
                <w:szCs w:val="18"/>
                <w:color w:val="auto"/>
              </w:rPr>
              <w:t>To elect as directors the three nominees named in this proxy statement, each to</w:t>
            </w:r>
          </w:p>
        </w:tc>
        <w:tc>
          <w:tcPr>
            <w:tcW w:w="620" w:type="dxa"/>
            <w:vAlign w:val="bottom"/>
            <w:shd w:val="clear" w:color="auto" w:fill="D9D9D9"/>
          </w:tcPr>
          <w:p>
            <w:pPr>
              <w:spacing w:after="0"/>
              <w:rPr>
                <w:sz w:val="15"/>
                <w:szCs w:val="15"/>
                <w:color w:val="auto"/>
              </w:rPr>
            </w:pPr>
          </w:p>
        </w:tc>
        <w:tc>
          <w:tcPr>
            <w:tcW w:w="940" w:type="dxa"/>
            <w:vAlign w:val="bottom"/>
            <w:shd w:val="clear" w:color="auto" w:fill="D9D9D9"/>
          </w:tcPr>
          <w:p>
            <w:pPr>
              <w:ind w:left="80"/>
              <w:spacing w:after="0" w:line="176" w:lineRule="exact"/>
              <w:rPr>
                <w:sz w:val="20"/>
                <w:szCs w:val="20"/>
                <w:color w:val="auto"/>
              </w:rPr>
            </w:pPr>
            <w:r>
              <w:rPr>
                <w:rFonts w:ascii="Arial" w:cs="Arial" w:eastAsia="Arial" w:hAnsi="Arial"/>
                <w:sz w:val="18"/>
                <w:szCs w:val="18"/>
                <w:color w:val="auto"/>
              </w:rPr>
              <w:t>each</w:t>
            </w:r>
          </w:p>
        </w:tc>
        <w:tc>
          <w:tcPr>
            <w:tcW w:w="1040" w:type="dxa"/>
            <w:vAlign w:val="bottom"/>
            <w:tcBorders>
              <w:right w:val="single" w:sz="8" w:color="auto"/>
            </w:tcBorders>
            <w:vMerge w:val="continue"/>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8640" w:type="dxa"/>
            <w:vAlign w:val="bottom"/>
            <w:tcBorders>
              <w:left w:val="single" w:sz="8" w:color="auto"/>
              <w:bottom w:val="single" w:sz="8" w:color="auto"/>
            </w:tcBorders>
            <w:shd w:val="clear" w:color="auto" w:fill="D9D9D9"/>
          </w:tcPr>
          <w:p>
            <w:pPr>
              <w:ind w:left="60"/>
              <w:spacing w:after="0"/>
              <w:rPr>
                <w:sz w:val="20"/>
                <w:szCs w:val="20"/>
                <w:color w:val="auto"/>
              </w:rPr>
            </w:pPr>
            <w:r>
              <w:rPr>
                <w:rFonts w:ascii="Arial" w:cs="Arial" w:eastAsia="Arial" w:hAnsi="Arial"/>
                <w:sz w:val="18"/>
                <w:szCs w:val="18"/>
                <w:color w:val="auto"/>
              </w:rPr>
              <w:t>serve for a term of three years ending at the 2026 Annual Meeting of Shareholders.</w:t>
            </w:r>
          </w:p>
        </w:tc>
        <w:tc>
          <w:tcPr>
            <w:tcW w:w="1560" w:type="dxa"/>
            <w:vAlign w:val="bottom"/>
            <w:tcBorders>
              <w:bottom w:val="single" w:sz="8" w:color="auto"/>
            </w:tcBorders>
            <w:gridSpan w:val="2"/>
            <w:shd w:val="clear" w:color="auto" w:fill="D9D9D9"/>
          </w:tcPr>
          <w:p>
            <w:pPr>
              <w:ind w:left="80"/>
              <w:spacing w:after="0" w:line="297" w:lineRule="exact"/>
              <w:rPr>
                <w:sz w:val="20"/>
                <w:szCs w:val="20"/>
                <w:color w:val="auto"/>
              </w:rPr>
            </w:pPr>
            <w:r>
              <w:rPr>
                <w:rFonts w:ascii="MS PGothic" w:cs="MS PGothic" w:eastAsia="MS PGothic" w:hAnsi="MS PGothic"/>
                <w:sz w:val="34"/>
                <w:szCs w:val="34"/>
                <w:color w:val="C00000"/>
              </w:rPr>
              <w:t>☑</w:t>
            </w:r>
            <w:r>
              <w:rPr>
                <w:rFonts w:ascii="Arial" w:cs="Arial" w:eastAsia="Arial" w:hAnsi="Arial"/>
                <w:sz w:val="15"/>
                <w:szCs w:val="15"/>
                <w:color w:val="auto"/>
              </w:rPr>
              <w:t xml:space="preserve"> nominee</w:t>
            </w:r>
          </w:p>
        </w:tc>
        <w:tc>
          <w:tcPr>
            <w:tcW w:w="1040" w:type="dxa"/>
            <w:vAlign w:val="bottom"/>
            <w:tcBorders>
              <w:bottom w:val="single" w:sz="8" w:color="auto"/>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86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8640" w:type="dxa"/>
            <w:vAlign w:val="bottom"/>
            <w:tcBorders>
              <w:left w:val="single" w:sz="8" w:color="auto"/>
            </w:tcBorders>
            <w:shd w:val="clear" w:color="auto" w:fill="D9D9D9"/>
          </w:tcPr>
          <w:p>
            <w:pPr>
              <w:ind w:left="60"/>
              <w:spacing w:after="0"/>
              <w:rPr>
                <w:sz w:val="20"/>
                <w:szCs w:val="20"/>
                <w:color w:val="auto"/>
              </w:rPr>
            </w:pPr>
            <w:r>
              <w:rPr>
                <w:rFonts w:ascii="Arial" w:cs="Arial" w:eastAsia="Arial" w:hAnsi="Arial"/>
                <w:sz w:val="18"/>
                <w:szCs w:val="18"/>
                <w:b w:val="1"/>
                <w:bCs w:val="1"/>
                <w:color w:val="C00000"/>
              </w:rPr>
              <w:t>Proposal Two</w:t>
            </w:r>
          </w:p>
        </w:tc>
        <w:tc>
          <w:tcPr>
            <w:tcW w:w="620" w:type="dxa"/>
            <w:vAlign w:val="bottom"/>
            <w:vMerge w:val="restart"/>
            <w:shd w:val="clear" w:color="auto" w:fill="D9D9D9"/>
          </w:tcPr>
          <w:p>
            <w:pPr>
              <w:ind w:left="80"/>
              <w:spacing w:after="0" w:line="501" w:lineRule="exact"/>
              <w:rPr>
                <w:sz w:val="20"/>
                <w:szCs w:val="20"/>
                <w:color w:val="auto"/>
              </w:rPr>
            </w:pPr>
            <w:r>
              <w:rPr>
                <w:rFonts w:ascii="MS PGothic" w:cs="MS PGothic" w:eastAsia="MS PGothic" w:hAnsi="MS PGothic"/>
                <w:sz w:val="50"/>
                <w:szCs w:val="50"/>
                <w:color w:val="C00000"/>
              </w:rPr>
              <w:t>☑</w:t>
            </w:r>
          </w:p>
        </w:tc>
        <w:tc>
          <w:tcPr>
            <w:tcW w:w="940" w:type="dxa"/>
            <w:vAlign w:val="bottom"/>
            <w:vMerge w:val="restart"/>
            <w:shd w:val="clear" w:color="auto" w:fill="D9D9D9"/>
          </w:tcPr>
          <w:p>
            <w:pPr>
              <w:ind w:left="80"/>
              <w:spacing w:after="0"/>
              <w:rPr>
                <w:sz w:val="20"/>
                <w:szCs w:val="20"/>
                <w:color w:val="auto"/>
              </w:rPr>
            </w:pPr>
            <w:r>
              <w:rPr>
                <w:rFonts w:ascii="Arial" w:cs="Arial" w:eastAsia="Arial" w:hAnsi="Arial"/>
                <w:sz w:val="18"/>
                <w:szCs w:val="18"/>
                <w:color w:val="auto"/>
              </w:rPr>
              <w:t>FOR</w:t>
            </w:r>
          </w:p>
        </w:tc>
        <w:tc>
          <w:tcPr>
            <w:tcW w:w="1040" w:type="dxa"/>
            <w:vAlign w:val="bottom"/>
            <w:tcBorders>
              <w:right w:val="single" w:sz="8" w:color="auto"/>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8640" w:type="dxa"/>
            <w:vAlign w:val="bottom"/>
            <w:tcBorders>
              <w:left w:val="single" w:sz="8" w:color="auto"/>
            </w:tcBorders>
            <w:shd w:val="clear" w:color="auto" w:fill="D9D9D9"/>
          </w:tcPr>
          <w:p>
            <w:pPr>
              <w:ind w:left="60"/>
              <w:spacing w:after="0"/>
              <w:rPr>
                <w:sz w:val="20"/>
                <w:szCs w:val="20"/>
                <w:color w:val="auto"/>
              </w:rPr>
            </w:pPr>
            <w:r>
              <w:rPr>
                <w:rFonts w:ascii="Arial" w:cs="Arial" w:eastAsia="Arial" w:hAnsi="Arial"/>
                <w:sz w:val="18"/>
                <w:szCs w:val="18"/>
                <w:color w:val="auto"/>
              </w:rPr>
              <w:t>To ratify the selection of KPMG LLP as our independent registered public accounting firm for our fiscal year</w:t>
            </w:r>
          </w:p>
        </w:tc>
        <w:tc>
          <w:tcPr>
            <w:tcW w:w="620" w:type="dxa"/>
            <w:vAlign w:val="bottom"/>
            <w:vMerge w:val="continue"/>
            <w:shd w:val="clear" w:color="auto" w:fill="D9D9D9"/>
          </w:tcPr>
          <w:p>
            <w:pPr>
              <w:spacing w:after="0"/>
              <w:rPr>
                <w:sz w:val="18"/>
                <w:szCs w:val="18"/>
                <w:color w:val="auto"/>
              </w:rPr>
            </w:pPr>
          </w:p>
        </w:tc>
        <w:tc>
          <w:tcPr>
            <w:tcW w:w="940" w:type="dxa"/>
            <w:vAlign w:val="bottom"/>
            <w:vMerge w:val="continue"/>
            <w:shd w:val="clear" w:color="auto" w:fill="D9D9D9"/>
          </w:tcPr>
          <w:p>
            <w:pPr>
              <w:spacing w:after="0"/>
              <w:rPr>
                <w:sz w:val="18"/>
                <w:szCs w:val="18"/>
                <w:color w:val="auto"/>
              </w:rPr>
            </w:pPr>
          </w:p>
        </w:tc>
        <w:tc>
          <w:tcPr>
            <w:tcW w:w="1040" w:type="dxa"/>
            <w:vAlign w:val="bottom"/>
            <w:tcBorders>
              <w:right w:val="single" w:sz="8" w:color="auto"/>
            </w:tcBorders>
            <w:shd w:val="clear" w:color="auto" w:fill="D9D9D9"/>
          </w:tcPr>
          <w:p>
            <w:pPr>
              <w:ind w:left="180"/>
              <w:spacing w:after="0"/>
              <w:rPr>
                <w:sz w:val="20"/>
                <w:szCs w:val="20"/>
                <w:color w:val="auto"/>
              </w:rPr>
            </w:pPr>
            <w:r>
              <w:rPr>
                <w:rFonts w:ascii="Arial" w:cs="Arial" w:eastAsia="Arial" w:hAnsi="Arial"/>
                <w:sz w:val="18"/>
                <w:szCs w:val="18"/>
                <w:color w:val="auto"/>
              </w:rPr>
              <w:t>Page 24</w:t>
            </w:r>
          </w:p>
        </w:tc>
        <w:tc>
          <w:tcPr>
            <w:tcW w:w="0" w:type="dxa"/>
            <w:vAlign w:val="bottom"/>
          </w:tcPr>
          <w:p>
            <w:pPr>
              <w:spacing w:after="0"/>
              <w:rPr>
                <w:sz w:val="1"/>
                <w:szCs w:val="1"/>
                <w:color w:val="auto"/>
              </w:rPr>
            </w:pPr>
          </w:p>
        </w:tc>
      </w:tr>
      <w:tr>
        <w:trPr>
          <w:trHeight w:val="275"/>
        </w:trPr>
        <w:tc>
          <w:tcPr>
            <w:tcW w:w="8640" w:type="dxa"/>
            <w:vAlign w:val="bottom"/>
            <w:tcBorders>
              <w:left w:val="single" w:sz="8" w:color="auto"/>
              <w:bottom w:val="single" w:sz="8" w:color="auto"/>
            </w:tcBorders>
            <w:shd w:val="clear" w:color="auto" w:fill="D9D9D9"/>
          </w:tcPr>
          <w:p>
            <w:pPr>
              <w:ind w:left="60"/>
              <w:spacing w:after="0"/>
              <w:rPr>
                <w:sz w:val="20"/>
                <w:szCs w:val="20"/>
                <w:color w:val="auto"/>
              </w:rPr>
            </w:pPr>
            <w:r>
              <w:rPr>
                <w:rFonts w:ascii="Arial" w:cs="Arial" w:eastAsia="Arial" w:hAnsi="Arial"/>
                <w:sz w:val="18"/>
                <w:szCs w:val="18"/>
                <w:color w:val="auto"/>
              </w:rPr>
              <w:t>ending October 31, 2023.</w:t>
            </w:r>
          </w:p>
        </w:tc>
        <w:tc>
          <w:tcPr>
            <w:tcW w:w="620" w:type="dxa"/>
            <w:vAlign w:val="bottom"/>
            <w:tcBorders>
              <w:bottom w:val="single" w:sz="8" w:color="auto"/>
            </w:tcBorders>
            <w:vMerge w:val="continue"/>
            <w:shd w:val="clear" w:color="auto" w:fill="D9D9D9"/>
          </w:tcPr>
          <w:p>
            <w:pPr>
              <w:spacing w:after="0"/>
              <w:rPr>
                <w:sz w:val="23"/>
                <w:szCs w:val="23"/>
                <w:color w:val="auto"/>
              </w:rPr>
            </w:pPr>
          </w:p>
        </w:tc>
        <w:tc>
          <w:tcPr>
            <w:tcW w:w="940" w:type="dxa"/>
            <w:vAlign w:val="bottom"/>
            <w:tcBorders>
              <w:bottom w:val="single" w:sz="8" w:color="auto"/>
            </w:tcBorders>
            <w:shd w:val="clear" w:color="auto" w:fill="D9D9D9"/>
          </w:tcPr>
          <w:p>
            <w:pPr>
              <w:spacing w:after="0"/>
              <w:rPr>
                <w:sz w:val="23"/>
                <w:szCs w:val="23"/>
                <w:color w:val="auto"/>
              </w:rPr>
            </w:pPr>
          </w:p>
        </w:tc>
        <w:tc>
          <w:tcPr>
            <w:tcW w:w="1040" w:type="dxa"/>
            <w:vAlign w:val="bottom"/>
            <w:tcBorders>
              <w:bottom w:val="single" w:sz="8" w:color="auto"/>
              <w:right w:val="single" w:sz="8" w:color="auto"/>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74"/>
        </w:trPr>
        <w:tc>
          <w:tcPr>
            <w:tcW w:w="86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5"/>
        </w:trPr>
        <w:tc>
          <w:tcPr>
            <w:tcW w:w="8640" w:type="dxa"/>
            <w:vAlign w:val="bottom"/>
            <w:tcBorders>
              <w:left w:val="single" w:sz="8" w:color="auto"/>
            </w:tcBorders>
            <w:shd w:val="clear" w:color="auto" w:fill="D9D9D9"/>
          </w:tcPr>
          <w:p>
            <w:pPr>
              <w:ind w:left="60"/>
              <w:spacing w:after="0"/>
              <w:rPr>
                <w:sz w:val="20"/>
                <w:szCs w:val="20"/>
                <w:color w:val="auto"/>
              </w:rPr>
            </w:pPr>
            <w:r>
              <w:rPr>
                <w:rFonts w:ascii="Arial" w:cs="Arial" w:eastAsia="Arial" w:hAnsi="Arial"/>
                <w:sz w:val="18"/>
                <w:szCs w:val="18"/>
                <w:b w:val="1"/>
                <w:bCs w:val="1"/>
                <w:color w:val="C00000"/>
              </w:rPr>
              <w:t>Proposal Three</w:t>
            </w:r>
          </w:p>
        </w:tc>
        <w:tc>
          <w:tcPr>
            <w:tcW w:w="620" w:type="dxa"/>
            <w:vAlign w:val="bottom"/>
            <w:vMerge w:val="restart"/>
            <w:shd w:val="clear" w:color="auto" w:fill="D9D9D9"/>
          </w:tcPr>
          <w:p>
            <w:pPr>
              <w:ind w:left="80"/>
              <w:spacing w:after="0" w:line="501" w:lineRule="exact"/>
              <w:rPr>
                <w:sz w:val="20"/>
                <w:szCs w:val="20"/>
                <w:color w:val="auto"/>
              </w:rPr>
            </w:pPr>
            <w:r>
              <w:rPr>
                <w:rFonts w:ascii="MS PGothic" w:cs="MS PGothic" w:eastAsia="MS PGothic" w:hAnsi="MS PGothic"/>
                <w:sz w:val="50"/>
                <w:szCs w:val="50"/>
                <w:color w:val="C00000"/>
              </w:rPr>
              <w:t>☑</w:t>
            </w:r>
          </w:p>
        </w:tc>
        <w:tc>
          <w:tcPr>
            <w:tcW w:w="940" w:type="dxa"/>
            <w:vAlign w:val="bottom"/>
            <w:vMerge w:val="restart"/>
            <w:shd w:val="clear" w:color="auto" w:fill="D9D9D9"/>
          </w:tcPr>
          <w:p>
            <w:pPr>
              <w:ind w:left="80"/>
              <w:spacing w:after="0"/>
              <w:rPr>
                <w:sz w:val="20"/>
                <w:szCs w:val="20"/>
                <w:color w:val="auto"/>
              </w:rPr>
            </w:pPr>
            <w:r>
              <w:rPr>
                <w:rFonts w:ascii="Arial" w:cs="Arial" w:eastAsia="Arial" w:hAnsi="Arial"/>
                <w:sz w:val="18"/>
                <w:szCs w:val="18"/>
                <w:color w:val="auto"/>
              </w:rPr>
              <w:t>FOR</w:t>
            </w:r>
          </w:p>
        </w:tc>
        <w:tc>
          <w:tcPr>
            <w:tcW w:w="1040" w:type="dxa"/>
            <w:vAlign w:val="bottom"/>
            <w:tcBorders>
              <w:right w:val="single" w:sz="8" w:color="auto"/>
            </w:tcBorders>
            <w:vMerge w:val="restart"/>
            <w:shd w:val="clear" w:color="auto" w:fill="D9D9D9"/>
          </w:tcPr>
          <w:p>
            <w:pPr>
              <w:ind w:left="180"/>
              <w:spacing w:after="0"/>
              <w:rPr>
                <w:sz w:val="20"/>
                <w:szCs w:val="20"/>
                <w:color w:val="auto"/>
              </w:rPr>
            </w:pPr>
            <w:r>
              <w:rPr>
                <w:rFonts w:ascii="Arial" w:cs="Arial" w:eastAsia="Arial" w:hAnsi="Arial"/>
                <w:sz w:val="18"/>
                <w:szCs w:val="18"/>
                <w:color w:val="auto"/>
              </w:rPr>
              <w:t>Page 26</w:t>
            </w:r>
          </w:p>
        </w:tc>
        <w:tc>
          <w:tcPr>
            <w:tcW w:w="0" w:type="dxa"/>
            <w:vAlign w:val="bottom"/>
          </w:tcPr>
          <w:p>
            <w:pPr>
              <w:spacing w:after="0"/>
              <w:rPr>
                <w:sz w:val="1"/>
                <w:szCs w:val="1"/>
                <w:color w:val="auto"/>
              </w:rPr>
            </w:pPr>
          </w:p>
        </w:tc>
      </w:tr>
      <w:tr>
        <w:trPr>
          <w:trHeight w:val="144"/>
        </w:trPr>
        <w:tc>
          <w:tcPr>
            <w:tcW w:w="8640" w:type="dxa"/>
            <w:vAlign w:val="bottom"/>
            <w:tcBorders>
              <w:left w:val="single" w:sz="8" w:color="auto"/>
            </w:tcBorders>
            <w:vMerge w:val="restart"/>
            <w:shd w:val="clear" w:color="auto" w:fill="D9D9D9"/>
          </w:tcPr>
          <w:p>
            <w:pPr>
              <w:ind w:left="60"/>
              <w:spacing w:after="0"/>
              <w:rPr>
                <w:sz w:val="20"/>
                <w:szCs w:val="20"/>
                <w:color w:val="auto"/>
              </w:rPr>
            </w:pPr>
            <w:r>
              <w:rPr>
                <w:rFonts w:ascii="Arial" w:cs="Arial" w:eastAsia="Arial" w:hAnsi="Arial"/>
                <w:sz w:val="18"/>
                <w:szCs w:val="18"/>
                <w:color w:val="auto"/>
              </w:rPr>
              <w:t>To approve, on an advisory basis, our executive compensation.</w:t>
            </w:r>
          </w:p>
        </w:tc>
        <w:tc>
          <w:tcPr>
            <w:tcW w:w="620" w:type="dxa"/>
            <w:vAlign w:val="bottom"/>
            <w:vMerge w:val="continue"/>
            <w:shd w:val="clear" w:color="auto" w:fill="D9D9D9"/>
          </w:tcPr>
          <w:p>
            <w:pPr>
              <w:spacing w:after="0"/>
              <w:rPr>
                <w:sz w:val="12"/>
                <w:szCs w:val="12"/>
                <w:color w:val="auto"/>
              </w:rPr>
            </w:pPr>
          </w:p>
        </w:tc>
        <w:tc>
          <w:tcPr>
            <w:tcW w:w="940" w:type="dxa"/>
            <w:vAlign w:val="bottom"/>
            <w:vMerge w:val="continue"/>
            <w:shd w:val="clear" w:color="auto" w:fill="D9D9D9"/>
          </w:tcPr>
          <w:p>
            <w:pPr>
              <w:spacing w:after="0"/>
              <w:rPr>
                <w:sz w:val="12"/>
                <w:szCs w:val="12"/>
                <w:color w:val="auto"/>
              </w:rPr>
            </w:pPr>
          </w:p>
        </w:tc>
        <w:tc>
          <w:tcPr>
            <w:tcW w:w="1040" w:type="dxa"/>
            <w:vAlign w:val="bottom"/>
            <w:tcBorders>
              <w:right w:val="single" w:sz="8" w:color="auto"/>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8640" w:type="dxa"/>
            <w:vAlign w:val="bottom"/>
            <w:tcBorders>
              <w:left w:val="single" w:sz="8" w:color="auto"/>
              <w:bottom w:val="single" w:sz="8" w:color="auto"/>
            </w:tcBorders>
            <w:vMerge w:val="continue"/>
            <w:shd w:val="clear" w:color="auto" w:fill="D9D9D9"/>
          </w:tcPr>
          <w:p>
            <w:pPr>
              <w:spacing w:after="0"/>
              <w:rPr>
                <w:sz w:val="13"/>
                <w:szCs w:val="13"/>
                <w:color w:val="auto"/>
              </w:rPr>
            </w:pPr>
          </w:p>
        </w:tc>
        <w:tc>
          <w:tcPr>
            <w:tcW w:w="620" w:type="dxa"/>
            <w:vAlign w:val="bottom"/>
            <w:tcBorders>
              <w:bottom w:val="single" w:sz="8" w:color="auto"/>
            </w:tcBorders>
            <w:vMerge w:val="continue"/>
            <w:shd w:val="clear" w:color="auto" w:fill="D9D9D9"/>
          </w:tcPr>
          <w:p>
            <w:pPr>
              <w:spacing w:after="0"/>
              <w:rPr>
                <w:sz w:val="13"/>
                <w:szCs w:val="13"/>
                <w:color w:val="auto"/>
              </w:rPr>
            </w:pPr>
          </w:p>
        </w:tc>
        <w:tc>
          <w:tcPr>
            <w:tcW w:w="940" w:type="dxa"/>
            <w:vAlign w:val="bottom"/>
            <w:tcBorders>
              <w:bottom w:val="single" w:sz="8" w:color="auto"/>
            </w:tcBorders>
            <w:shd w:val="clear" w:color="auto" w:fill="D9D9D9"/>
          </w:tcPr>
          <w:p>
            <w:pPr>
              <w:spacing w:after="0"/>
              <w:rPr>
                <w:sz w:val="13"/>
                <w:szCs w:val="13"/>
                <w:color w:val="auto"/>
              </w:rPr>
            </w:pPr>
          </w:p>
        </w:tc>
        <w:tc>
          <w:tcPr>
            <w:tcW w:w="1040" w:type="dxa"/>
            <w:vAlign w:val="bottom"/>
            <w:tcBorders>
              <w:bottom w:val="single" w:sz="8" w:color="auto"/>
              <w:right w:val="single" w:sz="8" w:color="auto"/>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86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8640" w:type="dxa"/>
            <w:vAlign w:val="bottom"/>
            <w:tcBorders>
              <w:left w:val="single" w:sz="8" w:color="auto"/>
            </w:tcBorders>
            <w:shd w:val="clear" w:color="auto" w:fill="D9D9D9"/>
          </w:tcPr>
          <w:p>
            <w:pPr>
              <w:ind w:left="60"/>
              <w:spacing w:after="0"/>
              <w:rPr>
                <w:sz w:val="20"/>
                <w:szCs w:val="20"/>
                <w:color w:val="auto"/>
              </w:rPr>
            </w:pPr>
            <w:r>
              <w:rPr>
                <w:rFonts w:ascii="Arial" w:cs="Arial" w:eastAsia="Arial" w:hAnsi="Arial"/>
                <w:sz w:val="18"/>
                <w:szCs w:val="18"/>
                <w:b w:val="1"/>
                <w:bCs w:val="1"/>
                <w:color w:val="C00000"/>
              </w:rPr>
              <w:t>Proposal Four</w:t>
            </w:r>
          </w:p>
        </w:tc>
        <w:tc>
          <w:tcPr>
            <w:tcW w:w="620" w:type="dxa"/>
            <w:vAlign w:val="bottom"/>
            <w:vMerge w:val="restart"/>
            <w:shd w:val="clear" w:color="auto" w:fill="D9D9D9"/>
          </w:tcPr>
          <w:p>
            <w:pPr>
              <w:ind w:left="80"/>
              <w:spacing w:after="0" w:line="501" w:lineRule="exact"/>
              <w:rPr>
                <w:sz w:val="20"/>
                <w:szCs w:val="20"/>
                <w:color w:val="auto"/>
              </w:rPr>
            </w:pPr>
            <w:r>
              <w:rPr>
                <w:rFonts w:ascii="MS PGothic" w:cs="MS PGothic" w:eastAsia="MS PGothic" w:hAnsi="MS PGothic"/>
                <w:sz w:val="50"/>
                <w:szCs w:val="50"/>
                <w:color w:val="C00000"/>
              </w:rPr>
              <w:t>☑</w:t>
            </w:r>
          </w:p>
        </w:tc>
        <w:tc>
          <w:tcPr>
            <w:tcW w:w="940" w:type="dxa"/>
            <w:vAlign w:val="bottom"/>
            <w:shd w:val="clear" w:color="auto" w:fill="D9D9D9"/>
          </w:tcPr>
          <w:p>
            <w:pPr>
              <w:ind w:left="80"/>
              <w:spacing w:after="0"/>
              <w:rPr>
                <w:sz w:val="20"/>
                <w:szCs w:val="20"/>
                <w:color w:val="auto"/>
              </w:rPr>
            </w:pPr>
            <w:r>
              <w:rPr>
                <w:rFonts w:ascii="Arial" w:cs="Arial" w:eastAsia="Arial" w:hAnsi="Arial"/>
                <w:sz w:val="18"/>
                <w:szCs w:val="18"/>
                <w:color w:val="auto"/>
              </w:rPr>
              <w:t>ONE</w:t>
            </w:r>
          </w:p>
        </w:tc>
        <w:tc>
          <w:tcPr>
            <w:tcW w:w="1040" w:type="dxa"/>
            <w:vAlign w:val="bottom"/>
            <w:tcBorders>
              <w:right w:val="single" w:sz="8" w:color="auto"/>
            </w:tcBorders>
            <w:vMerge w:val="restart"/>
            <w:shd w:val="clear" w:color="auto" w:fill="D9D9D9"/>
          </w:tcPr>
          <w:p>
            <w:pPr>
              <w:ind w:left="180"/>
              <w:spacing w:after="0"/>
              <w:rPr>
                <w:sz w:val="20"/>
                <w:szCs w:val="20"/>
                <w:color w:val="auto"/>
              </w:rPr>
            </w:pPr>
            <w:r>
              <w:rPr>
                <w:rFonts w:ascii="Arial" w:cs="Arial" w:eastAsia="Arial" w:hAnsi="Arial"/>
                <w:sz w:val="18"/>
                <w:szCs w:val="18"/>
                <w:color w:val="auto"/>
              </w:rPr>
              <w:t>Page 28</w:t>
            </w:r>
          </w:p>
        </w:tc>
        <w:tc>
          <w:tcPr>
            <w:tcW w:w="0" w:type="dxa"/>
            <w:vAlign w:val="bottom"/>
          </w:tcPr>
          <w:p>
            <w:pPr>
              <w:spacing w:after="0"/>
              <w:rPr>
                <w:sz w:val="1"/>
                <w:szCs w:val="1"/>
                <w:color w:val="auto"/>
              </w:rPr>
            </w:pPr>
          </w:p>
        </w:tc>
      </w:tr>
      <w:tr>
        <w:trPr>
          <w:trHeight w:val="221"/>
        </w:trPr>
        <w:tc>
          <w:tcPr>
            <w:tcW w:w="8640" w:type="dxa"/>
            <w:vAlign w:val="bottom"/>
            <w:tcBorders>
              <w:left w:val="single" w:sz="8" w:color="auto"/>
            </w:tcBorders>
            <w:vMerge w:val="restart"/>
            <w:shd w:val="clear" w:color="auto" w:fill="D9D9D9"/>
          </w:tcPr>
          <w:p>
            <w:pPr>
              <w:ind w:left="60"/>
              <w:spacing w:after="0"/>
              <w:rPr>
                <w:sz w:val="20"/>
                <w:szCs w:val="20"/>
                <w:color w:val="auto"/>
              </w:rPr>
            </w:pPr>
            <w:r>
              <w:rPr>
                <w:rFonts w:ascii="Arial" w:cs="Arial" w:eastAsia="Arial" w:hAnsi="Arial"/>
                <w:sz w:val="18"/>
                <w:szCs w:val="18"/>
                <w:color w:val="auto"/>
              </w:rPr>
              <w:t>To approve, on an advisory basis, the frequency of the advisory approval of our executive compensation.</w:t>
            </w:r>
          </w:p>
        </w:tc>
        <w:tc>
          <w:tcPr>
            <w:tcW w:w="620" w:type="dxa"/>
            <w:vAlign w:val="bottom"/>
            <w:vMerge w:val="continue"/>
            <w:shd w:val="clear" w:color="auto" w:fill="D9D9D9"/>
          </w:tcPr>
          <w:p>
            <w:pPr>
              <w:spacing w:after="0"/>
              <w:rPr>
                <w:sz w:val="19"/>
                <w:szCs w:val="19"/>
                <w:color w:val="auto"/>
              </w:rPr>
            </w:pPr>
          </w:p>
        </w:tc>
        <w:tc>
          <w:tcPr>
            <w:tcW w:w="940" w:type="dxa"/>
            <w:vAlign w:val="bottom"/>
            <w:shd w:val="clear" w:color="auto" w:fill="D9D9D9"/>
          </w:tcPr>
          <w:p>
            <w:pPr>
              <w:ind w:left="80"/>
              <w:spacing w:after="0"/>
              <w:rPr>
                <w:sz w:val="20"/>
                <w:szCs w:val="20"/>
                <w:color w:val="auto"/>
              </w:rPr>
            </w:pPr>
            <w:r>
              <w:rPr>
                <w:rFonts w:ascii="Arial" w:cs="Arial" w:eastAsia="Arial" w:hAnsi="Arial"/>
                <w:sz w:val="18"/>
                <w:szCs w:val="18"/>
                <w:color w:val="auto"/>
              </w:rPr>
              <w:t>YEAR</w:t>
            </w:r>
          </w:p>
        </w:tc>
        <w:tc>
          <w:tcPr>
            <w:tcW w:w="1040" w:type="dxa"/>
            <w:vAlign w:val="bottom"/>
            <w:tcBorders>
              <w:right w:val="single" w:sz="8" w:color="auto"/>
            </w:tcBorders>
            <w:vMerge w:val="continue"/>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8640" w:type="dxa"/>
            <w:vAlign w:val="bottom"/>
            <w:tcBorders>
              <w:left w:val="single" w:sz="8" w:color="auto"/>
              <w:bottom w:val="single" w:sz="8" w:color="auto"/>
            </w:tcBorders>
            <w:vMerge w:val="continue"/>
            <w:shd w:val="clear" w:color="auto" w:fill="D9D9D9"/>
          </w:tcPr>
          <w:p>
            <w:pPr>
              <w:spacing w:after="0"/>
              <w:rPr>
                <w:sz w:val="11"/>
                <w:szCs w:val="11"/>
                <w:color w:val="auto"/>
              </w:rPr>
            </w:pPr>
          </w:p>
        </w:tc>
        <w:tc>
          <w:tcPr>
            <w:tcW w:w="620" w:type="dxa"/>
            <w:vAlign w:val="bottom"/>
            <w:tcBorders>
              <w:bottom w:val="single" w:sz="8" w:color="auto"/>
            </w:tcBorders>
            <w:vMerge w:val="continue"/>
            <w:shd w:val="clear" w:color="auto" w:fill="D9D9D9"/>
          </w:tcPr>
          <w:p>
            <w:pPr>
              <w:spacing w:after="0"/>
              <w:rPr>
                <w:sz w:val="11"/>
                <w:szCs w:val="11"/>
                <w:color w:val="auto"/>
              </w:rPr>
            </w:pPr>
          </w:p>
        </w:tc>
        <w:tc>
          <w:tcPr>
            <w:tcW w:w="940" w:type="dxa"/>
            <w:vAlign w:val="bottom"/>
            <w:tcBorders>
              <w:bottom w:val="single" w:sz="8" w:color="auto"/>
            </w:tcBorders>
            <w:shd w:val="clear" w:color="auto" w:fill="D9D9D9"/>
          </w:tcPr>
          <w:p>
            <w:pPr>
              <w:spacing w:after="0"/>
              <w:rPr>
                <w:sz w:val="11"/>
                <w:szCs w:val="11"/>
                <w:color w:val="auto"/>
              </w:rPr>
            </w:pPr>
          </w:p>
        </w:tc>
        <w:tc>
          <w:tcPr>
            <w:tcW w:w="1040" w:type="dxa"/>
            <w:vAlign w:val="bottom"/>
            <w:tcBorders>
              <w:bottom w:val="single" w:sz="8" w:color="auto"/>
              <w:right w:val="single" w:sz="8" w:color="auto"/>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How to Cast Your Vote</w:t>
      </w:r>
    </w:p>
    <w:p>
      <w:pPr>
        <w:spacing w:after="0" w:line="99" w:lineRule="exact"/>
        <w:rPr>
          <w:sz w:val="20"/>
          <w:szCs w:val="20"/>
          <w:color w:val="auto"/>
        </w:rPr>
      </w:pPr>
    </w:p>
    <w:p>
      <w:pPr>
        <w:ind w:right="500" w:firstLine="401"/>
        <w:spacing w:after="0" w:line="271" w:lineRule="auto"/>
        <w:rPr>
          <w:sz w:val="20"/>
          <w:szCs w:val="20"/>
          <w:color w:val="auto"/>
        </w:rPr>
      </w:pPr>
      <w:r>
        <w:rPr>
          <w:rFonts w:ascii="Arial" w:cs="Arial" w:eastAsia="Arial" w:hAnsi="Arial"/>
          <w:sz w:val="18"/>
          <w:szCs w:val="18"/>
          <w:b w:val="1"/>
          <w:bCs w:val="1"/>
          <w:color w:val="auto"/>
        </w:rPr>
        <w:t xml:space="preserve">Your vote is important! </w:t>
      </w:r>
      <w:r>
        <w:rPr>
          <w:rFonts w:ascii="Arial" w:cs="Arial" w:eastAsia="Arial" w:hAnsi="Arial"/>
          <w:sz w:val="18"/>
          <w:szCs w:val="18"/>
          <w:color w:val="auto"/>
        </w:rPr>
        <w:t>Please vote your shares promptly using one of the methods listed below. See page 2 for additional voting</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w:t>
      </w:r>
    </w:p>
    <w:p>
      <w:pPr>
        <w:spacing w:after="0" w:line="44" w:lineRule="exact"/>
        <w:rPr>
          <w:sz w:val="20"/>
          <w:szCs w:val="20"/>
          <w:color w:val="auto"/>
        </w:rPr>
      </w:pPr>
    </w:p>
    <w:tbl>
      <w:tblPr>
        <w:tblLayout w:type="fixed"/>
        <w:tblInd w:w="50" w:type="dxa"/>
        <w:tblCellMar>
          <w:top w:w="0" w:type="dxa"/>
          <w:left w:w="0" w:type="dxa"/>
          <w:bottom w:w="0" w:type="dxa"/>
          <w:right w:w="0" w:type="dxa"/>
        </w:tblCellMar>
      </w:tblPr>
      <w:tr>
        <w:trPr>
          <w:trHeight w:val="216"/>
        </w:trPr>
        <w:tc>
          <w:tcPr>
            <w:tcW w:w="2260" w:type="dxa"/>
            <w:vAlign w:val="bottom"/>
            <w:tcBorders>
              <w:top w:val="single" w:sz="8" w:color="auto"/>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C00000"/>
              </w:rPr>
              <w:t>By Internet</w:t>
            </w:r>
          </w:p>
        </w:tc>
        <w:tc>
          <w:tcPr>
            <w:tcW w:w="100" w:type="dxa"/>
            <w:vAlign w:val="bottom"/>
            <w:tcBorders>
              <w:top w:val="single" w:sz="8" w:color="auto"/>
              <w:right w:val="single" w:sz="8" w:color="auto"/>
            </w:tcBorders>
          </w:tcPr>
          <w:p>
            <w:pPr>
              <w:spacing w:after="0"/>
              <w:rPr>
                <w:sz w:val="18"/>
                <w:szCs w:val="18"/>
                <w:color w:val="auto"/>
              </w:rPr>
            </w:pPr>
          </w:p>
        </w:tc>
        <w:tc>
          <w:tcPr>
            <w:tcW w:w="1200" w:type="dxa"/>
            <w:vAlign w:val="bottom"/>
            <w:tcBorders>
              <w:top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C00000"/>
              </w:rPr>
              <w:t>By Phone</w:t>
            </w:r>
          </w:p>
        </w:tc>
        <w:tc>
          <w:tcPr>
            <w:tcW w:w="120" w:type="dxa"/>
            <w:vAlign w:val="bottom"/>
            <w:tcBorders>
              <w:top w:val="single" w:sz="8" w:color="auto"/>
              <w:right w:val="single" w:sz="8" w:color="auto"/>
            </w:tcBorders>
          </w:tcPr>
          <w:p>
            <w:pPr>
              <w:spacing w:after="0"/>
              <w:rPr>
                <w:sz w:val="18"/>
                <w:szCs w:val="18"/>
                <w:color w:val="auto"/>
              </w:rPr>
            </w:pPr>
          </w:p>
        </w:tc>
        <w:tc>
          <w:tcPr>
            <w:tcW w:w="1260" w:type="dxa"/>
            <w:vAlign w:val="bottom"/>
            <w:tcBorders>
              <w:top w:val="single" w:sz="8" w:color="auto"/>
              <w:right w:val="single" w:sz="8" w:color="auto"/>
            </w:tcBorders>
            <w:shd w:val="clear" w:color="auto" w:fill="D9D9D9"/>
          </w:tcPr>
          <w:p>
            <w:pPr>
              <w:ind w:left="60"/>
              <w:spacing w:after="0"/>
              <w:rPr>
                <w:sz w:val="20"/>
                <w:szCs w:val="20"/>
                <w:color w:val="auto"/>
              </w:rPr>
            </w:pPr>
            <w:r>
              <w:rPr>
                <w:rFonts w:ascii="Arial" w:cs="Arial" w:eastAsia="Arial" w:hAnsi="Arial"/>
                <w:sz w:val="18"/>
                <w:szCs w:val="18"/>
                <w:b w:val="1"/>
                <w:bCs w:val="1"/>
                <w:color w:val="C00000"/>
              </w:rPr>
              <w:t>By Mobile</w:t>
            </w:r>
          </w:p>
        </w:tc>
        <w:tc>
          <w:tcPr>
            <w:tcW w:w="100" w:type="dxa"/>
            <w:vAlign w:val="bottom"/>
            <w:tcBorders>
              <w:top w:val="single" w:sz="8" w:color="auto"/>
              <w:right w:val="single" w:sz="8" w:color="auto"/>
            </w:tcBorders>
          </w:tcPr>
          <w:p>
            <w:pPr>
              <w:spacing w:after="0"/>
              <w:rPr>
                <w:sz w:val="18"/>
                <w:szCs w:val="18"/>
                <w:color w:val="auto"/>
              </w:rPr>
            </w:pPr>
          </w:p>
        </w:tc>
        <w:tc>
          <w:tcPr>
            <w:tcW w:w="1260" w:type="dxa"/>
            <w:vAlign w:val="bottom"/>
            <w:tcBorders>
              <w:top w:val="single" w:sz="8" w:color="auto"/>
              <w:right w:val="single" w:sz="8" w:color="auto"/>
            </w:tcBorders>
            <w:shd w:val="clear" w:color="auto" w:fill="D9D9D9"/>
          </w:tcPr>
          <w:p>
            <w:pPr>
              <w:ind w:left="60"/>
              <w:spacing w:after="0"/>
              <w:rPr>
                <w:sz w:val="20"/>
                <w:szCs w:val="20"/>
                <w:color w:val="auto"/>
              </w:rPr>
            </w:pPr>
            <w:r>
              <w:rPr>
                <w:rFonts w:ascii="Arial" w:cs="Arial" w:eastAsia="Arial" w:hAnsi="Arial"/>
                <w:sz w:val="18"/>
                <w:szCs w:val="18"/>
                <w:b w:val="1"/>
                <w:bCs w:val="1"/>
                <w:color w:val="C00000"/>
              </w:rPr>
              <w:t>By Mail</w:t>
            </w:r>
          </w:p>
        </w:tc>
        <w:tc>
          <w:tcPr>
            <w:tcW w:w="100" w:type="dxa"/>
            <w:vAlign w:val="bottom"/>
            <w:tcBorders>
              <w:top w:val="single" w:sz="8" w:color="auto"/>
              <w:right w:val="single" w:sz="8" w:color="auto"/>
            </w:tcBorders>
          </w:tcPr>
          <w:p>
            <w:pPr>
              <w:spacing w:after="0"/>
              <w:rPr>
                <w:sz w:val="18"/>
                <w:szCs w:val="18"/>
                <w:color w:val="auto"/>
              </w:rPr>
            </w:pPr>
          </w:p>
        </w:tc>
        <w:tc>
          <w:tcPr>
            <w:tcW w:w="4780" w:type="dxa"/>
            <w:vAlign w:val="bottom"/>
            <w:tcBorders>
              <w:top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b w:val="1"/>
                <w:bCs w:val="1"/>
                <w:color w:val="C00000"/>
              </w:rPr>
              <w:t>By Attending the Meeting Virtually</w:t>
            </w:r>
          </w:p>
        </w:tc>
      </w:tr>
      <w:tr>
        <w:trPr>
          <w:trHeight w:val="224"/>
        </w:trPr>
        <w:tc>
          <w:tcPr>
            <w:tcW w:w="226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color w:val="auto"/>
              </w:rPr>
              <w:t>Go to</w:t>
            </w:r>
          </w:p>
        </w:tc>
        <w:tc>
          <w:tcPr>
            <w:tcW w:w="10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shd w:val="clear" w:color="auto" w:fill="D9D9D9"/>
          </w:tcPr>
          <w:p>
            <w:pPr>
              <w:ind w:left="80"/>
              <w:spacing w:after="0"/>
              <w:rPr>
                <w:sz w:val="20"/>
                <w:szCs w:val="20"/>
                <w:color w:val="auto"/>
              </w:rPr>
            </w:pPr>
            <w:r>
              <w:rPr>
                <w:rFonts w:ascii="Arial" w:cs="Arial" w:eastAsia="Arial" w:hAnsi="Arial"/>
                <w:sz w:val="18"/>
                <w:szCs w:val="18"/>
                <w:color w:val="auto"/>
              </w:rPr>
              <w:t>Call</w:t>
            </w:r>
          </w:p>
        </w:tc>
        <w:tc>
          <w:tcPr>
            <w:tcW w:w="12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shd w:val="clear" w:color="auto" w:fill="D9D9D9"/>
          </w:tcPr>
          <w:p>
            <w:pPr>
              <w:ind w:left="60"/>
              <w:spacing w:after="0"/>
              <w:rPr>
                <w:sz w:val="20"/>
                <w:szCs w:val="20"/>
                <w:color w:val="auto"/>
              </w:rPr>
            </w:pPr>
            <w:r>
              <w:rPr>
                <w:rFonts w:ascii="Arial" w:cs="Arial" w:eastAsia="Arial" w:hAnsi="Arial"/>
                <w:sz w:val="18"/>
                <w:szCs w:val="18"/>
                <w:b w:val="1"/>
                <w:bCs w:val="1"/>
                <w:color w:val="C00000"/>
              </w:rPr>
              <w:t>Device</w:t>
            </w:r>
          </w:p>
        </w:tc>
        <w:tc>
          <w:tcPr>
            <w:tcW w:w="10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shd w:val="clear" w:color="auto" w:fill="D9D9D9"/>
          </w:tcPr>
          <w:p>
            <w:pPr>
              <w:ind w:left="60"/>
              <w:spacing w:after="0"/>
              <w:rPr>
                <w:sz w:val="20"/>
                <w:szCs w:val="20"/>
                <w:color w:val="auto"/>
              </w:rPr>
            </w:pPr>
            <w:r>
              <w:rPr>
                <w:rFonts w:ascii="Arial" w:cs="Arial" w:eastAsia="Arial" w:hAnsi="Arial"/>
                <w:sz w:val="18"/>
                <w:szCs w:val="18"/>
                <w:color w:val="auto"/>
              </w:rPr>
              <w:t>Return your</w:t>
            </w:r>
          </w:p>
        </w:tc>
        <w:tc>
          <w:tcPr>
            <w:tcW w:w="10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Visit www.virtualshareholdermeeting.com/TTC2023</w:t>
            </w:r>
          </w:p>
        </w:tc>
      </w:tr>
      <w:tr>
        <w:trPr>
          <w:trHeight w:val="203"/>
        </w:trPr>
        <w:tc>
          <w:tcPr>
            <w:tcW w:w="2260" w:type="dxa"/>
            <w:vAlign w:val="bottom"/>
            <w:tcBorders>
              <w:left w:val="single" w:sz="8" w:color="auto"/>
              <w:right w:val="single" w:sz="8" w:color="auto"/>
            </w:tcBorders>
            <w:shd w:val="clear" w:color="auto" w:fill="D9D9D9"/>
          </w:tcPr>
          <w:p>
            <w:pPr>
              <w:ind w:left="80"/>
              <w:spacing w:after="0" w:line="202" w:lineRule="exact"/>
              <w:rPr>
                <w:sz w:val="20"/>
                <w:szCs w:val="20"/>
                <w:color w:val="auto"/>
              </w:rPr>
            </w:pPr>
            <w:r>
              <w:rPr>
                <w:rFonts w:ascii="Arial" w:cs="Arial" w:eastAsia="Arial" w:hAnsi="Arial"/>
                <w:sz w:val="18"/>
                <w:szCs w:val="18"/>
                <w:color w:val="auto"/>
              </w:rPr>
              <w:t>www.proxyvote.com</w:t>
            </w:r>
          </w:p>
        </w:tc>
        <w:tc>
          <w:tcPr>
            <w:tcW w:w="1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shd w:val="clear" w:color="auto" w:fill="D9D9D9"/>
          </w:tcPr>
          <w:p>
            <w:pPr>
              <w:ind w:left="80"/>
              <w:spacing w:after="0" w:line="202" w:lineRule="exact"/>
              <w:rPr>
                <w:sz w:val="20"/>
                <w:szCs w:val="20"/>
                <w:color w:val="auto"/>
              </w:rPr>
            </w:pPr>
            <w:r>
              <w:rPr>
                <w:rFonts w:ascii="Arial" w:cs="Arial" w:eastAsia="Arial" w:hAnsi="Arial"/>
                <w:sz w:val="18"/>
                <w:szCs w:val="18"/>
                <w:color w:val="auto"/>
              </w:rPr>
              <w:t>800-690-</w:t>
            </w:r>
          </w:p>
        </w:tc>
        <w:tc>
          <w:tcPr>
            <w:tcW w:w="12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shd w:val="clear" w:color="auto" w:fill="D9D9D9"/>
          </w:tcPr>
          <w:p>
            <w:pPr>
              <w:ind w:left="60"/>
              <w:spacing w:after="0" w:line="202" w:lineRule="exact"/>
              <w:rPr>
                <w:sz w:val="20"/>
                <w:szCs w:val="20"/>
                <w:color w:val="auto"/>
              </w:rPr>
            </w:pPr>
            <w:r>
              <w:rPr>
                <w:rFonts w:ascii="Arial" w:cs="Arial" w:eastAsia="Arial" w:hAnsi="Arial"/>
                <w:sz w:val="18"/>
                <w:szCs w:val="18"/>
                <w:color w:val="auto"/>
              </w:rPr>
              <w:t>Scan the QR</w:t>
            </w:r>
          </w:p>
        </w:tc>
        <w:tc>
          <w:tcPr>
            <w:tcW w:w="10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shd w:val="clear" w:color="auto" w:fill="D9D9D9"/>
          </w:tcPr>
          <w:p>
            <w:pPr>
              <w:ind w:left="60"/>
              <w:spacing w:after="0" w:line="202" w:lineRule="exact"/>
              <w:rPr>
                <w:sz w:val="20"/>
                <w:szCs w:val="20"/>
                <w:color w:val="auto"/>
              </w:rPr>
            </w:pPr>
            <w:r>
              <w:rPr>
                <w:rFonts w:ascii="Arial" w:cs="Arial" w:eastAsia="Arial" w:hAnsi="Arial"/>
                <w:sz w:val="18"/>
                <w:szCs w:val="18"/>
                <w:color w:val="auto"/>
              </w:rPr>
              <w:t>proxy card</w:t>
            </w:r>
          </w:p>
        </w:tc>
        <w:tc>
          <w:tcPr>
            <w:tcW w:w="100" w:type="dxa"/>
            <w:vAlign w:val="bottom"/>
            <w:tcBorders>
              <w:right w:val="single" w:sz="8" w:color="auto"/>
            </w:tcBorders>
          </w:tcPr>
          <w:p>
            <w:pPr>
              <w:spacing w:after="0"/>
              <w:rPr>
                <w:sz w:val="17"/>
                <w:szCs w:val="17"/>
                <w:color w:val="auto"/>
              </w:rPr>
            </w:pPr>
          </w:p>
        </w:tc>
        <w:tc>
          <w:tcPr>
            <w:tcW w:w="4780" w:type="dxa"/>
            <w:vAlign w:val="bottom"/>
            <w:tcBorders>
              <w:right w:val="single" w:sz="8" w:color="auto"/>
            </w:tcBorders>
            <w:shd w:val="clear" w:color="auto" w:fill="D9D9D9"/>
          </w:tcPr>
          <w:p>
            <w:pPr>
              <w:spacing w:after="0"/>
              <w:rPr>
                <w:sz w:val="17"/>
                <w:szCs w:val="17"/>
                <w:color w:val="auto"/>
              </w:rPr>
            </w:pPr>
          </w:p>
        </w:tc>
      </w:tr>
      <w:tr>
        <w:trPr>
          <w:trHeight w:val="242"/>
        </w:trPr>
        <w:tc>
          <w:tcPr>
            <w:tcW w:w="2260" w:type="dxa"/>
            <w:vAlign w:val="bottom"/>
            <w:tcBorders>
              <w:left w:val="single" w:sz="8" w:color="auto"/>
              <w:bottom w:val="single" w:sz="8" w:color="D9D9D9"/>
              <w:right w:val="single" w:sz="8" w:color="auto"/>
            </w:tcBorders>
            <w:shd w:val="clear" w:color="auto" w:fill="D9D9D9"/>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200" w:type="dxa"/>
            <w:vAlign w:val="bottom"/>
            <w:tcBorders>
              <w:bottom w:val="single" w:sz="8" w:color="D9D9D9"/>
              <w:right w:val="single" w:sz="8" w:color="auto"/>
            </w:tcBorders>
            <w:shd w:val="clear" w:color="auto" w:fill="D9D9D9"/>
          </w:tcPr>
          <w:p>
            <w:pPr>
              <w:ind w:left="80"/>
              <w:spacing w:after="0"/>
              <w:rPr>
                <w:sz w:val="20"/>
                <w:szCs w:val="20"/>
                <w:color w:val="auto"/>
              </w:rPr>
            </w:pPr>
            <w:r>
              <w:rPr>
                <w:rFonts w:ascii="Arial" w:cs="Arial" w:eastAsia="Arial" w:hAnsi="Arial"/>
                <w:sz w:val="18"/>
                <w:szCs w:val="18"/>
                <w:color w:val="auto"/>
              </w:rPr>
              <w:t>6903</w:t>
            </w:r>
          </w:p>
        </w:tc>
        <w:tc>
          <w:tcPr>
            <w:tcW w:w="120" w:type="dxa"/>
            <w:vAlign w:val="bottom"/>
            <w:tcBorders>
              <w:right w:val="single" w:sz="8" w:color="auto"/>
            </w:tcBorders>
          </w:tcPr>
          <w:p>
            <w:pPr>
              <w:spacing w:after="0"/>
              <w:rPr>
                <w:sz w:val="21"/>
                <w:szCs w:val="21"/>
                <w:color w:val="auto"/>
              </w:rPr>
            </w:pPr>
          </w:p>
        </w:tc>
        <w:tc>
          <w:tcPr>
            <w:tcW w:w="1260" w:type="dxa"/>
            <w:vAlign w:val="bottom"/>
            <w:tcBorders>
              <w:bottom w:val="single" w:sz="8" w:color="D9D9D9"/>
              <w:right w:val="single" w:sz="8" w:color="auto"/>
            </w:tcBorders>
            <w:shd w:val="clear" w:color="auto" w:fill="D9D9D9"/>
          </w:tcPr>
          <w:p>
            <w:pPr>
              <w:ind w:left="60"/>
              <w:spacing w:after="0"/>
              <w:rPr>
                <w:sz w:val="20"/>
                <w:szCs w:val="20"/>
                <w:color w:val="auto"/>
              </w:rPr>
            </w:pPr>
            <w:r>
              <w:rPr>
                <w:rFonts w:ascii="Arial" w:cs="Arial" w:eastAsia="Arial" w:hAnsi="Arial"/>
                <w:sz w:val="18"/>
                <w:szCs w:val="18"/>
                <w:color w:val="auto"/>
              </w:rPr>
              <w:t>code</w:t>
            </w:r>
          </w:p>
        </w:tc>
        <w:tc>
          <w:tcPr>
            <w:tcW w:w="100" w:type="dxa"/>
            <w:vAlign w:val="bottom"/>
            <w:tcBorders>
              <w:right w:val="single" w:sz="8" w:color="auto"/>
            </w:tcBorders>
          </w:tcPr>
          <w:p>
            <w:pPr>
              <w:spacing w:after="0"/>
              <w:rPr>
                <w:sz w:val="21"/>
                <w:szCs w:val="21"/>
                <w:color w:val="auto"/>
              </w:rPr>
            </w:pPr>
          </w:p>
        </w:tc>
        <w:tc>
          <w:tcPr>
            <w:tcW w:w="1260" w:type="dxa"/>
            <w:vAlign w:val="bottom"/>
            <w:tcBorders>
              <w:bottom w:val="single" w:sz="8" w:color="D9D9D9"/>
              <w:right w:val="single" w:sz="8" w:color="auto"/>
            </w:tcBorders>
            <w:shd w:val="clear" w:color="auto" w:fill="D9D9D9"/>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4780" w:type="dxa"/>
            <w:vAlign w:val="bottom"/>
            <w:tcBorders>
              <w:bottom w:val="single" w:sz="8" w:color="D9D9D9"/>
              <w:right w:val="single" w:sz="8" w:color="auto"/>
            </w:tcBorders>
            <w:shd w:val="clear" w:color="auto" w:fill="D9D9D9"/>
          </w:tcPr>
          <w:p>
            <w:pPr>
              <w:spacing w:after="0"/>
              <w:rPr>
                <w:sz w:val="21"/>
                <w:szCs w:val="21"/>
                <w:color w:val="auto"/>
              </w:rPr>
            </w:pPr>
          </w:p>
        </w:tc>
      </w:tr>
      <w:tr>
        <w:trPr>
          <w:trHeight w:val="20"/>
        </w:trPr>
        <w:tc>
          <w:tcPr>
            <w:tcW w:w="22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780" w:type="dxa"/>
            <w:vAlign w:val="bottom"/>
            <w:tcBorders>
              <w:right w:val="single" w:sz="8" w:color="auto"/>
            </w:tcBorders>
            <w:shd w:val="clear" w:color="auto" w:fill="000000"/>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Corporate Governance Highlights</w:t>
      </w:r>
    </w:p>
    <w:p>
      <w:pPr>
        <w:spacing w:after="0" w:line="99" w:lineRule="exact"/>
        <w:rPr>
          <w:sz w:val="20"/>
          <w:szCs w:val="20"/>
          <w:color w:val="auto"/>
        </w:rPr>
      </w:pPr>
    </w:p>
    <w:p>
      <w:pPr>
        <w:ind w:right="160" w:firstLine="401"/>
        <w:spacing w:after="0" w:line="247" w:lineRule="auto"/>
        <w:rPr>
          <w:sz w:val="20"/>
          <w:szCs w:val="20"/>
          <w:color w:val="auto"/>
        </w:rPr>
      </w:pPr>
      <w:r>
        <w:rPr>
          <w:rFonts w:ascii="Arial" w:cs="Arial" w:eastAsia="Arial" w:hAnsi="Arial"/>
          <w:sz w:val="18"/>
          <w:szCs w:val="18"/>
          <w:color w:val="auto"/>
        </w:rPr>
        <w:t>Our Board provides oversight of critical matters such as our strategic plans, financial and other controls, risk management, merger and acquisition related activities, and executive succession planning. The Board reviews our major governance documents, policies and processes regularly and thoughtfully determines the structures that are appropriate for our Company at the time, which includes review or determination of the following:</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Borders>
              <w:right w:val="single" w:sz="8" w:color="auto"/>
            </w:tcBorders>
          </w:tcPr>
          <w:p>
            <w:pPr>
              <w:spacing w:after="0"/>
              <w:rPr>
                <w:sz w:val="20"/>
                <w:szCs w:val="20"/>
                <w:color w:val="auto"/>
              </w:rPr>
            </w:pPr>
          </w:p>
        </w:tc>
        <w:tc>
          <w:tcPr>
            <w:tcW w:w="4540" w:type="dxa"/>
            <w:vAlign w:val="bottom"/>
            <w:tcBorders>
              <w:top w:val="single" w:sz="8" w:color="auto"/>
            </w:tcBorders>
            <w:shd w:val="clear" w:color="auto" w:fill="D9D9D9"/>
          </w:tcPr>
          <w:p>
            <w:pPr>
              <w:spacing w:after="0" w:line="230" w:lineRule="exact"/>
              <w:rPr>
                <w:sz w:val="20"/>
                <w:szCs w:val="20"/>
                <w:color w:val="auto"/>
              </w:rPr>
            </w:pPr>
            <w:r>
              <w:rPr>
                <w:rFonts w:ascii="MS PGothic" w:cs="MS PGothic" w:eastAsia="MS PGothic" w:hAnsi="MS PGothic"/>
                <w:sz w:val="20"/>
                <w:szCs w:val="20"/>
                <w:color w:val="auto"/>
                <w:shd w:val="clear" w:color="auto" w:fill="C00000"/>
              </w:rPr>
              <w:t>✓</w:t>
            </w:r>
            <w:r>
              <w:rPr>
                <w:rFonts w:ascii="Arial" w:cs="Arial" w:eastAsia="Arial" w:hAnsi="Arial"/>
                <w:sz w:val="20"/>
                <w:szCs w:val="20"/>
                <w:color w:val="auto"/>
              </w:rPr>
              <w:t xml:space="preserve"> I</w:t>
            </w:r>
            <w:r>
              <w:rPr>
                <w:rFonts w:ascii="Arial" w:cs="Arial" w:eastAsia="Arial" w:hAnsi="Arial"/>
                <w:sz w:val="17"/>
                <w:szCs w:val="17"/>
                <w:color w:val="auto"/>
              </w:rPr>
              <w:t>ndependent directors (other than CEO) and</w:t>
            </w:r>
          </w:p>
        </w:tc>
        <w:tc>
          <w:tcPr>
            <w:tcW w:w="560" w:type="dxa"/>
            <w:vAlign w:val="bottom"/>
            <w:tcBorders>
              <w:top w:val="single" w:sz="8" w:color="auto"/>
              <w:right w:val="single" w:sz="8" w:color="auto"/>
            </w:tcBorders>
            <w:shd w:val="clear" w:color="auto" w:fill="D9D9D9"/>
          </w:tcPr>
          <w:p>
            <w:pPr>
              <w:spacing w:after="0"/>
              <w:rPr>
                <w:sz w:val="20"/>
                <w:szCs w:val="20"/>
                <w:color w:val="auto"/>
              </w:rPr>
            </w:pPr>
          </w:p>
        </w:tc>
        <w:tc>
          <w:tcPr>
            <w:tcW w:w="120" w:type="dxa"/>
            <w:vAlign w:val="bottom"/>
            <w:tcBorders>
              <w:top w:val="single" w:sz="8" w:color="auto"/>
              <w:right w:val="single" w:sz="8" w:color="auto"/>
            </w:tcBorders>
          </w:tcPr>
          <w:p>
            <w:pPr>
              <w:spacing w:after="0"/>
              <w:rPr>
                <w:sz w:val="20"/>
                <w:szCs w:val="20"/>
                <w:color w:val="auto"/>
              </w:rPr>
            </w:pPr>
          </w:p>
        </w:tc>
        <w:tc>
          <w:tcPr>
            <w:tcW w:w="4900" w:type="dxa"/>
            <w:vAlign w:val="bottom"/>
            <w:tcBorders>
              <w:top w:val="single" w:sz="8" w:color="auto"/>
              <w:right w:val="single" w:sz="8" w:color="auto"/>
            </w:tcBorders>
            <w:shd w:val="clear" w:color="auto" w:fill="D9D9D9"/>
          </w:tcPr>
          <w:p>
            <w:pPr>
              <w:spacing w:after="0" w:line="219" w:lineRule="exact"/>
              <w:rPr>
                <w:sz w:val="20"/>
                <w:szCs w:val="20"/>
                <w:color w:val="auto"/>
              </w:rPr>
            </w:pPr>
            <w:r>
              <w:rPr>
                <w:rFonts w:ascii="MS PGothic" w:cs="MS PGothic" w:eastAsia="MS PGothic" w:hAnsi="MS PGothic"/>
                <w:sz w:val="19"/>
                <w:szCs w:val="19"/>
                <w:color w:val="auto"/>
                <w:shd w:val="clear" w:color="auto" w:fill="C00000"/>
              </w:rPr>
              <w:t>✓</w:t>
            </w:r>
            <w:r>
              <w:rPr>
                <w:rFonts w:ascii="Arial" w:cs="Arial" w:eastAsia="Arial" w:hAnsi="Arial"/>
                <w:sz w:val="18"/>
                <w:szCs w:val="18"/>
                <w:color w:val="auto"/>
              </w:rPr>
              <w:t xml:space="preserve"> Meaningful Board strategy and risk oversight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80" w:type="dxa"/>
            <w:vAlign w:val="bottom"/>
            <w:tcBorders>
              <w:right w:val="single" w:sz="8" w:color="auto"/>
            </w:tcBorders>
          </w:tcPr>
          <w:p>
            <w:pPr>
              <w:spacing w:after="0"/>
              <w:rPr>
                <w:sz w:val="23"/>
                <w:szCs w:val="23"/>
                <w:color w:val="auto"/>
              </w:rPr>
            </w:pPr>
          </w:p>
        </w:tc>
        <w:tc>
          <w:tcPr>
            <w:tcW w:w="4540" w:type="dxa"/>
            <w:vAlign w:val="bottom"/>
            <w:shd w:val="clear" w:color="auto" w:fill="D9D9D9"/>
          </w:tcPr>
          <w:p>
            <w:pPr>
              <w:ind w:left="200"/>
              <w:spacing w:after="0"/>
              <w:rPr>
                <w:sz w:val="20"/>
                <w:szCs w:val="20"/>
                <w:color w:val="auto"/>
              </w:rPr>
            </w:pPr>
            <w:r>
              <w:rPr>
                <w:rFonts w:ascii="Arial" w:cs="Arial" w:eastAsia="Arial" w:hAnsi="Arial"/>
                <w:sz w:val="18"/>
                <w:szCs w:val="18"/>
                <w:color w:val="auto"/>
              </w:rPr>
              <w:t>committee status</w:t>
            </w:r>
          </w:p>
        </w:tc>
        <w:tc>
          <w:tcPr>
            <w:tcW w:w="560" w:type="dxa"/>
            <w:vAlign w:val="bottom"/>
            <w:tcBorders>
              <w:right w:val="single" w:sz="8" w:color="auto"/>
            </w:tcBorders>
            <w:shd w:val="clear" w:color="auto" w:fill="D9D9D9"/>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4900" w:type="dxa"/>
            <w:vAlign w:val="bottom"/>
            <w:tcBorders>
              <w:right w:val="single" w:sz="8" w:color="auto"/>
            </w:tcBorders>
            <w:shd w:val="clear" w:color="auto" w:fill="D9D9D9"/>
          </w:tcPr>
          <w:p>
            <w:pPr>
              <w:spacing w:after="0" w:line="219" w:lineRule="exact"/>
              <w:rPr>
                <w:sz w:val="20"/>
                <w:szCs w:val="20"/>
                <w:color w:val="auto"/>
              </w:rPr>
            </w:pPr>
            <w:r>
              <w:rPr>
                <w:rFonts w:ascii="MS PGothic" w:cs="MS PGothic" w:eastAsia="MS PGothic" w:hAnsi="MS PGothic"/>
                <w:sz w:val="19"/>
                <w:szCs w:val="19"/>
                <w:color w:val="auto"/>
                <w:shd w:val="clear" w:color="auto" w:fill="C00000"/>
              </w:rPr>
              <w:t>✓</w:t>
            </w:r>
            <w:r>
              <w:rPr>
                <w:rFonts w:ascii="Arial" w:cs="Arial" w:eastAsia="Arial" w:hAnsi="Arial"/>
                <w:sz w:val="18"/>
                <w:szCs w:val="18"/>
                <w:color w:val="auto"/>
              </w:rPr>
              <w:t xml:space="preserve"> Annual Board and committee self-evaluations</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580" w:type="dxa"/>
            <w:vAlign w:val="bottom"/>
            <w:tcBorders>
              <w:right w:val="single" w:sz="8" w:color="auto"/>
            </w:tcBorders>
          </w:tcPr>
          <w:p>
            <w:pPr>
              <w:spacing w:after="0"/>
              <w:rPr>
                <w:sz w:val="24"/>
                <w:szCs w:val="24"/>
                <w:color w:val="auto"/>
              </w:rPr>
            </w:pPr>
          </w:p>
        </w:tc>
        <w:tc>
          <w:tcPr>
            <w:tcW w:w="4540" w:type="dxa"/>
            <w:vAlign w:val="bottom"/>
            <w:shd w:val="clear" w:color="auto" w:fill="D9D9D9"/>
          </w:tcPr>
          <w:p>
            <w:pPr>
              <w:spacing w:after="0" w:line="219" w:lineRule="exact"/>
              <w:rPr>
                <w:sz w:val="20"/>
                <w:szCs w:val="20"/>
                <w:color w:val="auto"/>
              </w:rPr>
            </w:pPr>
            <w:r>
              <w:rPr>
                <w:rFonts w:ascii="MS PGothic" w:cs="MS PGothic" w:eastAsia="MS PGothic" w:hAnsi="MS PGothic"/>
                <w:sz w:val="19"/>
                <w:szCs w:val="19"/>
                <w:color w:val="auto"/>
                <w:shd w:val="clear" w:color="auto" w:fill="C00000"/>
              </w:rPr>
              <w:t>✓</w:t>
            </w:r>
            <w:r>
              <w:rPr>
                <w:rFonts w:ascii="Arial" w:cs="Arial" w:eastAsia="Arial" w:hAnsi="Arial"/>
                <w:sz w:val="18"/>
                <w:szCs w:val="18"/>
                <w:color w:val="auto"/>
              </w:rPr>
              <w:t xml:space="preserve"> Effective lead director structure</w:t>
            </w:r>
          </w:p>
        </w:tc>
        <w:tc>
          <w:tcPr>
            <w:tcW w:w="560" w:type="dxa"/>
            <w:vAlign w:val="bottom"/>
            <w:tcBorders>
              <w:right w:val="single" w:sz="8" w:color="auto"/>
            </w:tcBorders>
            <w:shd w:val="clear" w:color="auto" w:fill="D9D9D9"/>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4900" w:type="dxa"/>
            <w:vAlign w:val="bottom"/>
            <w:tcBorders>
              <w:right w:val="single" w:sz="8" w:color="auto"/>
            </w:tcBorders>
            <w:vMerge w:val="restart"/>
            <w:shd w:val="clear" w:color="auto" w:fill="D9D9D9"/>
          </w:tcPr>
          <w:p>
            <w:pPr>
              <w:spacing w:after="0" w:line="219" w:lineRule="exact"/>
              <w:rPr>
                <w:sz w:val="20"/>
                <w:szCs w:val="20"/>
                <w:color w:val="auto"/>
              </w:rPr>
            </w:pPr>
            <w:r>
              <w:rPr>
                <w:rFonts w:ascii="MS PGothic" w:cs="MS PGothic" w:eastAsia="MS PGothic" w:hAnsi="MS PGothic"/>
                <w:sz w:val="19"/>
                <w:szCs w:val="19"/>
                <w:color w:val="auto"/>
                <w:shd w:val="clear" w:color="auto" w:fill="C00000"/>
              </w:rPr>
              <w:t>✓</w:t>
            </w:r>
            <w:r>
              <w:rPr>
                <w:rFonts w:ascii="Arial" w:cs="Arial" w:eastAsia="Arial" w:hAnsi="Arial"/>
                <w:sz w:val="18"/>
                <w:szCs w:val="18"/>
                <w:color w:val="auto"/>
              </w:rPr>
              <w:t xml:space="preserve"> Board and committee meetings attendance at</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580" w:type="dxa"/>
            <w:vAlign w:val="bottom"/>
            <w:tcBorders>
              <w:right w:val="single" w:sz="8" w:color="auto"/>
            </w:tcBorders>
          </w:tcPr>
          <w:p>
            <w:pPr>
              <w:spacing w:after="0"/>
              <w:rPr>
                <w:sz w:val="4"/>
                <w:szCs w:val="4"/>
                <w:color w:val="auto"/>
              </w:rPr>
            </w:pPr>
          </w:p>
        </w:tc>
        <w:tc>
          <w:tcPr>
            <w:tcW w:w="4540" w:type="dxa"/>
            <w:vAlign w:val="bottom"/>
            <w:vMerge w:val="restart"/>
            <w:shd w:val="clear" w:color="auto" w:fill="D9D9D9"/>
          </w:tcPr>
          <w:p>
            <w:pPr>
              <w:spacing w:after="0" w:line="219" w:lineRule="exact"/>
              <w:rPr>
                <w:sz w:val="20"/>
                <w:szCs w:val="20"/>
                <w:color w:val="auto"/>
              </w:rPr>
            </w:pPr>
            <w:r>
              <w:rPr>
                <w:rFonts w:ascii="MS PGothic" w:cs="MS PGothic" w:eastAsia="MS PGothic" w:hAnsi="MS PGothic"/>
                <w:sz w:val="19"/>
                <w:szCs w:val="19"/>
                <w:color w:val="auto"/>
                <w:shd w:val="clear" w:color="auto" w:fill="C00000"/>
              </w:rPr>
              <w:t>✓</w:t>
            </w:r>
            <w:r>
              <w:rPr>
                <w:rFonts w:ascii="Arial" w:cs="Arial" w:eastAsia="Arial" w:hAnsi="Arial"/>
                <w:sz w:val="18"/>
                <w:szCs w:val="18"/>
                <w:color w:val="auto"/>
              </w:rPr>
              <w:t xml:space="preserve"> Regular independent director executive sessions</w:t>
            </w:r>
          </w:p>
        </w:tc>
        <w:tc>
          <w:tcPr>
            <w:tcW w:w="560" w:type="dxa"/>
            <w:vAlign w:val="bottom"/>
            <w:tcBorders>
              <w:right w:val="single" w:sz="8" w:color="auto"/>
            </w:tcBorders>
            <w:shd w:val="clear" w:color="auto" w:fill="D9D9D9"/>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4900" w:type="dxa"/>
            <w:vAlign w:val="bottom"/>
            <w:tcBorders>
              <w:right w:val="single" w:sz="8" w:color="auto"/>
            </w:tcBorders>
            <w:vMerge w:val="continue"/>
            <w:shd w:val="clear" w:color="auto" w:fill="D9D9D9"/>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580" w:type="dxa"/>
            <w:vAlign w:val="bottom"/>
            <w:tcBorders>
              <w:right w:val="single" w:sz="8" w:color="auto"/>
            </w:tcBorders>
          </w:tcPr>
          <w:p>
            <w:pPr>
              <w:spacing w:after="0"/>
              <w:rPr>
                <w:sz w:val="21"/>
                <w:szCs w:val="21"/>
                <w:color w:val="auto"/>
              </w:rPr>
            </w:pPr>
          </w:p>
        </w:tc>
        <w:tc>
          <w:tcPr>
            <w:tcW w:w="4540" w:type="dxa"/>
            <w:vAlign w:val="bottom"/>
            <w:vMerge w:val="continue"/>
            <w:shd w:val="clear" w:color="auto" w:fill="D9D9D9"/>
          </w:tcPr>
          <w:p>
            <w:pPr>
              <w:spacing w:after="0"/>
              <w:rPr>
                <w:sz w:val="21"/>
                <w:szCs w:val="21"/>
                <w:color w:val="auto"/>
              </w:rPr>
            </w:pPr>
          </w:p>
        </w:tc>
        <w:tc>
          <w:tcPr>
            <w:tcW w:w="560" w:type="dxa"/>
            <w:vAlign w:val="bottom"/>
            <w:tcBorders>
              <w:right w:val="single" w:sz="8" w:color="auto"/>
            </w:tcBorders>
            <w:shd w:val="clear" w:color="auto" w:fill="D9D9D9"/>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4900" w:type="dxa"/>
            <w:vAlign w:val="bottom"/>
            <w:tcBorders>
              <w:right w:val="single" w:sz="8" w:color="auto"/>
            </w:tcBorders>
            <w:shd w:val="clear" w:color="auto" w:fill="D9D9D9"/>
          </w:tcPr>
          <w:p>
            <w:pPr>
              <w:ind w:left="200"/>
              <w:spacing w:after="0"/>
              <w:rPr>
                <w:sz w:val="20"/>
                <w:szCs w:val="20"/>
                <w:color w:val="auto"/>
              </w:rPr>
            </w:pPr>
            <w:r>
              <w:rPr>
                <w:rFonts w:ascii="Arial" w:cs="Arial" w:eastAsia="Arial" w:hAnsi="Arial"/>
                <w:sz w:val="18"/>
                <w:szCs w:val="18"/>
                <w:color w:val="auto"/>
              </w:rPr>
              <w:t>over 98%</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580" w:type="dxa"/>
            <w:vAlign w:val="bottom"/>
            <w:tcBorders>
              <w:right w:val="single" w:sz="8" w:color="auto"/>
            </w:tcBorders>
          </w:tcPr>
          <w:p>
            <w:pPr>
              <w:spacing w:after="0"/>
              <w:rPr>
                <w:sz w:val="24"/>
                <w:szCs w:val="24"/>
                <w:color w:val="auto"/>
              </w:rPr>
            </w:pPr>
          </w:p>
        </w:tc>
        <w:tc>
          <w:tcPr>
            <w:tcW w:w="4540" w:type="dxa"/>
            <w:vAlign w:val="bottom"/>
            <w:shd w:val="clear" w:color="auto" w:fill="D9D9D9"/>
          </w:tcPr>
          <w:p>
            <w:pPr>
              <w:spacing w:after="0" w:line="219" w:lineRule="exact"/>
              <w:rPr>
                <w:sz w:val="20"/>
                <w:szCs w:val="20"/>
                <w:color w:val="auto"/>
              </w:rPr>
            </w:pPr>
            <w:r>
              <w:rPr>
                <w:rFonts w:ascii="MS PGothic" w:cs="MS PGothic" w:eastAsia="MS PGothic" w:hAnsi="MS PGothic"/>
                <w:sz w:val="19"/>
                <w:szCs w:val="19"/>
                <w:color w:val="auto"/>
                <w:shd w:val="clear" w:color="auto" w:fill="C00000"/>
              </w:rPr>
              <w:t>✓</w:t>
            </w:r>
            <w:r>
              <w:rPr>
                <w:rFonts w:ascii="Arial" w:cs="Arial" w:eastAsia="Arial" w:hAnsi="Arial"/>
                <w:sz w:val="18"/>
                <w:szCs w:val="18"/>
                <w:color w:val="auto"/>
              </w:rPr>
              <w:t xml:space="preserve"> Anti-hedging and anti-pledging policy</w:t>
            </w:r>
          </w:p>
        </w:tc>
        <w:tc>
          <w:tcPr>
            <w:tcW w:w="560" w:type="dxa"/>
            <w:vAlign w:val="bottom"/>
            <w:tcBorders>
              <w:right w:val="single" w:sz="8" w:color="auto"/>
            </w:tcBorders>
            <w:shd w:val="clear" w:color="auto" w:fill="D9D9D9"/>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4900" w:type="dxa"/>
            <w:vAlign w:val="bottom"/>
            <w:tcBorders>
              <w:right w:val="single" w:sz="8" w:color="auto"/>
            </w:tcBorders>
            <w:shd w:val="clear" w:color="auto" w:fill="D9D9D9"/>
          </w:tcPr>
          <w:p>
            <w:pPr>
              <w:spacing w:after="0" w:line="219" w:lineRule="exact"/>
              <w:rPr>
                <w:sz w:val="20"/>
                <w:szCs w:val="20"/>
                <w:color w:val="auto"/>
              </w:rPr>
            </w:pPr>
            <w:r>
              <w:rPr>
                <w:rFonts w:ascii="MS PGothic" w:cs="MS PGothic" w:eastAsia="MS PGothic" w:hAnsi="MS PGothic"/>
                <w:sz w:val="19"/>
                <w:szCs w:val="19"/>
                <w:color w:val="auto"/>
                <w:shd w:val="clear" w:color="auto" w:fill="C00000"/>
              </w:rPr>
              <w:t>✓</w:t>
            </w:r>
            <w:r>
              <w:rPr>
                <w:rFonts w:ascii="Arial" w:cs="Arial" w:eastAsia="Arial" w:hAnsi="Arial"/>
                <w:sz w:val="18"/>
                <w:szCs w:val="18"/>
                <w:color w:val="auto"/>
              </w:rPr>
              <w:t xml:space="preserve"> Board access to management</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80" w:type="dxa"/>
            <w:vAlign w:val="bottom"/>
            <w:tcBorders>
              <w:right w:val="single" w:sz="8" w:color="auto"/>
            </w:tcBorders>
          </w:tcPr>
          <w:p>
            <w:pPr>
              <w:spacing w:after="0"/>
              <w:rPr>
                <w:sz w:val="24"/>
                <w:szCs w:val="24"/>
                <w:color w:val="auto"/>
              </w:rPr>
            </w:pPr>
          </w:p>
        </w:tc>
        <w:tc>
          <w:tcPr>
            <w:tcW w:w="4540" w:type="dxa"/>
            <w:vAlign w:val="bottom"/>
            <w:shd w:val="clear" w:color="auto" w:fill="D9D9D9"/>
          </w:tcPr>
          <w:p>
            <w:pPr>
              <w:spacing w:after="0" w:line="219" w:lineRule="exact"/>
              <w:rPr>
                <w:sz w:val="20"/>
                <w:szCs w:val="20"/>
                <w:color w:val="auto"/>
              </w:rPr>
            </w:pPr>
            <w:r>
              <w:rPr>
                <w:rFonts w:ascii="MS PGothic" w:cs="MS PGothic" w:eastAsia="MS PGothic" w:hAnsi="MS PGothic"/>
                <w:sz w:val="19"/>
                <w:szCs w:val="19"/>
                <w:color w:val="auto"/>
                <w:shd w:val="clear" w:color="auto" w:fill="C00000"/>
              </w:rPr>
              <w:t>✓</w:t>
            </w:r>
            <w:r>
              <w:rPr>
                <w:rFonts w:ascii="Arial" w:cs="Arial" w:eastAsia="Arial" w:hAnsi="Arial"/>
                <w:sz w:val="18"/>
                <w:szCs w:val="18"/>
                <w:color w:val="auto"/>
              </w:rPr>
              <w:t xml:space="preserve"> Clawback policy</w:t>
            </w:r>
          </w:p>
        </w:tc>
        <w:tc>
          <w:tcPr>
            <w:tcW w:w="560" w:type="dxa"/>
            <w:vAlign w:val="bottom"/>
            <w:tcBorders>
              <w:right w:val="single" w:sz="8" w:color="auto"/>
            </w:tcBorders>
            <w:shd w:val="clear" w:color="auto" w:fill="D9D9D9"/>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4900" w:type="dxa"/>
            <w:vAlign w:val="bottom"/>
            <w:tcBorders>
              <w:right w:val="single" w:sz="8" w:color="auto"/>
            </w:tcBorders>
            <w:shd w:val="clear" w:color="auto" w:fill="D9D9D9"/>
          </w:tcPr>
          <w:p>
            <w:pPr>
              <w:spacing w:after="0" w:line="219" w:lineRule="exact"/>
              <w:rPr>
                <w:sz w:val="20"/>
                <w:szCs w:val="20"/>
                <w:color w:val="auto"/>
              </w:rPr>
            </w:pPr>
            <w:r>
              <w:rPr>
                <w:rFonts w:ascii="MS PGothic" w:cs="MS PGothic" w:eastAsia="MS PGothic" w:hAnsi="MS PGothic"/>
                <w:sz w:val="19"/>
                <w:szCs w:val="19"/>
                <w:color w:val="auto"/>
                <w:shd w:val="clear" w:color="auto" w:fill="C00000"/>
              </w:rPr>
              <w:t>✓</w:t>
            </w:r>
            <w:r>
              <w:rPr>
                <w:rFonts w:ascii="Arial" w:cs="Arial" w:eastAsia="Arial" w:hAnsi="Arial"/>
                <w:sz w:val="18"/>
                <w:szCs w:val="18"/>
                <w:color w:val="auto"/>
              </w:rPr>
              <w:t xml:space="preserve"> Board oversight of sustainability matters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580" w:type="dxa"/>
            <w:vAlign w:val="bottom"/>
            <w:tcBorders>
              <w:right w:val="single" w:sz="8" w:color="auto"/>
            </w:tcBorders>
          </w:tcPr>
          <w:p>
            <w:pPr>
              <w:spacing w:after="0"/>
              <w:rPr>
                <w:sz w:val="24"/>
                <w:szCs w:val="24"/>
                <w:color w:val="auto"/>
              </w:rPr>
            </w:pPr>
          </w:p>
        </w:tc>
        <w:tc>
          <w:tcPr>
            <w:tcW w:w="4540" w:type="dxa"/>
            <w:vAlign w:val="bottom"/>
            <w:shd w:val="clear" w:color="auto" w:fill="D9D9D9"/>
          </w:tcPr>
          <w:p>
            <w:pPr>
              <w:spacing w:after="0" w:line="219" w:lineRule="exact"/>
              <w:rPr>
                <w:sz w:val="20"/>
                <w:szCs w:val="20"/>
                <w:color w:val="auto"/>
              </w:rPr>
            </w:pPr>
            <w:r>
              <w:rPr>
                <w:rFonts w:ascii="MS PGothic" w:cs="MS PGothic" w:eastAsia="MS PGothic" w:hAnsi="MS PGothic"/>
                <w:sz w:val="19"/>
                <w:szCs w:val="19"/>
                <w:color w:val="auto"/>
                <w:shd w:val="clear" w:color="auto" w:fill="C00000"/>
              </w:rPr>
              <w:t>✓</w:t>
            </w:r>
            <w:r>
              <w:rPr>
                <w:rFonts w:ascii="Arial" w:cs="Arial" w:eastAsia="Arial" w:hAnsi="Arial"/>
                <w:sz w:val="18"/>
                <w:szCs w:val="18"/>
                <w:color w:val="auto"/>
              </w:rPr>
              <w:t xml:space="preserve"> Codes of Conduct and Ethics</w:t>
            </w:r>
          </w:p>
        </w:tc>
        <w:tc>
          <w:tcPr>
            <w:tcW w:w="560" w:type="dxa"/>
            <w:vAlign w:val="bottom"/>
            <w:tcBorders>
              <w:right w:val="single" w:sz="8" w:color="auto"/>
            </w:tcBorders>
            <w:shd w:val="clear" w:color="auto" w:fill="D9D9D9"/>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4900" w:type="dxa"/>
            <w:vAlign w:val="bottom"/>
            <w:tcBorders>
              <w:right w:val="single" w:sz="8" w:color="auto"/>
            </w:tcBorders>
            <w:shd w:val="clear" w:color="auto" w:fill="D9D9D9"/>
          </w:tcPr>
          <w:p>
            <w:pPr>
              <w:spacing w:after="0" w:line="219" w:lineRule="exact"/>
              <w:rPr>
                <w:sz w:val="20"/>
                <w:szCs w:val="20"/>
                <w:color w:val="auto"/>
              </w:rPr>
            </w:pPr>
            <w:r>
              <w:rPr>
                <w:rFonts w:ascii="MS PGothic" w:cs="MS PGothic" w:eastAsia="MS PGothic" w:hAnsi="MS PGothic"/>
                <w:sz w:val="19"/>
                <w:szCs w:val="19"/>
                <w:color w:val="auto"/>
                <w:shd w:val="clear" w:color="auto" w:fill="C00000"/>
              </w:rPr>
              <w:t>✓</w:t>
            </w:r>
            <w:r>
              <w:rPr>
                <w:rFonts w:ascii="Arial" w:cs="Arial" w:eastAsia="Arial" w:hAnsi="Arial"/>
                <w:sz w:val="18"/>
                <w:szCs w:val="18"/>
                <w:color w:val="auto"/>
              </w:rPr>
              <w:t xml:space="preserve"> Emphasis on diversity in Board refreshment</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80" w:type="dxa"/>
            <w:vAlign w:val="bottom"/>
            <w:tcBorders>
              <w:right w:val="single" w:sz="8" w:color="auto"/>
            </w:tcBorders>
          </w:tcPr>
          <w:p>
            <w:pPr>
              <w:spacing w:after="0"/>
              <w:rPr>
                <w:sz w:val="23"/>
                <w:szCs w:val="23"/>
                <w:color w:val="auto"/>
              </w:rPr>
            </w:pPr>
          </w:p>
        </w:tc>
        <w:tc>
          <w:tcPr>
            <w:tcW w:w="4540" w:type="dxa"/>
            <w:vAlign w:val="bottom"/>
            <w:shd w:val="clear" w:color="auto" w:fill="D9D9D9"/>
          </w:tcPr>
          <w:p>
            <w:pPr>
              <w:spacing w:after="0" w:line="219" w:lineRule="exact"/>
              <w:rPr>
                <w:sz w:val="20"/>
                <w:szCs w:val="20"/>
                <w:color w:val="auto"/>
              </w:rPr>
            </w:pPr>
            <w:r>
              <w:rPr>
                <w:rFonts w:ascii="MS PGothic" w:cs="MS PGothic" w:eastAsia="MS PGothic" w:hAnsi="MS PGothic"/>
                <w:sz w:val="19"/>
                <w:szCs w:val="19"/>
                <w:color w:val="auto"/>
                <w:shd w:val="clear" w:color="auto" w:fill="C00000"/>
              </w:rPr>
              <w:t>✓</w:t>
            </w:r>
            <w:r>
              <w:rPr>
                <w:rFonts w:ascii="Arial" w:cs="Arial" w:eastAsia="Arial" w:hAnsi="Arial"/>
                <w:sz w:val="18"/>
                <w:szCs w:val="18"/>
                <w:color w:val="auto"/>
              </w:rPr>
              <w:t xml:space="preserve"> Comprehensive director onboarding process</w:t>
            </w:r>
          </w:p>
        </w:tc>
        <w:tc>
          <w:tcPr>
            <w:tcW w:w="560" w:type="dxa"/>
            <w:vAlign w:val="bottom"/>
            <w:tcBorders>
              <w:right w:val="single" w:sz="8" w:color="auto"/>
            </w:tcBorders>
            <w:shd w:val="clear" w:color="auto" w:fill="D9D9D9"/>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4900" w:type="dxa"/>
            <w:vAlign w:val="bottom"/>
            <w:tcBorders>
              <w:right w:val="single" w:sz="8" w:color="auto"/>
            </w:tcBorders>
            <w:shd w:val="clear" w:color="auto" w:fill="D9D9D9"/>
          </w:tcPr>
          <w:p>
            <w:pPr>
              <w:ind w:left="200"/>
              <w:spacing w:after="0"/>
              <w:rPr>
                <w:sz w:val="20"/>
                <w:szCs w:val="20"/>
                <w:color w:val="auto"/>
              </w:rPr>
            </w:pPr>
            <w:r>
              <w:rPr>
                <w:rFonts w:ascii="Arial" w:cs="Arial" w:eastAsia="Arial" w:hAnsi="Arial"/>
                <w:sz w:val="18"/>
                <w:szCs w:val="18"/>
                <w:color w:val="auto"/>
              </w:rPr>
              <w:t>efforts</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580" w:type="dxa"/>
            <w:vAlign w:val="bottom"/>
            <w:tcBorders>
              <w:right w:val="single" w:sz="8" w:color="auto"/>
            </w:tcBorders>
          </w:tcPr>
          <w:p>
            <w:pPr>
              <w:spacing w:after="0"/>
              <w:rPr>
                <w:sz w:val="24"/>
                <w:szCs w:val="24"/>
                <w:color w:val="auto"/>
              </w:rPr>
            </w:pPr>
          </w:p>
        </w:tc>
        <w:tc>
          <w:tcPr>
            <w:tcW w:w="4540" w:type="dxa"/>
            <w:vAlign w:val="bottom"/>
            <w:vMerge w:val="restart"/>
            <w:shd w:val="clear" w:color="auto" w:fill="D9D9D9"/>
          </w:tcPr>
          <w:p>
            <w:pPr>
              <w:spacing w:after="0" w:line="219" w:lineRule="exact"/>
              <w:rPr>
                <w:sz w:val="20"/>
                <w:szCs w:val="20"/>
                <w:color w:val="auto"/>
              </w:rPr>
            </w:pPr>
            <w:r>
              <w:rPr>
                <w:rFonts w:ascii="MS PGothic" w:cs="MS PGothic" w:eastAsia="MS PGothic" w:hAnsi="MS PGothic"/>
                <w:sz w:val="19"/>
                <w:szCs w:val="19"/>
                <w:color w:val="auto"/>
                <w:shd w:val="clear" w:color="auto" w:fill="C00000"/>
              </w:rPr>
              <w:t>✓</w:t>
            </w:r>
            <w:r>
              <w:rPr>
                <w:rFonts w:ascii="Arial" w:cs="Arial" w:eastAsia="Arial" w:hAnsi="Arial"/>
                <w:sz w:val="18"/>
                <w:szCs w:val="18"/>
                <w:color w:val="auto"/>
              </w:rPr>
              <w:t xml:space="preserve"> Robust stock ownership guidelines</w:t>
            </w:r>
          </w:p>
        </w:tc>
        <w:tc>
          <w:tcPr>
            <w:tcW w:w="560" w:type="dxa"/>
            <w:vAlign w:val="bottom"/>
            <w:tcBorders>
              <w:right w:val="single" w:sz="8" w:color="auto"/>
            </w:tcBorders>
            <w:shd w:val="clear" w:color="auto" w:fill="D9D9D9"/>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4900" w:type="dxa"/>
            <w:vAlign w:val="bottom"/>
            <w:tcBorders>
              <w:right w:val="single" w:sz="8" w:color="auto"/>
            </w:tcBorders>
            <w:shd w:val="clear" w:color="auto" w:fill="D9D9D9"/>
          </w:tcPr>
          <w:p>
            <w:pPr>
              <w:spacing w:after="0" w:line="219" w:lineRule="exact"/>
              <w:rPr>
                <w:sz w:val="20"/>
                <w:szCs w:val="20"/>
                <w:color w:val="auto"/>
              </w:rPr>
            </w:pPr>
            <w:r>
              <w:rPr>
                <w:rFonts w:ascii="MS PGothic" w:cs="MS PGothic" w:eastAsia="MS PGothic" w:hAnsi="MS PGothic"/>
                <w:sz w:val="19"/>
                <w:szCs w:val="19"/>
                <w:color w:val="auto"/>
                <w:shd w:val="clear" w:color="auto" w:fill="C00000"/>
              </w:rPr>
              <w:t>✓</w:t>
            </w:r>
            <w:r>
              <w:rPr>
                <w:rFonts w:ascii="Arial" w:cs="Arial" w:eastAsia="Arial" w:hAnsi="Arial"/>
                <w:sz w:val="18"/>
                <w:szCs w:val="18"/>
                <w:color w:val="auto"/>
              </w:rPr>
              <w:t xml:space="preserve"> No poison pill</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580" w:type="dxa"/>
            <w:vAlign w:val="bottom"/>
            <w:tcBorders>
              <w:right w:val="single" w:sz="8" w:color="auto"/>
            </w:tcBorders>
          </w:tcPr>
          <w:p>
            <w:pPr>
              <w:spacing w:after="0"/>
              <w:rPr>
                <w:sz w:val="11"/>
                <w:szCs w:val="11"/>
                <w:color w:val="auto"/>
              </w:rPr>
            </w:pPr>
          </w:p>
        </w:tc>
        <w:tc>
          <w:tcPr>
            <w:tcW w:w="4540" w:type="dxa"/>
            <w:vAlign w:val="bottom"/>
            <w:tcBorders>
              <w:bottom w:val="single" w:sz="8" w:color="D9D9D9"/>
            </w:tcBorders>
            <w:vMerge w:val="continue"/>
            <w:shd w:val="clear" w:color="auto" w:fill="D9D9D9"/>
          </w:tcPr>
          <w:p>
            <w:pPr>
              <w:spacing w:after="0"/>
              <w:rPr>
                <w:sz w:val="11"/>
                <w:szCs w:val="11"/>
                <w:color w:val="auto"/>
              </w:rPr>
            </w:pPr>
          </w:p>
        </w:tc>
        <w:tc>
          <w:tcPr>
            <w:tcW w:w="560" w:type="dxa"/>
            <w:vAlign w:val="bottom"/>
            <w:tcBorders>
              <w:bottom w:val="single" w:sz="8" w:color="D9D9D9"/>
              <w:right w:val="single" w:sz="8" w:color="auto"/>
            </w:tcBorders>
            <w:shd w:val="clear" w:color="auto" w:fill="D9D9D9"/>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900" w:type="dxa"/>
            <w:vAlign w:val="bottom"/>
            <w:tcBorders>
              <w:bottom w:val="single" w:sz="8" w:color="D9D9D9"/>
              <w:right w:val="single" w:sz="8" w:color="auto"/>
            </w:tcBorders>
            <w:shd w:val="clear" w:color="auto" w:fill="D9D9D9"/>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8"/>
        </w:trPr>
        <w:tc>
          <w:tcPr>
            <w:tcW w:w="580" w:type="dxa"/>
            <w:vAlign w:val="bottom"/>
          </w:tcPr>
          <w:p>
            <w:pPr>
              <w:spacing w:after="0"/>
              <w:rPr>
                <w:sz w:val="24"/>
                <w:szCs w:val="24"/>
                <w:color w:val="auto"/>
              </w:rPr>
            </w:pPr>
          </w:p>
        </w:tc>
        <w:tc>
          <w:tcPr>
            <w:tcW w:w="4540" w:type="dxa"/>
            <w:vAlign w:val="bottom"/>
            <w:tcBorders>
              <w:top w:val="single" w:sz="8" w:color="auto"/>
            </w:tcBorders>
          </w:tcPr>
          <w:p>
            <w:pPr>
              <w:spacing w:after="0"/>
              <w:rPr>
                <w:sz w:val="24"/>
                <w:szCs w:val="24"/>
                <w:color w:val="auto"/>
              </w:rPr>
            </w:pPr>
          </w:p>
        </w:tc>
        <w:tc>
          <w:tcPr>
            <w:tcW w:w="5580" w:type="dxa"/>
            <w:vAlign w:val="bottom"/>
            <w:tcBorders>
              <w:top w:val="single" w:sz="8" w:color="auto"/>
            </w:tcBorders>
            <w:gridSpan w:val="3"/>
          </w:tcPr>
          <w:p>
            <w:pPr>
              <w:ind w:left="440"/>
              <w:spacing w:after="0"/>
              <w:rPr>
                <w:sz w:val="20"/>
                <w:szCs w:val="20"/>
                <w:color w:val="auto"/>
              </w:rPr>
            </w:pPr>
            <w:r>
              <w:rPr>
                <w:rFonts w:ascii="Arial" w:cs="Arial" w:eastAsia="Arial" w:hAnsi="Arial"/>
                <w:sz w:val="18"/>
                <w:szCs w:val="18"/>
                <w:color w:val="auto"/>
              </w:rPr>
              <w:t>ix</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80" w:type="dxa"/>
            <w:vAlign w:val="bottom"/>
            <w:tcBorders>
              <w:bottom w:val="single" w:sz="8" w:color="9A9A9A"/>
            </w:tcBorders>
          </w:tcPr>
          <w:p>
            <w:pPr>
              <w:spacing w:after="0"/>
              <w:rPr>
                <w:sz w:val="8"/>
                <w:szCs w:val="8"/>
                <w:color w:val="auto"/>
              </w:rPr>
            </w:pPr>
          </w:p>
        </w:tc>
        <w:tc>
          <w:tcPr>
            <w:tcW w:w="45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9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154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9"/>
        </w:trPr>
        <w:tc>
          <w:tcPr>
            <w:tcW w:w="8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8860" w:type="dxa"/>
            <w:vAlign w:val="bottom"/>
            <w:gridSpan w:val="14"/>
          </w:tcPr>
          <w:p>
            <w:pPr>
              <w:ind w:left="20"/>
              <w:spacing w:after="0"/>
              <w:rPr>
                <w:sz w:val="20"/>
                <w:szCs w:val="20"/>
                <w:color w:val="auto"/>
              </w:rPr>
            </w:pPr>
            <w:r>
              <w:rPr>
                <w:rFonts w:ascii="Arial" w:cs="Arial" w:eastAsia="Arial" w:hAnsi="Arial"/>
                <w:sz w:val="18"/>
                <w:szCs w:val="18"/>
                <w:b w:val="1"/>
                <w:bCs w:val="1"/>
                <w:i w:val="1"/>
                <w:iCs w:val="1"/>
                <w:color w:val="C00000"/>
              </w:rPr>
              <w:t>Immediately after the 2023 Annual Meeting, our Board will reflect the following characteristics*:</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88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880" w:type="dxa"/>
            <w:vAlign w:val="bottom"/>
            <w:tcBorders>
              <w:right w:val="single" w:sz="8" w:color="auto"/>
            </w:tcBorders>
          </w:tcPr>
          <w:p>
            <w:pPr>
              <w:spacing w:after="0"/>
              <w:rPr>
                <w:sz w:val="17"/>
                <w:szCs w:val="17"/>
                <w:color w:val="auto"/>
              </w:rPr>
            </w:pPr>
          </w:p>
        </w:tc>
        <w:tc>
          <w:tcPr>
            <w:tcW w:w="52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2480" w:type="dxa"/>
            <w:vAlign w:val="bottom"/>
            <w:tcBorders>
              <w:right w:val="single" w:sz="8" w:color="auto"/>
            </w:tcBorders>
            <w:gridSpan w:val="2"/>
            <w:shd w:val="clear" w:color="auto" w:fill="D9D9D9"/>
          </w:tcPr>
          <w:p>
            <w:pPr>
              <w:ind w:left="340"/>
              <w:spacing w:after="0" w:line="196" w:lineRule="exact"/>
              <w:rPr>
                <w:sz w:val="20"/>
                <w:szCs w:val="20"/>
                <w:color w:val="auto"/>
              </w:rPr>
            </w:pPr>
            <w:r>
              <w:rPr>
                <w:rFonts w:ascii="Arial" w:cs="Arial" w:eastAsia="Arial" w:hAnsi="Arial"/>
                <w:sz w:val="18"/>
                <w:szCs w:val="18"/>
                <w:b w:val="1"/>
                <w:bCs w:val="1"/>
                <w:color w:val="C00000"/>
              </w:rPr>
              <w:t>Average Age</w:t>
            </w:r>
          </w:p>
        </w:tc>
        <w:tc>
          <w:tcPr>
            <w:tcW w:w="100" w:type="dxa"/>
            <w:vAlign w:val="bottom"/>
            <w:tcBorders>
              <w:right w:val="single" w:sz="8" w:color="auto"/>
            </w:tcBorders>
          </w:tcPr>
          <w:p>
            <w:pPr>
              <w:spacing w:after="0"/>
              <w:rPr>
                <w:sz w:val="17"/>
                <w:szCs w:val="17"/>
                <w:color w:val="auto"/>
              </w:rPr>
            </w:pPr>
          </w:p>
        </w:tc>
        <w:tc>
          <w:tcPr>
            <w:tcW w:w="580" w:type="dxa"/>
            <w:vAlign w:val="bottom"/>
            <w:shd w:val="clear" w:color="auto" w:fill="D9D9D9"/>
          </w:tcPr>
          <w:p>
            <w:pPr>
              <w:spacing w:after="0"/>
              <w:rPr>
                <w:sz w:val="17"/>
                <w:szCs w:val="17"/>
                <w:color w:val="auto"/>
              </w:rPr>
            </w:pPr>
          </w:p>
        </w:tc>
        <w:tc>
          <w:tcPr>
            <w:tcW w:w="2180" w:type="dxa"/>
            <w:vAlign w:val="bottom"/>
            <w:gridSpan w:val="3"/>
            <w:shd w:val="clear" w:color="auto" w:fill="D9D9D9"/>
          </w:tcPr>
          <w:p>
            <w:pPr>
              <w:jc w:val="center"/>
              <w:ind w:right="446"/>
              <w:spacing w:after="0" w:line="196" w:lineRule="exact"/>
              <w:rPr>
                <w:sz w:val="20"/>
                <w:szCs w:val="20"/>
                <w:color w:val="auto"/>
              </w:rPr>
            </w:pPr>
            <w:r>
              <w:rPr>
                <w:rFonts w:ascii="Arial" w:cs="Arial" w:eastAsia="Arial" w:hAnsi="Arial"/>
                <w:sz w:val="18"/>
                <w:szCs w:val="18"/>
                <w:b w:val="1"/>
                <w:bCs w:val="1"/>
                <w:color w:val="C00000"/>
                <w:w w:val="98"/>
              </w:rPr>
              <w:t>Average Tenure</w:t>
            </w:r>
          </w:p>
        </w:tc>
        <w:tc>
          <w:tcPr>
            <w:tcW w:w="120" w:type="dxa"/>
            <w:vAlign w:val="bottom"/>
            <w:tcBorders>
              <w:right w:val="single" w:sz="8" w:color="auto"/>
            </w:tcBorders>
            <w:shd w:val="clear" w:color="auto" w:fill="D9D9D9"/>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4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1780" w:type="dxa"/>
            <w:vAlign w:val="bottom"/>
            <w:gridSpan w:val="2"/>
            <w:shd w:val="clear" w:color="auto" w:fill="D9D9D9"/>
          </w:tcPr>
          <w:p>
            <w:pPr>
              <w:jc w:val="center"/>
              <w:spacing w:after="0" w:line="196" w:lineRule="exact"/>
              <w:rPr>
                <w:sz w:val="20"/>
                <w:szCs w:val="20"/>
                <w:color w:val="auto"/>
              </w:rPr>
            </w:pPr>
            <w:r>
              <w:rPr>
                <w:rFonts w:ascii="Arial" w:cs="Arial" w:eastAsia="Arial" w:hAnsi="Arial"/>
                <w:sz w:val="18"/>
                <w:szCs w:val="18"/>
                <w:b w:val="1"/>
                <w:bCs w:val="1"/>
                <w:color w:val="C00000"/>
                <w:w w:val="99"/>
              </w:rPr>
              <w:t>New Directors in the</w:t>
            </w:r>
          </w:p>
        </w:tc>
        <w:tc>
          <w:tcPr>
            <w:tcW w:w="760" w:type="dxa"/>
            <w:vAlign w:val="bottom"/>
            <w:tcBorders>
              <w:right w:val="single" w:sz="8" w:color="auto"/>
            </w:tcBorders>
            <w:shd w:val="clear" w:color="auto" w:fill="D9D9D9"/>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80" w:type="dxa"/>
            <w:vAlign w:val="bottom"/>
            <w:tcBorders>
              <w:right w:val="single" w:sz="8" w:color="auto"/>
            </w:tcBorders>
          </w:tcPr>
          <w:p>
            <w:pPr>
              <w:spacing w:after="0"/>
              <w:rPr>
                <w:sz w:val="19"/>
                <w:szCs w:val="19"/>
                <w:color w:val="auto"/>
              </w:rPr>
            </w:pPr>
          </w:p>
        </w:tc>
        <w:tc>
          <w:tcPr>
            <w:tcW w:w="520" w:type="dxa"/>
            <w:vAlign w:val="bottom"/>
            <w:shd w:val="clear" w:color="auto" w:fill="D9D9D9"/>
          </w:tcPr>
          <w:p>
            <w:pPr>
              <w:spacing w:after="0"/>
              <w:rPr>
                <w:sz w:val="19"/>
                <w:szCs w:val="19"/>
                <w:color w:val="auto"/>
              </w:rPr>
            </w:pPr>
          </w:p>
        </w:tc>
        <w:tc>
          <w:tcPr>
            <w:tcW w:w="140" w:type="dxa"/>
            <w:vAlign w:val="bottom"/>
            <w:shd w:val="clear" w:color="auto" w:fill="D9D9D9"/>
          </w:tcPr>
          <w:p>
            <w:pPr>
              <w:spacing w:after="0"/>
              <w:rPr>
                <w:sz w:val="19"/>
                <w:szCs w:val="19"/>
                <w:color w:val="auto"/>
              </w:rPr>
            </w:pPr>
          </w:p>
        </w:tc>
        <w:tc>
          <w:tcPr>
            <w:tcW w:w="2480" w:type="dxa"/>
            <w:vAlign w:val="bottom"/>
            <w:tcBorders>
              <w:right w:val="single" w:sz="8" w:color="auto"/>
            </w:tcBorders>
            <w:gridSpan w:val="2"/>
            <w:shd w:val="clear" w:color="auto" w:fill="D9D9D9"/>
          </w:tcPr>
          <w:p>
            <w:pPr>
              <w:ind w:left="540"/>
              <w:spacing w:after="0"/>
              <w:rPr>
                <w:sz w:val="20"/>
                <w:szCs w:val="20"/>
                <w:color w:val="auto"/>
              </w:rPr>
            </w:pPr>
            <w:r>
              <w:rPr>
                <w:rFonts w:ascii="Arial" w:cs="Arial" w:eastAsia="Arial" w:hAnsi="Arial"/>
                <w:sz w:val="18"/>
                <w:szCs w:val="18"/>
                <w:b w:val="1"/>
                <w:bCs w:val="1"/>
                <w:color w:val="auto"/>
              </w:rPr>
              <w:t>60 years</w:t>
            </w:r>
          </w:p>
        </w:tc>
        <w:tc>
          <w:tcPr>
            <w:tcW w:w="100" w:type="dxa"/>
            <w:vAlign w:val="bottom"/>
            <w:tcBorders>
              <w:right w:val="single" w:sz="8" w:color="auto"/>
            </w:tcBorders>
          </w:tcPr>
          <w:p>
            <w:pPr>
              <w:spacing w:after="0"/>
              <w:rPr>
                <w:sz w:val="19"/>
                <w:szCs w:val="19"/>
                <w:color w:val="auto"/>
              </w:rPr>
            </w:pPr>
          </w:p>
        </w:tc>
        <w:tc>
          <w:tcPr>
            <w:tcW w:w="580" w:type="dxa"/>
            <w:vAlign w:val="bottom"/>
            <w:shd w:val="clear" w:color="auto" w:fill="D9D9D9"/>
          </w:tcPr>
          <w:p>
            <w:pPr>
              <w:spacing w:after="0"/>
              <w:rPr>
                <w:sz w:val="19"/>
                <w:szCs w:val="19"/>
                <w:color w:val="auto"/>
              </w:rPr>
            </w:pPr>
          </w:p>
        </w:tc>
        <w:tc>
          <w:tcPr>
            <w:tcW w:w="2180" w:type="dxa"/>
            <w:vAlign w:val="bottom"/>
            <w:gridSpan w:val="3"/>
            <w:shd w:val="clear" w:color="auto" w:fill="D9D9D9"/>
          </w:tcPr>
          <w:p>
            <w:pPr>
              <w:jc w:val="center"/>
              <w:ind w:right="446"/>
              <w:spacing w:after="0"/>
              <w:rPr>
                <w:sz w:val="20"/>
                <w:szCs w:val="20"/>
                <w:color w:val="auto"/>
              </w:rPr>
            </w:pPr>
            <w:r>
              <w:rPr>
                <w:rFonts w:ascii="Arial" w:cs="Arial" w:eastAsia="Arial" w:hAnsi="Arial"/>
                <w:sz w:val="18"/>
                <w:szCs w:val="18"/>
                <w:b w:val="1"/>
                <w:bCs w:val="1"/>
                <w:color w:val="auto"/>
                <w:w w:val="99"/>
              </w:rPr>
              <w:t>8 years</w:t>
            </w:r>
          </w:p>
        </w:tc>
        <w:tc>
          <w:tcPr>
            <w:tcW w:w="120" w:type="dxa"/>
            <w:vAlign w:val="bottom"/>
            <w:tcBorders>
              <w:right w:val="single" w:sz="8" w:color="auto"/>
            </w:tcBorders>
            <w:shd w:val="clear" w:color="auto" w:fill="D9D9D9"/>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40" w:type="dxa"/>
            <w:vAlign w:val="bottom"/>
            <w:shd w:val="clear" w:color="auto" w:fill="D9D9D9"/>
          </w:tcPr>
          <w:p>
            <w:pPr>
              <w:spacing w:after="0"/>
              <w:rPr>
                <w:sz w:val="19"/>
                <w:szCs w:val="19"/>
                <w:color w:val="auto"/>
              </w:rPr>
            </w:pPr>
          </w:p>
        </w:tc>
        <w:tc>
          <w:tcPr>
            <w:tcW w:w="300" w:type="dxa"/>
            <w:vAlign w:val="bottom"/>
            <w:shd w:val="clear" w:color="auto" w:fill="D9D9D9"/>
          </w:tcPr>
          <w:p>
            <w:pPr>
              <w:spacing w:after="0"/>
              <w:rPr>
                <w:sz w:val="19"/>
                <w:szCs w:val="19"/>
                <w:color w:val="auto"/>
              </w:rPr>
            </w:pPr>
          </w:p>
        </w:tc>
        <w:tc>
          <w:tcPr>
            <w:tcW w:w="1780" w:type="dxa"/>
            <w:vAlign w:val="bottom"/>
            <w:gridSpan w:val="2"/>
            <w:shd w:val="clear" w:color="auto" w:fill="D9D9D9"/>
          </w:tcPr>
          <w:p>
            <w:pPr>
              <w:jc w:val="center"/>
              <w:spacing w:after="0"/>
              <w:rPr>
                <w:sz w:val="20"/>
                <w:szCs w:val="20"/>
                <w:color w:val="auto"/>
              </w:rPr>
            </w:pPr>
            <w:r>
              <w:rPr>
                <w:rFonts w:ascii="Arial" w:cs="Arial" w:eastAsia="Arial" w:hAnsi="Arial"/>
                <w:sz w:val="18"/>
                <w:szCs w:val="18"/>
                <w:b w:val="1"/>
                <w:bCs w:val="1"/>
                <w:color w:val="C00000"/>
                <w:w w:val="99"/>
              </w:rPr>
              <w:t>Last 5 Years</w:t>
            </w:r>
          </w:p>
        </w:tc>
        <w:tc>
          <w:tcPr>
            <w:tcW w:w="760" w:type="dxa"/>
            <w:vAlign w:val="bottom"/>
            <w:tcBorders>
              <w:right w:val="single" w:sz="8" w:color="auto"/>
            </w:tcBorders>
            <w:shd w:val="clear" w:color="auto" w:fill="D9D9D9"/>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880" w:type="dxa"/>
            <w:vAlign w:val="bottom"/>
            <w:tcBorders>
              <w:right w:val="single" w:sz="8" w:color="auto"/>
            </w:tcBorders>
          </w:tcPr>
          <w:p>
            <w:pPr>
              <w:spacing w:after="0"/>
              <w:rPr>
                <w:sz w:val="22"/>
                <w:szCs w:val="22"/>
                <w:color w:val="auto"/>
              </w:rPr>
            </w:pPr>
          </w:p>
        </w:tc>
        <w:tc>
          <w:tcPr>
            <w:tcW w:w="520" w:type="dxa"/>
            <w:vAlign w:val="bottom"/>
            <w:tcBorders>
              <w:bottom w:val="single" w:sz="8" w:color="auto"/>
            </w:tcBorders>
            <w:shd w:val="clear" w:color="auto" w:fill="D9D9D9"/>
          </w:tcPr>
          <w:p>
            <w:pPr>
              <w:spacing w:after="0"/>
              <w:rPr>
                <w:sz w:val="22"/>
                <w:szCs w:val="22"/>
                <w:color w:val="auto"/>
              </w:rPr>
            </w:pPr>
          </w:p>
        </w:tc>
        <w:tc>
          <w:tcPr>
            <w:tcW w:w="140" w:type="dxa"/>
            <w:vAlign w:val="bottom"/>
            <w:tcBorders>
              <w:bottom w:val="single" w:sz="8" w:color="auto"/>
            </w:tcBorders>
            <w:shd w:val="clear" w:color="auto" w:fill="D9D9D9"/>
          </w:tcPr>
          <w:p>
            <w:pPr>
              <w:spacing w:after="0"/>
              <w:rPr>
                <w:sz w:val="22"/>
                <w:szCs w:val="22"/>
                <w:color w:val="auto"/>
              </w:rPr>
            </w:pPr>
          </w:p>
        </w:tc>
        <w:tc>
          <w:tcPr>
            <w:tcW w:w="1060" w:type="dxa"/>
            <w:vAlign w:val="bottom"/>
            <w:tcBorders>
              <w:bottom w:val="single" w:sz="8" w:color="auto"/>
              <w:right w:val="single" w:sz="8" w:color="D9D9D9"/>
            </w:tcBorders>
            <w:shd w:val="clear" w:color="auto" w:fill="D9D9D9"/>
          </w:tcPr>
          <w:p>
            <w:pPr>
              <w:spacing w:after="0"/>
              <w:rPr>
                <w:sz w:val="22"/>
                <w:szCs w:val="22"/>
                <w:color w:val="auto"/>
              </w:rPr>
            </w:pPr>
          </w:p>
        </w:tc>
        <w:tc>
          <w:tcPr>
            <w:tcW w:w="1420" w:type="dxa"/>
            <w:vAlign w:val="bottom"/>
            <w:tcBorders>
              <w:bottom w:val="single" w:sz="8" w:color="auto"/>
              <w:right w:val="single" w:sz="8" w:color="auto"/>
            </w:tcBorders>
            <w:shd w:val="clear" w:color="auto" w:fill="D9D9D9"/>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580" w:type="dxa"/>
            <w:vAlign w:val="bottom"/>
            <w:tcBorders>
              <w:bottom w:val="single" w:sz="8" w:color="auto"/>
            </w:tcBorders>
            <w:shd w:val="clear" w:color="auto" w:fill="D9D9D9"/>
          </w:tcPr>
          <w:p>
            <w:pPr>
              <w:spacing w:after="0"/>
              <w:rPr>
                <w:sz w:val="22"/>
                <w:szCs w:val="22"/>
                <w:color w:val="auto"/>
              </w:rPr>
            </w:pPr>
          </w:p>
        </w:tc>
        <w:tc>
          <w:tcPr>
            <w:tcW w:w="1040" w:type="dxa"/>
            <w:vAlign w:val="bottom"/>
            <w:tcBorders>
              <w:bottom w:val="single" w:sz="8" w:color="auto"/>
              <w:right w:val="single" w:sz="8" w:color="D9D9D9"/>
            </w:tcBorders>
            <w:shd w:val="clear" w:color="auto" w:fill="D9D9D9"/>
          </w:tcPr>
          <w:p>
            <w:pPr>
              <w:spacing w:after="0"/>
              <w:rPr>
                <w:sz w:val="22"/>
                <w:szCs w:val="22"/>
                <w:color w:val="auto"/>
              </w:rPr>
            </w:pPr>
          </w:p>
        </w:tc>
        <w:tc>
          <w:tcPr>
            <w:tcW w:w="80" w:type="dxa"/>
            <w:vAlign w:val="bottom"/>
            <w:tcBorders>
              <w:bottom w:val="single" w:sz="8" w:color="auto"/>
              <w:right w:val="single" w:sz="8" w:color="D9D9D9"/>
            </w:tcBorders>
            <w:shd w:val="clear" w:color="auto" w:fill="D9D9D9"/>
          </w:tcPr>
          <w:p>
            <w:pPr>
              <w:spacing w:after="0"/>
              <w:rPr>
                <w:sz w:val="22"/>
                <w:szCs w:val="22"/>
                <w:color w:val="auto"/>
              </w:rPr>
            </w:pPr>
          </w:p>
        </w:tc>
        <w:tc>
          <w:tcPr>
            <w:tcW w:w="1060" w:type="dxa"/>
            <w:vAlign w:val="bottom"/>
            <w:tcBorders>
              <w:bottom w:val="single" w:sz="8" w:color="auto"/>
            </w:tcBorders>
            <w:shd w:val="clear" w:color="auto" w:fill="D9D9D9"/>
          </w:tcPr>
          <w:p>
            <w:pPr>
              <w:spacing w:after="0"/>
              <w:rPr>
                <w:sz w:val="22"/>
                <w:szCs w:val="22"/>
                <w:color w:val="auto"/>
              </w:rPr>
            </w:pPr>
          </w:p>
        </w:tc>
        <w:tc>
          <w:tcPr>
            <w:tcW w:w="120" w:type="dxa"/>
            <w:vAlign w:val="bottom"/>
            <w:tcBorders>
              <w:bottom w:val="single" w:sz="8" w:color="auto"/>
              <w:right w:val="single" w:sz="8" w:color="auto"/>
            </w:tcBorders>
            <w:shd w:val="clear" w:color="auto" w:fill="D9D9D9"/>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440" w:type="dxa"/>
            <w:vAlign w:val="bottom"/>
            <w:tcBorders>
              <w:bottom w:val="single" w:sz="8" w:color="auto"/>
            </w:tcBorders>
            <w:shd w:val="clear" w:color="auto" w:fill="D9D9D9"/>
          </w:tcPr>
          <w:p>
            <w:pPr>
              <w:spacing w:after="0"/>
              <w:rPr>
                <w:sz w:val="22"/>
                <w:szCs w:val="22"/>
                <w:color w:val="auto"/>
              </w:rPr>
            </w:pPr>
          </w:p>
        </w:tc>
        <w:tc>
          <w:tcPr>
            <w:tcW w:w="300" w:type="dxa"/>
            <w:vAlign w:val="bottom"/>
            <w:tcBorders>
              <w:bottom w:val="single" w:sz="8" w:color="auto"/>
            </w:tcBorders>
            <w:shd w:val="clear" w:color="auto" w:fill="D9D9D9"/>
          </w:tcPr>
          <w:p>
            <w:pPr>
              <w:spacing w:after="0"/>
              <w:rPr>
                <w:sz w:val="22"/>
                <w:szCs w:val="22"/>
                <w:color w:val="auto"/>
              </w:rPr>
            </w:pPr>
          </w:p>
        </w:tc>
        <w:tc>
          <w:tcPr>
            <w:tcW w:w="820" w:type="dxa"/>
            <w:vAlign w:val="bottom"/>
            <w:tcBorders>
              <w:bottom w:val="single" w:sz="8" w:color="auto"/>
              <w:right w:val="single" w:sz="8" w:color="D9D9D9"/>
            </w:tcBorders>
            <w:shd w:val="clear" w:color="auto" w:fill="D9D9D9"/>
          </w:tcPr>
          <w:p>
            <w:pPr>
              <w:spacing w:after="0"/>
              <w:rPr>
                <w:sz w:val="22"/>
                <w:szCs w:val="22"/>
                <w:color w:val="auto"/>
              </w:rPr>
            </w:pPr>
          </w:p>
        </w:tc>
        <w:tc>
          <w:tcPr>
            <w:tcW w:w="960" w:type="dxa"/>
            <w:vAlign w:val="bottom"/>
            <w:tcBorders>
              <w:bottom w:val="single" w:sz="8" w:color="auto"/>
            </w:tcBorders>
            <w:shd w:val="clear" w:color="auto" w:fill="D9D9D9"/>
          </w:tcPr>
          <w:p>
            <w:pPr>
              <w:jc w:val="center"/>
              <w:ind w:right="740"/>
              <w:spacing w:after="0"/>
              <w:rPr>
                <w:sz w:val="20"/>
                <w:szCs w:val="20"/>
                <w:color w:val="auto"/>
              </w:rPr>
            </w:pPr>
            <w:r>
              <w:rPr>
                <w:rFonts w:ascii="Arial" w:cs="Arial" w:eastAsia="Arial" w:hAnsi="Arial"/>
                <w:sz w:val="18"/>
                <w:szCs w:val="18"/>
                <w:b w:val="1"/>
                <w:bCs w:val="1"/>
                <w:color w:val="auto"/>
                <w:w w:val="99"/>
              </w:rPr>
              <w:t>4</w:t>
            </w:r>
          </w:p>
        </w:tc>
        <w:tc>
          <w:tcPr>
            <w:tcW w:w="760" w:type="dxa"/>
            <w:vAlign w:val="bottom"/>
            <w:tcBorders>
              <w:bottom w:val="single" w:sz="8" w:color="auto"/>
              <w:right w:val="single" w:sz="8" w:color="auto"/>
            </w:tcBorders>
            <w:shd w:val="clear" w:color="auto" w:fill="D9D9D9"/>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520" w:type="dxa"/>
            <w:vAlign w:val="bottom"/>
            <w:tcBorders>
              <w:bottom w:val="single" w:sz="8" w:color="auto"/>
            </w:tcBorders>
            <w:gridSpan w:val="2"/>
          </w:tcPr>
          <w:p>
            <w:pPr>
              <w:spacing w:after="0"/>
              <w:rPr>
                <w:sz w:val="7"/>
                <w:szCs w:val="7"/>
                <w:color w:val="auto"/>
              </w:rPr>
            </w:pPr>
          </w:p>
        </w:tc>
        <w:tc>
          <w:tcPr>
            <w:tcW w:w="1620" w:type="dxa"/>
            <w:vAlign w:val="bottom"/>
            <w:tcBorders>
              <w:bottom w:val="single" w:sz="8" w:color="auto"/>
            </w:tcBorders>
            <w:gridSpan w:val="2"/>
          </w:tcPr>
          <w:p>
            <w:pPr>
              <w:spacing w:after="0"/>
              <w:rPr>
                <w:sz w:val="7"/>
                <w:szCs w:val="7"/>
                <w:color w:val="auto"/>
              </w:rPr>
            </w:pPr>
          </w:p>
        </w:tc>
        <w:tc>
          <w:tcPr>
            <w:tcW w:w="80" w:type="dxa"/>
            <w:vAlign w:val="bottom"/>
          </w:tcPr>
          <w:p>
            <w:pPr>
              <w:spacing w:after="0"/>
              <w:rPr>
                <w:sz w:val="7"/>
                <w:szCs w:val="7"/>
                <w:color w:val="auto"/>
              </w:rPr>
            </w:pPr>
          </w:p>
        </w:tc>
        <w:tc>
          <w:tcPr>
            <w:tcW w:w="2860" w:type="dxa"/>
            <w:vAlign w:val="bottom"/>
            <w:tcBorders>
              <w:bottom w:val="single" w:sz="8" w:color="auto"/>
            </w:tcBorders>
            <w:gridSpan w:val="6"/>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3140" w:type="dxa"/>
            <w:vAlign w:val="bottom"/>
            <w:tcBorders>
              <w:right w:val="single" w:sz="8" w:color="auto"/>
            </w:tcBorders>
            <w:gridSpan w:val="4"/>
            <w:shd w:val="clear" w:color="auto" w:fill="D9D9D9"/>
          </w:tcPr>
          <w:p>
            <w:pPr>
              <w:jc w:val="center"/>
              <w:spacing w:after="0" w:line="196" w:lineRule="exact"/>
              <w:rPr>
                <w:sz w:val="20"/>
                <w:szCs w:val="20"/>
                <w:color w:val="auto"/>
              </w:rPr>
            </w:pPr>
            <w:r>
              <w:rPr>
                <w:rFonts w:ascii="Arial" w:cs="Arial" w:eastAsia="Arial" w:hAnsi="Arial"/>
                <w:sz w:val="18"/>
                <w:szCs w:val="18"/>
                <w:b w:val="1"/>
                <w:bCs w:val="1"/>
                <w:color w:val="C00000"/>
                <w:w w:val="99"/>
              </w:rPr>
              <w:t>% of Directors who are</w:t>
            </w:r>
          </w:p>
        </w:tc>
        <w:tc>
          <w:tcPr>
            <w:tcW w:w="80" w:type="dxa"/>
            <w:vAlign w:val="bottom"/>
            <w:tcBorders>
              <w:right w:val="single" w:sz="8" w:color="auto"/>
            </w:tcBorders>
          </w:tcPr>
          <w:p>
            <w:pPr>
              <w:spacing w:after="0"/>
              <w:rPr>
                <w:sz w:val="17"/>
                <w:szCs w:val="17"/>
                <w:color w:val="auto"/>
              </w:rPr>
            </w:pPr>
          </w:p>
        </w:tc>
        <w:tc>
          <w:tcPr>
            <w:tcW w:w="2860" w:type="dxa"/>
            <w:vAlign w:val="bottom"/>
            <w:tcBorders>
              <w:right w:val="single" w:sz="8" w:color="auto"/>
            </w:tcBorders>
            <w:gridSpan w:val="6"/>
            <w:shd w:val="clear" w:color="auto" w:fill="D9D9D9"/>
          </w:tcPr>
          <w:p>
            <w:pPr>
              <w:jc w:val="center"/>
              <w:spacing w:after="0" w:line="196" w:lineRule="exact"/>
              <w:rPr>
                <w:sz w:val="20"/>
                <w:szCs w:val="20"/>
                <w:color w:val="auto"/>
              </w:rPr>
            </w:pPr>
            <w:r>
              <w:rPr>
                <w:rFonts w:ascii="Arial" w:cs="Arial" w:eastAsia="Arial" w:hAnsi="Arial"/>
                <w:sz w:val="18"/>
                <w:szCs w:val="18"/>
                <w:b w:val="1"/>
                <w:bCs w:val="1"/>
                <w:color w:val="C00000"/>
              </w:rPr>
              <w:t>% of Directors who are</w:t>
            </w: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3140" w:type="dxa"/>
            <w:vAlign w:val="bottom"/>
            <w:tcBorders>
              <w:right w:val="single" w:sz="8" w:color="auto"/>
            </w:tcBorders>
            <w:gridSpan w:val="4"/>
            <w:shd w:val="clear" w:color="auto" w:fill="D9D9D9"/>
          </w:tcPr>
          <w:p>
            <w:pPr>
              <w:jc w:val="center"/>
              <w:spacing w:after="0" w:line="201" w:lineRule="exact"/>
              <w:rPr>
                <w:sz w:val="20"/>
                <w:szCs w:val="20"/>
                <w:color w:val="auto"/>
              </w:rPr>
            </w:pPr>
            <w:r>
              <w:rPr>
                <w:rFonts w:ascii="Arial" w:cs="Arial" w:eastAsia="Arial" w:hAnsi="Arial"/>
                <w:sz w:val="18"/>
                <w:szCs w:val="18"/>
                <w:b w:val="1"/>
                <w:bCs w:val="1"/>
                <w:color w:val="C00000"/>
                <w:w w:val="99"/>
              </w:rPr>
              <w:t>Racially/Ethnically Diverse</w:t>
            </w:r>
          </w:p>
        </w:tc>
        <w:tc>
          <w:tcPr>
            <w:tcW w:w="80" w:type="dxa"/>
            <w:vAlign w:val="bottom"/>
            <w:tcBorders>
              <w:right w:val="single" w:sz="8" w:color="auto"/>
            </w:tcBorders>
          </w:tcPr>
          <w:p>
            <w:pPr>
              <w:spacing w:after="0"/>
              <w:rPr>
                <w:sz w:val="17"/>
                <w:szCs w:val="17"/>
                <w:color w:val="auto"/>
              </w:rPr>
            </w:pPr>
          </w:p>
        </w:tc>
        <w:tc>
          <w:tcPr>
            <w:tcW w:w="1060" w:type="dxa"/>
            <w:vAlign w:val="bottom"/>
            <w:shd w:val="clear" w:color="auto" w:fill="D9D9D9"/>
          </w:tcPr>
          <w:p>
            <w:pPr>
              <w:spacing w:after="0"/>
              <w:rPr>
                <w:sz w:val="17"/>
                <w:szCs w:val="17"/>
                <w:color w:val="auto"/>
              </w:rPr>
            </w:pPr>
          </w:p>
        </w:tc>
        <w:tc>
          <w:tcPr>
            <w:tcW w:w="680" w:type="dxa"/>
            <w:vAlign w:val="bottom"/>
            <w:gridSpan w:val="3"/>
            <w:shd w:val="clear" w:color="auto" w:fill="D9D9D9"/>
          </w:tcPr>
          <w:p>
            <w:pPr>
              <w:jc w:val="center"/>
              <w:spacing w:after="0" w:line="201" w:lineRule="exact"/>
              <w:rPr>
                <w:sz w:val="20"/>
                <w:szCs w:val="20"/>
                <w:color w:val="auto"/>
              </w:rPr>
            </w:pPr>
            <w:r>
              <w:rPr>
                <w:rFonts w:ascii="Arial" w:cs="Arial" w:eastAsia="Arial" w:hAnsi="Arial"/>
                <w:sz w:val="18"/>
                <w:szCs w:val="18"/>
                <w:b w:val="1"/>
                <w:bCs w:val="1"/>
                <w:color w:val="C00000"/>
                <w:w w:val="98"/>
              </w:rPr>
              <w:t>Women</w:t>
            </w:r>
          </w:p>
        </w:tc>
        <w:tc>
          <w:tcPr>
            <w:tcW w:w="300" w:type="dxa"/>
            <w:vAlign w:val="bottom"/>
            <w:shd w:val="clear" w:color="auto" w:fill="D9D9D9"/>
          </w:tcPr>
          <w:p>
            <w:pPr>
              <w:spacing w:after="0"/>
              <w:rPr>
                <w:sz w:val="17"/>
                <w:szCs w:val="17"/>
                <w:color w:val="auto"/>
              </w:rPr>
            </w:pPr>
          </w:p>
        </w:tc>
        <w:tc>
          <w:tcPr>
            <w:tcW w:w="820" w:type="dxa"/>
            <w:vAlign w:val="bottom"/>
            <w:tcBorders>
              <w:right w:val="single" w:sz="8" w:color="auto"/>
            </w:tcBorders>
            <w:shd w:val="clear" w:color="auto" w:fill="D9D9D9"/>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420" w:type="dxa"/>
            <w:vAlign w:val="bottom"/>
            <w:tcBorders>
              <w:bottom w:val="single" w:sz="8" w:color="auto"/>
              <w:right w:val="single" w:sz="8" w:color="D9D9D9"/>
            </w:tcBorders>
            <w:shd w:val="clear" w:color="auto" w:fill="D9D9D9"/>
          </w:tcPr>
          <w:p>
            <w:pPr>
              <w:spacing w:after="0"/>
              <w:rPr>
                <w:sz w:val="24"/>
                <w:szCs w:val="24"/>
                <w:color w:val="auto"/>
              </w:rPr>
            </w:pPr>
          </w:p>
        </w:tc>
        <w:tc>
          <w:tcPr>
            <w:tcW w:w="680" w:type="dxa"/>
            <w:vAlign w:val="bottom"/>
            <w:tcBorders>
              <w:bottom w:val="single" w:sz="8" w:color="auto"/>
            </w:tcBorders>
            <w:gridSpan w:val="2"/>
            <w:shd w:val="clear" w:color="auto" w:fill="D9D9D9"/>
          </w:tcPr>
          <w:p>
            <w:pPr>
              <w:jc w:val="center"/>
              <w:ind w:right="288"/>
              <w:spacing w:after="0"/>
              <w:rPr>
                <w:sz w:val="20"/>
                <w:szCs w:val="20"/>
                <w:color w:val="auto"/>
              </w:rPr>
            </w:pPr>
            <w:r>
              <w:rPr>
                <w:rFonts w:ascii="Arial" w:cs="Arial" w:eastAsia="Arial" w:hAnsi="Arial"/>
                <w:sz w:val="18"/>
                <w:szCs w:val="18"/>
                <w:b w:val="1"/>
                <w:bCs w:val="1"/>
                <w:color w:val="auto"/>
                <w:w w:val="88"/>
              </w:rPr>
              <w:t>27%</w:t>
            </w:r>
          </w:p>
        </w:tc>
        <w:tc>
          <w:tcPr>
            <w:tcW w:w="1040" w:type="dxa"/>
            <w:vAlign w:val="bottom"/>
            <w:tcBorders>
              <w:bottom w:val="single" w:sz="8" w:color="auto"/>
              <w:right w:val="single" w:sz="8" w:color="auto"/>
            </w:tcBorders>
            <w:shd w:val="clear" w:color="auto" w:fill="D9D9D9"/>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060" w:type="dxa"/>
            <w:vAlign w:val="bottom"/>
            <w:tcBorders>
              <w:bottom w:val="single" w:sz="8" w:color="auto"/>
            </w:tcBorders>
            <w:shd w:val="clear" w:color="auto" w:fill="D9D9D9"/>
          </w:tcPr>
          <w:p>
            <w:pPr>
              <w:spacing w:after="0"/>
              <w:rPr>
                <w:sz w:val="24"/>
                <w:szCs w:val="24"/>
                <w:color w:val="auto"/>
              </w:rPr>
            </w:pPr>
          </w:p>
        </w:tc>
        <w:tc>
          <w:tcPr>
            <w:tcW w:w="680" w:type="dxa"/>
            <w:vAlign w:val="bottom"/>
            <w:tcBorders>
              <w:bottom w:val="single" w:sz="8" w:color="auto"/>
            </w:tcBorders>
            <w:gridSpan w:val="3"/>
            <w:shd w:val="clear" w:color="auto" w:fill="D9D9D9"/>
          </w:tcPr>
          <w:p>
            <w:pPr>
              <w:jc w:val="center"/>
              <w:spacing w:after="0"/>
              <w:rPr>
                <w:sz w:val="20"/>
                <w:szCs w:val="20"/>
                <w:color w:val="auto"/>
              </w:rPr>
            </w:pPr>
            <w:r>
              <w:rPr>
                <w:rFonts w:ascii="Arial" w:cs="Arial" w:eastAsia="Arial" w:hAnsi="Arial"/>
                <w:sz w:val="18"/>
                <w:szCs w:val="18"/>
                <w:b w:val="1"/>
                <w:bCs w:val="1"/>
                <w:color w:val="auto"/>
                <w:w w:val="99"/>
              </w:rPr>
              <w:t>27%</w:t>
            </w:r>
          </w:p>
        </w:tc>
        <w:tc>
          <w:tcPr>
            <w:tcW w:w="300" w:type="dxa"/>
            <w:vAlign w:val="bottom"/>
            <w:tcBorders>
              <w:bottom w:val="single" w:sz="8" w:color="auto"/>
            </w:tcBorders>
            <w:shd w:val="clear" w:color="auto" w:fill="D9D9D9"/>
          </w:tcPr>
          <w:p>
            <w:pPr>
              <w:spacing w:after="0"/>
              <w:rPr>
                <w:sz w:val="24"/>
                <w:szCs w:val="24"/>
                <w:color w:val="auto"/>
              </w:rPr>
            </w:pPr>
          </w:p>
        </w:tc>
        <w:tc>
          <w:tcPr>
            <w:tcW w:w="820" w:type="dxa"/>
            <w:vAlign w:val="bottom"/>
            <w:tcBorders>
              <w:bottom w:val="single" w:sz="8" w:color="auto"/>
              <w:right w:val="single" w:sz="8" w:color="auto"/>
            </w:tcBorders>
            <w:shd w:val="clear" w:color="auto" w:fill="D9D9D9"/>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020" w:type="dxa"/>
            <w:vAlign w:val="bottom"/>
            <w:gridSpan w:val="5"/>
          </w:tcPr>
          <w:p>
            <w:pPr>
              <w:spacing w:after="0"/>
              <w:rPr>
                <w:sz w:val="20"/>
                <w:szCs w:val="20"/>
                <w:color w:val="auto"/>
              </w:rPr>
            </w:pPr>
            <w:r>
              <w:rPr>
                <w:rFonts w:ascii="Arial" w:cs="Arial" w:eastAsia="Arial" w:hAnsi="Arial"/>
                <w:sz w:val="20"/>
                <w:szCs w:val="20"/>
                <w:b w:val="1"/>
                <w:bCs w:val="1"/>
                <w:color w:val="C00000"/>
              </w:rPr>
              <w:t>Information About our Board of Directors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8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20" w:type="dxa"/>
            <w:vAlign w:val="bottom"/>
            <w:gridSpan w:val="4"/>
          </w:tcPr>
          <w:p>
            <w:pPr>
              <w:spacing w:after="0"/>
              <w:rPr>
                <w:sz w:val="6"/>
                <w:szCs w:val="6"/>
                <w:color w:val="auto"/>
              </w:rPr>
            </w:pPr>
          </w:p>
        </w:tc>
        <w:tc>
          <w:tcPr>
            <w:tcW w:w="76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880" w:type="dxa"/>
            <w:vAlign w:val="bottom"/>
            <w:tcBorders>
              <w:right w:val="single" w:sz="8" w:color="C00000"/>
            </w:tcBorders>
            <w:shd w:val="clear" w:color="auto" w:fill="C00000"/>
          </w:tcPr>
          <w:p>
            <w:pPr>
              <w:spacing w:after="0"/>
              <w:rPr>
                <w:sz w:val="18"/>
                <w:szCs w:val="18"/>
                <w:color w:val="auto"/>
              </w:rPr>
            </w:pPr>
          </w:p>
        </w:tc>
        <w:tc>
          <w:tcPr>
            <w:tcW w:w="520" w:type="dxa"/>
            <w:vAlign w:val="bottom"/>
            <w:shd w:val="clear" w:color="auto" w:fill="C00000"/>
          </w:tcPr>
          <w:p>
            <w:pPr>
              <w:spacing w:after="0"/>
              <w:rPr>
                <w:sz w:val="18"/>
                <w:szCs w:val="18"/>
                <w:color w:val="auto"/>
              </w:rPr>
            </w:pPr>
          </w:p>
        </w:tc>
        <w:tc>
          <w:tcPr>
            <w:tcW w:w="140" w:type="dxa"/>
            <w:vAlign w:val="bottom"/>
            <w:shd w:val="clear" w:color="auto" w:fill="C00000"/>
          </w:tcPr>
          <w:p>
            <w:pPr>
              <w:spacing w:after="0"/>
              <w:rPr>
                <w:sz w:val="18"/>
                <w:szCs w:val="18"/>
                <w:color w:val="auto"/>
              </w:rPr>
            </w:pPr>
          </w:p>
        </w:tc>
        <w:tc>
          <w:tcPr>
            <w:tcW w:w="1060" w:type="dxa"/>
            <w:vAlign w:val="bottom"/>
            <w:tcBorders>
              <w:right w:val="single" w:sz="8" w:color="C00000"/>
            </w:tcBorders>
            <w:shd w:val="clear" w:color="auto" w:fill="C00000"/>
          </w:tcPr>
          <w:p>
            <w:pPr>
              <w:spacing w:after="0"/>
              <w:rPr>
                <w:sz w:val="18"/>
                <w:szCs w:val="18"/>
                <w:color w:val="auto"/>
              </w:rPr>
            </w:pPr>
          </w:p>
        </w:tc>
        <w:tc>
          <w:tcPr>
            <w:tcW w:w="1420" w:type="dxa"/>
            <w:vAlign w:val="bottom"/>
            <w:tcBorders>
              <w:right w:val="single" w:sz="8" w:color="C00000"/>
            </w:tcBorders>
            <w:shd w:val="clear" w:color="auto" w:fill="C00000"/>
          </w:tcPr>
          <w:p>
            <w:pPr>
              <w:spacing w:after="0"/>
              <w:rPr>
                <w:sz w:val="18"/>
                <w:szCs w:val="18"/>
                <w:color w:val="auto"/>
              </w:rPr>
            </w:pPr>
          </w:p>
        </w:tc>
        <w:tc>
          <w:tcPr>
            <w:tcW w:w="100" w:type="dxa"/>
            <w:vAlign w:val="bottom"/>
            <w:tcBorders>
              <w:right w:val="single" w:sz="8" w:color="C00000"/>
            </w:tcBorders>
            <w:shd w:val="clear" w:color="auto" w:fill="C00000"/>
          </w:tcPr>
          <w:p>
            <w:pPr>
              <w:spacing w:after="0"/>
              <w:rPr>
                <w:sz w:val="18"/>
                <w:szCs w:val="18"/>
                <w:color w:val="auto"/>
              </w:rPr>
            </w:pPr>
          </w:p>
        </w:tc>
        <w:tc>
          <w:tcPr>
            <w:tcW w:w="580" w:type="dxa"/>
            <w:vAlign w:val="bottom"/>
            <w:shd w:val="clear" w:color="auto" w:fill="C00000"/>
          </w:tcPr>
          <w:p>
            <w:pPr>
              <w:spacing w:after="0"/>
              <w:rPr>
                <w:sz w:val="18"/>
                <w:szCs w:val="18"/>
                <w:color w:val="auto"/>
              </w:rPr>
            </w:pPr>
          </w:p>
        </w:tc>
        <w:tc>
          <w:tcPr>
            <w:tcW w:w="1040" w:type="dxa"/>
            <w:vAlign w:val="bottom"/>
            <w:tcBorders>
              <w:right w:val="single" w:sz="8" w:color="C00000"/>
            </w:tcBorders>
            <w:shd w:val="clear" w:color="auto" w:fill="C00000"/>
          </w:tcPr>
          <w:p>
            <w:pPr>
              <w:spacing w:after="0"/>
              <w:rPr>
                <w:sz w:val="18"/>
                <w:szCs w:val="18"/>
                <w:color w:val="auto"/>
              </w:rPr>
            </w:pPr>
          </w:p>
        </w:tc>
        <w:tc>
          <w:tcPr>
            <w:tcW w:w="80" w:type="dxa"/>
            <w:vAlign w:val="bottom"/>
            <w:tcBorders>
              <w:right w:val="single" w:sz="8" w:color="C00000"/>
            </w:tcBorders>
            <w:shd w:val="clear" w:color="auto" w:fill="C00000"/>
          </w:tcPr>
          <w:p>
            <w:pPr>
              <w:spacing w:after="0"/>
              <w:rPr>
                <w:sz w:val="18"/>
                <w:szCs w:val="18"/>
                <w:color w:val="auto"/>
              </w:rPr>
            </w:pPr>
          </w:p>
        </w:tc>
        <w:tc>
          <w:tcPr>
            <w:tcW w:w="1060" w:type="dxa"/>
            <w:vAlign w:val="bottom"/>
            <w:shd w:val="clear" w:color="auto" w:fill="C00000"/>
          </w:tcPr>
          <w:p>
            <w:pPr>
              <w:spacing w:after="0"/>
              <w:rPr>
                <w:sz w:val="18"/>
                <w:szCs w:val="18"/>
                <w:color w:val="auto"/>
              </w:rPr>
            </w:pPr>
          </w:p>
        </w:tc>
        <w:tc>
          <w:tcPr>
            <w:tcW w:w="120" w:type="dxa"/>
            <w:vAlign w:val="bottom"/>
            <w:tcBorders>
              <w:right w:val="single" w:sz="8" w:color="C00000"/>
            </w:tcBorders>
            <w:shd w:val="clear" w:color="auto" w:fill="C00000"/>
          </w:tcPr>
          <w:p>
            <w:pPr>
              <w:spacing w:after="0"/>
              <w:rPr>
                <w:sz w:val="18"/>
                <w:szCs w:val="18"/>
                <w:color w:val="auto"/>
              </w:rPr>
            </w:pPr>
          </w:p>
        </w:tc>
        <w:tc>
          <w:tcPr>
            <w:tcW w:w="120" w:type="dxa"/>
            <w:vAlign w:val="bottom"/>
            <w:tcBorders>
              <w:right w:val="single" w:sz="8" w:color="C00000"/>
            </w:tcBorders>
            <w:shd w:val="clear" w:color="auto" w:fill="C00000"/>
          </w:tcPr>
          <w:p>
            <w:pPr>
              <w:spacing w:after="0"/>
              <w:rPr>
                <w:sz w:val="18"/>
                <w:szCs w:val="18"/>
                <w:color w:val="auto"/>
              </w:rPr>
            </w:pPr>
          </w:p>
        </w:tc>
        <w:tc>
          <w:tcPr>
            <w:tcW w:w="2520" w:type="dxa"/>
            <w:vAlign w:val="bottom"/>
            <w:gridSpan w:val="4"/>
            <w:shd w:val="clear" w:color="auto" w:fill="C00000"/>
          </w:tcPr>
          <w:p>
            <w:pPr>
              <w:ind w:left="220"/>
              <w:spacing w:after="0"/>
              <w:rPr>
                <w:sz w:val="20"/>
                <w:szCs w:val="20"/>
                <w:color w:val="auto"/>
              </w:rPr>
            </w:pPr>
            <w:r>
              <w:rPr>
                <w:rFonts w:ascii="Arial" w:cs="Arial" w:eastAsia="Arial" w:hAnsi="Arial"/>
                <w:sz w:val="14"/>
                <w:szCs w:val="14"/>
                <w:b w:val="1"/>
                <w:bCs w:val="1"/>
                <w:color w:val="FFFFFF"/>
              </w:rPr>
              <w:t>Committee Memberships</w:t>
            </w:r>
          </w:p>
        </w:tc>
        <w:tc>
          <w:tcPr>
            <w:tcW w:w="760" w:type="dxa"/>
            <w:vAlign w:val="bottom"/>
            <w:tcBorders>
              <w:right w:val="single" w:sz="8" w:color="C00000"/>
            </w:tcBorders>
            <w:shd w:val="clear" w:color="auto" w:fill="C00000"/>
          </w:tcPr>
          <w:p>
            <w:pPr>
              <w:jc w:val="center"/>
              <w:ind w:right="188"/>
              <w:spacing w:after="0"/>
              <w:rPr>
                <w:sz w:val="20"/>
                <w:szCs w:val="20"/>
                <w:color w:val="auto"/>
              </w:rPr>
            </w:pPr>
            <w:r>
              <w:rPr>
                <w:rFonts w:ascii="Arial" w:cs="Arial" w:eastAsia="Arial" w:hAnsi="Arial"/>
                <w:sz w:val="14"/>
                <w:szCs w:val="14"/>
                <w:b w:val="1"/>
                <w:bCs w:val="1"/>
                <w:color w:val="FFFFFF"/>
              </w:rPr>
              <w:t>Other</w:t>
            </w:r>
          </w:p>
        </w:tc>
        <w:tc>
          <w:tcPr>
            <w:tcW w:w="8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Racial/</w:t>
            </w:r>
          </w:p>
        </w:tc>
        <w:tc>
          <w:tcPr>
            <w:tcW w:w="0" w:type="dxa"/>
            <w:vAlign w:val="bottom"/>
          </w:tcPr>
          <w:p>
            <w:pPr>
              <w:spacing w:after="0"/>
              <w:rPr>
                <w:sz w:val="1"/>
                <w:szCs w:val="1"/>
                <w:color w:val="auto"/>
              </w:rPr>
            </w:pPr>
          </w:p>
        </w:tc>
      </w:tr>
      <w:tr>
        <w:trPr>
          <w:trHeight w:val="180"/>
        </w:trPr>
        <w:tc>
          <w:tcPr>
            <w:tcW w:w="880" w:type="dxa"/>
            <w:vAlign w:val="bottom"/>
            <w:tcBorders>
              <w:right w:val="single" w:sz="8" w:color="C00000"/>
            </w:tcBorders>
            <w:shd w:val="clear" w:color="auto" w:fill="C00000"/>
          </w:tcPr>
          <w:p>
            <w:pPr>
              <w:spacing w:after="0"/>
              <w:rPr>
                <w:sz w:val="15"/>
                <w:szCs w:val="15"/>
                <w:color w:val="auto"/>
              </w:rPr>
            </w:pPr>
          </w:p>
        </w:tc>
        <w:tc>
          <w:tcPr>
            <w:tcW w:w="520" w:type="dxa"/>
            <w:vAlign w:val="bottom"/>
            <w:shd w:val="clear" w:color="auto" w:fill="C00000"/>
          </w:tcPr>
          <w:p>
            <w:pPr>
              <w:spacing w:after="0"/>
              <w:rPr>
                <w:sz w:val="15"/>
                <w:szCs w:val="15"/>
                <w:color w:val="auto"/>
              </w:rPr>
            </w:pPr>
          </w:p>
        </w:tc>
        <w:tc>
          <w:tcPr>
            <w:tcW w:w="140" w:type="dxa"/>
            <w:vAlign w:val="bottom"/>
            <w:shd w:val="clear" w:color="auto" w:fill="C00000"/>
          </w:tcPr>
          <w:p>
            <w:pPr>
              <w:spacing w:after="0"/>
              <w:rPr>
                <w:sz w:val="15"/>
                <w:szCs w:val="15"/>
                <w:color w:val="auto"/>
              </w:rPr>
            </w:pPr>
          </w:p>
        </w:tc>
        <w:tc>
          <w:tcPr>
            <w:tcW w:w="1060" w:type="dxa"/>
            <w:vAlign w:val="bottom"/>
            <w:tcBorders>
              <w:right w:val="single" w:sz="8" w:color="C00000"/>
            </w:tcBorders>
            <w:shd w:val="clear" w:color="auto" w:fill="C00000"/>
          </w:tcPr>
          <w:p>
            <w:pPr>
              <w:spacing w:after="0"/>
              <w:rPr>
                <w:sz w:val="15"/>
                <w:szCs w:val="15"/>
                <w:color w:val="auto"/>
              </w:rPr>
            </w:pPr>
          </w:p>
        </w:tc>
        <w:tc>
          <w:tcPr>
            <w:tcW w:w="1420" w:type="dxa"/>
            <w:vAlign w:val="bottom"/>
            <w:tcBorders>
              <w:right w:val="single" w:sz="8" w:color="C00000"/>
            </w:tcBorders>
            <w:shd w:val="clear" w:color="auto" w:fill="C00000"/>
          </w:tcPr>
          <w:p>
            <w:pPr>
              <w:spacing w:after="0"/>
              <w:rPr>
                <w:sz w:val="15"/>
                <w:szCs w:val="15"/>
                <w:color w:val="auto"/>
              </w:rPr>
            </w:pPr>
          </w:p>
        </w:tc>
        <w:tc>
          <w:tcPr>
            <w:tcW w:w="100" w:type="dxa"/>
            <w:vAlign w:val="bottom"/>
            <w:tcBorders>
              <w:right w:val="single" w:sz="8" w:color="C00000"/>
            </w:tcBorders>
            <w:shd w:val="clear" w:color="auto" w:fill="C00000"/>
          </w:tcPr>
          <w:p>
            <w:pPr>
              <w:spacing w:after="0"/>
              <w:rPr>
                <w:sz w:val="15"/>
                <w:szCs w:val="15"/>
                <w:color w:val="auto"/>
              </w:rPr>
            </w:pPr>
          </w:p>
        </w:tc>
        <w:tc>
          <w:tcPr>
            <w:tcW w:w="580" w:type="dxa"/>
            <w:vAlign w:val="bottom"/>
            <w:shd w:val="clear" w:color="auto" w:fill="C00000"/>
          </w:tcPr>
          <w:p>
            <w:pPr>
              <w:spacing w:after="0"/>
              <w:rPr>
                <w:sz w:val="15"/>
                <w:szCs w:val="15"/>
                <w:color w:val="auto"/>
              </w:rPr>
            </w:pPr>
          </w:p>
        </w:tc>
        <w:tc>
          <w:tcPr>
            <w:tcW w:w="1040" w:type="dxa"/>
            <w:vAlign w:val="bottom"/>
            <w:tcBorders>
              <w:right w:val="single" w:sz="8" w:color="C00000"/>
            </w:tcBorders>
            <w:shd w:val="clear" w:color="auto" w:fill="C00000"/>
          </w:tcPr>
          <w:p>
            <w:pPr>
              <w:jc w:val="center"/>
              <w:ind w:right="126"/>
              <w:spacing w:after="0"/>
              <w:rPr>
                <w:sz w:val="20"/>
                <w:szCs w:val="20"/>
                <w:color w:val="auto"/>
              </w:rPr>
            </w:pPr>
            <w:r>
              <w:rPr>
                <w:rFonts w:ascii="Arial" w:cs="Arial" w:eastAsia="Arial" w:hAnsi="Arial"/>
                <w:sz w:val="14"/>
                <w:szCs w:val="14"/>
                <w:b w:val="1"/>
                <w:bCs w:val="1"/>
                <w:color w:val="FFFFFF"/>
              </w:rPr>
              <w:t>Director</w:t>
            </w:r>
          </w:p>
        </w:tc>
        <w:tc>
          <w:tcPr>
            <w:tcW w:w="80" w:type="dxa"/>
            <w:vAlign w:val="bottom"/>
            <w:tcBorders>
              <w:right w:val="single" w:sz="8" w:color="C00000"/>
            </w:tcBorders>
            <w:shd w:val="clear" w:color="auto" w:fill="C00000"/>
          </w:tcPr>
          <w:p>
            <w:pPr>
              <w:spacing w:after="0"/>
              <w:rPr>
                <w:sz w:val="15"/>
                <w:szCs w:val="15"/>
                <w:color w:val="auto"/>
              </w:rPr>
            </w:pPr>
          </w:p>
        </w:tc>
        <w:tc>
          <w:tcPr>
            <w:tcW w:w="1060" w:type="dxa"/>
            <w:vAlign w:val="bottom"/>
            <w:shd w:val="clear" w:color="auto" w:fill="C00000"/>
          </w:tcPr>
          <w:p>
            <w:pPr>
              <w:spacing w:after="0"/>
              <w:rPr>
                <w:sz w:val="15"/>
                <w:szCs w:val="15"/>
                <w:color w:val="auto"/>
              </w:rPr>
            </w:pPr>
          </w:p>
        </w:tc>
        <w:tc>
          <w:tcPr>
            <w:tcW w:w="120" w:type="dxa"/>
            <w:vAlign w:val="bottom"/>
            <w:tcBorders>
              <w:right w:val="single" w:sz="8" w:color="C00000"/>
            </w:tcBorders>
            <w:shd w:val="clear" w:color="auto" w:fill="C00000"/>
          </w:tcPr>
          <w:p>
            <w:pPr>
              <w:spacing w:after="0"/>
              <w:rPr>
                <w:sz w:val="15"/>
                <w:szCs w:val="15"/>
                <w:color w:val="auto"/>
              </w:rPr>
            </w:pPr>
          </w:p>
        </w:tc>
        <w:tc>
          <w:tcPr>
            <w:tcW w:w="120" w:type="dxa"/>
            <w:vAlign w:val="bottom"/>
            <w:tcBorders>
              <w:right w:val="single" w:sz="8" w:color="C00000"/>
            </w:tcBorders>
            <w:shd w:val="clear" w:color="auto" w:fill="C00000"/>
          </w:tcPr>
          <w:p>
            <w:pPr>
              <w:spacing w:after="0"/>
              <w:rPr>
                <w:sz w:val="15"/>
                <w:szCs w:val="15"/>
                <w:color w:val="auto"/>
              </w:rPr>
            </w:pPr>
          </w:p>
        </w:tc>
        <w:tc>
          <w:tcPr>
            <w:tcW w:w="440" w:type="dxa"/>
            <w:vAlign w:val="bottom"/>
            <w:shd w:val="clear" w:color="auto" w:fill="C00000"/>
          </w:tcPr>
          <w:p>
            <w:pPr>
              <w:spacing w:after="0"/>
              <w:rPr>
                <w:sz w:val="15"/>
                <w:szCs w:val="15"/>
                <w:color w:val="auto"/>
              </w:rPr>
            </w:pPr>
          </w:p>
        </w:tc>
        <w:tc>
          <w:tcPr>
            <w:tcW w:w="300" w:type="dxa"/>
            <w:vAlign w:val="bottom"/>
            <w:shd w:val="clear" w:color="auto" w:fill="C00000"/>
          </w:tcPr>
          <w:p>
            <w:pPr>
              <w:spacing w:after="0"/>
              <w:rPr>
                <w:sz w:val="15"/>
                <w:szCs w:val="15"/>
                <w:color w:val="auto"/>
              </w:rPr>
            </w:pPr>
          </w:p>
        </w:tc>
        <w:tc>
          <w:tcPr>
            <w:tcW w:w="820" w:type="dxa"/>
            <w:vAlign w:val="bottom"/>
            <w:tcBorders>
              <w:right w:val="single" w:sz="8" w:color="C00000"/>
            </w:tcBorders>
            <w:shd w:val="clear" w:color="auto" w:fill="C00000"/>
          </w:tcPr>
          <w:p>
            <w:pPr>
              <w:spacing w:after="0"/>
              <w:rPr>
                <w:sz w:val="15"/>
                <w:szCs w:val="15"/>
                <w:color w:val="auto"/>
              </w:rPr>
            </w:pPr>
          </w:p>
        </w:tc>
        <w:tc>
          <w:tcPr>
            <w:tcW w:w="960" w:type="dxa"/>
            <w:vAlign w:val="bottom"/>
            <w:shd w:val="clear" w:color="auto" w:fill="C00000"/>
          </w:tcPr>
          <w:p>
            <w:pPr>
              <w:spacing w:after="0"/>
              <w:rPr>
                <w:sz w:val="15"/>
                <w:szCs w:val="15"/>
                <w:color w:val="auto"/>
              </w:rPr>
            </w:pPr>
          </w:p>
        </w:tc>
        <w:tc>
          <w:tcPr>
            <w:tcW w:w="760" w:type="dxa"/>
            <w:vAlign w:val="bottom"/>
            <w:tcBorders>
              <w:right w:val="single" w:sz="8" w:color="C00000"/>
            </w:tcBorders>
            <w:shd w:val="clear" w:color="auto" w:fill="C00000"/>
          </w:tcPr>
          <w:p>
            <w:pPr>
              <w:jc w:val="center"/>
              <w:ind w:right="168"/>
              <w:spacing w:after="0"/>
              <w:rPr>
                <w:sz w:val="20"/>
                <w:szCs w:val="20"/>
                <w:color w:val="auto"/>
              </w:rPr>
            </w:pPr>
            <w:r>
              <w:rPr>
                <w:rFonts w:ascii="Arial" w:cs="Arial" w:eastAsia="Arial" w:hAnsi="Arial"/>
                <w:sz w:val="14"/>
                <w:szCs w:val="14"/>
                <w:b w:val="1"/>
                <w:bCs w:val="1"/>
                <w:color w:val="FFFFFF"/>
              </w:rPr>
              <w:t>Public</w:t>
            </w:r>
          </w:p>
        </w:tc>
        <w:tc>
          <w:tcPr>
            <w:tcW w:w="8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Gender</w:t>
            </w:r>
          </w:p>
        </w:tc>
        <w:tc>
          <w:tcPr>
            <w:tcW w:w="0" w:type="dxa"/>
            <w:vAlign w:val="bottom"/>
          </w:tcPr>
          <w:p>
            <w:pPr>
              <w:spacing w:after="0"/>
              <w:rPr>
                <w:sz w:val="1"/>
                <w:szCs w:val="1"/>
                <w:color w:val="auto"/>
              </w:rPr>
            </w:pPr>
          </w:p>
        </w:tc>
      </w:tr>
      <w:tr>
        <w:trPr>
          <w:trHeight w:val="171"/>
        </w:trPr>
        <w:tc>
          <w:tcPr>
            <w:tcW w:w="880" w:type="dxa"/>
            <w:vAlign w:val="bottom"/>
            <w:tcBorders>
              <w:right w:val="single" w:sz="8" w:color="C00000"/>
            </w:tcBorders>
            <w:shd w:val="clear" w:color="auto" w:fill="C00000"/>
          </w:tcPr>
          <w:p>
            <w:pPr>
              <w:spacing w:after="0"/>
              <w:rPr>
                <w:sz w:val="14"/>
                <w:szCs w:val="14"/>
                <w:color w:val="auto"/>
              </w:rPr>
            </w:pPr>
          </w:p>
        </w:tc>
        <w:tc>
          <w:tcPr>
            <w:tcW w:w="520" w:type="dxa"/>
            <w:vAlign w:val="bottom"/>
            <w:shd w:val="clear" w:color="auto" w:fill="C00000"/>
          </w:tcPr>
          <w:p>
            <w:pPr>
              <w:spacing w:after="0"/>
              <w:rPr>
                <w:sz w:val="14"/>
                <w:szCs w:val="14"/>
                <w:color w:val="auto"/>
              </w:rPr>
            </w:pPr>
          </w:p>
        </w:tc>
        <w:tc>
          <w:tcPr>
            <w:tcW w:w="140" w:type="dxa"/>
            <w:vAlign w:val="bottom"/>
            <w:shd w:val="clear" w:color="auto" w:fill="C00000"/>
          </w:tcPr>
          <w:p>
            <w:pPr>
              <w:spacing w:after="0"/>
              <w:rPr>
                <w:sz w:val="14"/>
                <w:szCs w:val="14"/>
                <w:color w:val="auto"/>
              </w:rPr>
            </w:pPr>
          </w:p>
        </w:tc>
        <w:tc>
          <w:tcPr>
            <w:tcW w:w="2480" w:type="dxa"/>
            <w:vAlign w:val="bottom"/>
            <w:tcBorders>
              <w:right w:val="single" w:sz="8" w:color="C00000"/>
            </w:tcBorders>
            <w:gridSpan w:val="2"/>
            <w:shd w:val="clear" w:color="auto" w:fill="C00000"/>
          </w:tcPr>
          <w:p>
            <w:pPr>
              <w:ind w:left="40"/>
              <w:spacing w:after="0"/>
              <w:rPr>
                <w:sz w:val="20"/>
                <w:szCs w:val="20"/>
                <w:color w:val="auto"/>
              </w:rPr>
            </w:pPr>
            <w:r>
              <w:rPr>
                <w:rFonts w:ascii="Arial" w:cs="Arial" w:eastAsia="Arial" w:hAnsi="Arial"/>
                <w:sz w:val="14"/>
                <w:szCs w:val="14"/>
                <w:b w:val="1"/>
                <w:bCs w:val="1"/>
                <w:color w:val="FFFFFF"/>
              </w:rPr>
              <w:t>Name and Title</w:t>
            </w:r>
          </w:p>
        </w:tc>
        <w:tc>
          <w:tcPr>
            <w:tcW w:w="100" w:type="dxa"/>
            <w:vAlign w:val="bottom"/>
            <w:tcBorders>
              <w:right w:val="single" w:sz="8" w:color="C00000"/>
            </w:tcBorders>
            <w:shd w:val="clear" w:color="auto" w:fill="C00000"/>
          </w:tcPr>
          <w:p>
            <w:pPr>
              <w:spacing w:after="0"/>
              <w:rPr>
                <w:sz w:val="14"/>
                <w:szCs w:val="14"/>
                <w:color w:val="auto"/>
              </w:rPr>
            </w:pPr>
          </w:p>
        </w:tc>
        <w:tc>
          <w:tcPr>
            <w:tcW w:w="5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w w:val="98"/>
              </w:rPr>
              <w:t>Age</w:t>
            </w:r>
          </w:p>
        </w:tc>
        <w:tc>
          <w:tcPr>
            <w:tcW w:w="1040" w:type="dxa"/>
            <w:vAlign w:val="bottom"/>
            <w:tcBorders>
              <w:right w:val="single" w:sz="8" w:color="C00000"/>
            </w:tcBorders>
            <w:shd w:val="clear" w:color="auto" w:fill="C00000"/>
          </w:tcPr>
          <w:p>
            <w:pPr>
              <w:jc w:val="center"/>
              <w:ind w:right="106"/>
              <w:spacing w:after="0"/>
              <w:rPr>
                <w:sz w:val="20"/>
                <w:szCs w:val="20"/>
                <w:color w:val="auto"/>
              </w:rPr>
            </w:pPr>
            <w:r>
              <w:rPr>
                <w:rFonts w:ascii="Arial" w:cs="Arial" w:eastAsia="Arial" w:hAnsi="Arial"/>
                <w:sz w:val="14"/>
                <w:szCs w:val="14"/>
                <w:b w:val="1"/>
                <w:bCs w:val="1"/>
                <w:color w:val="FFFFFF"/>
              </w:rPr>
              <w:t>Since</w:t>
            </w:r>
          </w:p>
        </w:tc>
        <w:tc>
          <w:tcPr>
            <w:tcW w:w="80" w:type="dxa"/>
            <w:vAlign w:val="bottom"/>
            <w:tcBorders>
              <w:right w:val="single" w:sz="8" w:color="C00000"/>
            </w:tcBorders>
            <w:shd w:val="clear" w:color="auto" w:fill="C00000"/>
          </w:tcPr>
          <w:p>
            <w:pPr>
              <w:spacing w:after="0"/>
              <w:rPr>
                <w:sz w:val="14"/>
                <w:szCs w:val="14"/>
                <w:color w:val="auto"/>
              </w:rPr>
            </w:pPr>
          </w:p>
        </w:tc>
        <w:tc>
          <w:tcPr>
            <w:tcW w:w="1060" w:type="dxa"/>
            <w:vAlign w:val="bottom"/>
            <w:shd w:val="clear" w:color="auto" w:fill="C00000"/>
          </w:tcPr>
          <w:p>
            <w:pPr>
              <w:jc w:val="center"/>
              <w:ind w:right="146"/>
              <w:spacing w:after="0"/>
              <w:rPr>
                <w:sz w:val="20"/>
                <w:szCs w:val="20"/>
                <w:color w:val="auto"/>
              </w:rPr>
            </w:pPr>
            <w:r>
              <w:rPr>
                <w:rFonts w:ascii="Arial" w:cs="Arial" w:eastAsia="Arial" w:hAnsi="Arial"/>
                <w:sz w:val="14"/>
                <w:szCs w:val="14"/>
                <w:b w:val="1"/>
                <w:bCs w:val="1"/>
                <w:color w:val="FFFFFF"/>
              </w:rPr>
              <w:t>Independent</w:t>
            </w:r>
          </w:p>
        </w:tc>
        <w:tc>
          <w:tcPr>
            <w:tcW w:w="120" w:type="dxa"/>
            <w:vAlign w:val="bottom"/>
            <w:tcBorders>
              <w:right w:val="single" w:sz="8" w:color="C00000"/>
            </w:tcBorders>
            <w:shd w:val="clear" w:color="auto" w:fill="C00000"/>
          </w:tcPr>
          <w:p>
            <w:pPr>
              <w:spacing w:after="0"/>
              <w:rPr>
                <w:sz w:val="14"/>
                <w:szCs w:val="14"/>
                <w:color w:val="auto"/>
              </w:rPr>
            </w:pPr>
          </w:p>
        </w:tc>
        <w:tc>
          <w:tcPr>
            <w:tcW w:w="120" w:type="dxa"/>
            <w:vAlign w:val="bottom"/>
            <w:tcBorders>
              <w:right w:val="single" w:sz="8" w:color="C00000"/>
            </w:tcBorders>
            <w:shd w:val="clear" w:color="auto" w:fill="C00000"/>
          </w:tcPr>
          <w:p>
            <w:pPr>
              <w:spacing w:after="0"/>
              <w:rPr>
                <w:sz w:val="14"/>
                <w:szCs w:val="14"/>
                <w:color w:val="auto"/>
              </w:rPr>
            </w:pPr>
          </w:p>
        </w:tc>
        <w:tc>
          <w:tcPr>
            <w:tcW w:w="44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A</w:t>
            </w:r>
          </w:p>
        </w:tc>
        <w:tc>
          <w:tcPr>
            <w:tcW w:w="300" w:type="dxa"/>
            <w:vAlign w:val="bottom"/>
            <w:shd w:val="clear" w:color="auto" w:fill="C00000"/>
          </w:tcPr>
          <w:p>
            <w:pPr>
              <w:ind w:left="160"/>
              <w:spacing w:after="0"/>
              <w:rPr>
                <w:sz w:val="20"/>
                <w:szCs w:val="20"/>
                <w:color w:val="auto"/>
              </w:rPr>
            </w:pPr>
            <w:r>
              <w:rPr>
                <w:rFonts w:ascii="Arial" w:cs="Arial" w:eastAsia="Arial" w:hAnsi="Arial"/>
                <w:sz w:val="14"/>
                <w:szCs w:val="14"/>
                <w:b w:val="1"/>
                <w:bCs w:val="1"/>
                <w:color w:val="FFFFFF"/>
              </w:rPr>
              <w:t>F</w:t>
            </w:r>
          </w:p>
        </w:tc>
        <w:tc>
          <w:tcPr>
            <w:tcW w:w="820" w:type="dxa"/>
            <w:vAlign w:val="bottom"/>
            <w:tcBorders>
              <w:right w:val="single" w:sz="8" w:color="C00000"/>
            </w:tcBorders>
            <w:shd w:val="clear" w:color="auto" w:fill="C00000"/>
          </w:tcPr>
          <w:p>
            <w:pPr>
              <w:ind w:left="400"/>
              <w:spacing w:after="0"/>
              <w:rPr>
                <w:sz w:val="20"/>
                <w:szCs w:val="20"/>
                <w:color w:val="auto"/>
              </w:rPr>
            </w:pPr>
            <w:r>
              <w:rPr>
                <w:rFonts w:ascii="Arial" w:cs="Arial" w:eastAsia="Arial" w:hAnsi="Arial"/>
                <w:sz w:val="14"/>
                <w:szCs w:val="14"/>
                <w:b w:val="1"/>
                <w:bCs w:val="1"/>
                <w:color w:val="FFFFFF"/>
              </w:rPr>
              <w:t>N&amp;G</w:t>
            </w:r>
          </w:p>
        </w:tc>
        <w:tc>
          <w:tcPr>
            <w:tcW w:w="9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w w:val="98"/>
              </w:rPr>
              <w:t>C&amp;HR</w:t>
            </w:r>
          </w:p>
        </w:tc>
        <w:tc>
          <w:tcPr>
            <w:tcW w:w="760" w:type="dxa"/>
            <w:vAlign w:val="bottom"/>
            <w:tcBorders>
              <w:right w:val="single" w:sz="8" w:color="C00000"/>
            </w:tcBorders>
            <w:shd w:val="clear" w:color="auto" w:fill="C00000"/>
          </w:tcPr>
          <w:p>
            <w:pPr>
              <w:jc w:val="center"/>
              <w:ind w:right="148"/>
              <w:spacing w:after="0"/>
              <w:rPr>
                <w:sz w:val="20"/>
                <w:szCs w:val="20"/>
                <w:color w:val="auto"/>
              </w:rPr>
            </w:pPr>
            <w:r>
              <w:rPr>
                <w:rFonts w:ascii="Arial" w:cs="Arial" w:eastAsia="Arial" w:hAnsi="Arial"/>
                <w:sz w:val="14"/>
                <w:szCs w:val="14"/>
                <w:b w:val="1"/>
                <w:bCs w:val="1"/>
                <w:color w:val="FFFFFF"/>
              </w:rPr>
              <w:t>Boards</w:t>
            </w:r>
          </w:p>
        </w:tc>
        <w:tc>
          <w:tcPr>
            <w:tcW w:w="8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Diversity</w:t>
            </w:r>
          </w:p>
        </w:tc>
        <w:tc>
          <w:tcPr>
            <w:tcW w:w="0" w:type="dxa"/>
            <w:vAlign w:val="bottom"/>
          </w:tcPr>
          <w:p>
            <w:pPr>
              <w:spacing w:after="0"/>
              <w:rPr>
                <w:sz w:val="1"/>
                <w:szCs w:val="1"/>
                <w:color w:val="auto"/>
              </w:rPr>
            </w:pPr>
          </w:p>
        </w:tc>
      </w:tr>
      <w:tr>
        <w:trPr>
          <w:trHeight w:val="176"/>
        </w:trPr>
        <w:tc>
          <w:tcPr>
            <w:tcW w:w="1540" w:type="dxa"/>
            <w:vAlign w:val="bottom"/>
            <w:gridSpan w:val="3"/>
            <w:shd w:val="clear" w:color="auto" w:fill="D9D9D9"/>
          </w:tcPr>
          <w:p>
            <w:pPr>
              <w:spacing w:after="0"/>
              <w:rPr>
                <w:sz w:val="20"/>
                <w:szCs w:val="20"/>
                <w:color w:val="auto"/>
              </w:rPr>
            </w:pPr>
            <w:r>
              <w:rPr>
                <w:rFonts w:ascii="Arial" w:cs="Arial" w:eastAsia="Arial" w:hAnsi="Arial"/>
                <w:sz w:val="14"/>
                <w:szCs w:val="14"/>
                <w:b w:val="1"/>
                <w:bCs w:val="1"/>
                <w:color w:val="C00000"/>
              </w:rPr>
              <w:t>Director Nominees</w:t>
            </w:r>
          </w:p>
        </w:tc>
        <w:tc>
          <w:tcPr>
            <w:tcW w:w="1060" w:type="dxa"/>
            <w:vAlign w:val="bottom"/>
            <w:tcBorders>
              <w:right w:val="single" w:sz="8" w:color="D9D9D9"/>
            </w:tcBorders>
            <w:shd w:val="clear" w:color="auto" w:fill="D9D9D9"/>
          </w:tcPr>
          <w:p>
            <w:pPr>
              <w:spacing w:after="0"/>
              <w:rPr>
                <w:sz w:val="15"/>
                <w:szCs w:val="15"/>
                <w:color w:val="auto"/>
              </w:rPr>
            </w:pPr>
          </w:p>
        </w:tc>
        <w:tc>
          <w:tcPr>
            <w:tcW w:w="1420" w:type="dxa"/>
            <w:vAlign w:val="bottom"/>
            <w:tcBorders>
              <w:right w:val="single" w:sz="8" w:color="D9D9D9"/>
            </w:tcBorders>
            <w:shd w:val="clear" w:color="auto" w:fill="D9D9D9"/>
          </w:tcPr>
          <w:p>
            <w:pPr>
              <w:spacing w:after="0"/>
              <w:rPr>
                <w:sz w:val="15"/>
                <w:szCs w:val="15"/>
                <w:color w:val="auto"/>
              </w:rPr>
            </w:pPr>
          </w:p>
        </w:tc>
        <w:tc>
          <w:tcPr>
            <w:tcW w:w="100" w:type="dxa"/>
            <w:vAlign w:val="bottom"/>
            <w:tcBorders>
              <w:right w:val="single" w:sz="8" w:color="D9D9D9"/>
            </w:tcBorders>
            <w:shd w:val="clear" w:color="auto" w:fill="D9D9D9"/>
          </w:tcPr>
          <w:p>
            <w:pPr>
              <w:spacing w:after="0"/>
              <w:rPr>
                <w:sz w:val="15"/>
                <w:szCs w:val="15"/>
                <w:color w:val="auto"/>
              </w:rPr>
            </w:pPr>
          </w:p>
        </w:tc>
        <w:tc>
          <w:tcPr>
            <w:tcW w:w="580" w:type="dxa"/>
            <w:vAlign w:val="bottom"/>
            <w:shd w:val="clear" w:color="auto" w:fill="D9D9D9"/>
          </w:tcPr>
          <w:p>
            <w:pPr>
              <w:spacing w:after="0"/>
              <w:rPr>
                <w:sz w:val="15"/>
                <w:szCs w:val="15"/>
                <w:color w:val="auto"/>
              </w:rPr>
            </w:pPr>
          </w:p>
        </w:tc>
        <w:tc>
          <w:tcPr>
            <w:tcW w:w="1040" w:type="dxa"/>
            <w:vAlign w:val="bottom"/>
            <w:tcBorders>
              <w:right w:val="single" w:sz="8" w:color="D9D9D9"/>
            </w:tcBorders>
            <w:shd w:val="clear" w:color="auto" w:fill="D9D9D9"/>
          </w:tcPr>
          <w:p>
            <w:pPr>
              <w:spacing w:after="0"/>
              <w:rPr>
                <w:sz w:val="15"/>
                <w:szCs w:val="15"/>
                <w:color w:val="auto"/>
              </w:rPr>
            </w:pPr>
          </w:p>
        </w:tc>
        <w:tc>
          <w:tcPr>
            <w:tcW w:w="80" w:type="dxa"/>
            <w:vAlign w:val="bottom"/>
            <w:tcBorders>
              <w:right w:val="single" w:sz="8" w:color="D9D9D9"/>
            </w:tcBorders>
            <w:shd w:val="clear" w:color="auto" w:fill="D9D9D9"/>
          </w:tcPr>
          <w:p>
            <w:pPr>
              <w:spacing w:after="0"/>
              <w:rPr>
                <w:sz w:val="15"/>
                <w:szCs w:val="15"/>
                <w:color w:val="auto"/>
              </w:rPr>
            </w:pPr>
          </w:p>
        </w:tc>
        <w:tc>
          <w:tcPr>
            <w:tcW w:w="1060" w:type="dxa"/>
            <w:vAlign w:val="bottom"/>
            <w:shd w:val="clear" w:color="auto" w:fill="D9D9D9"/>
          </w:tcPr>
          <w:p>
            <w:pPr>
              <w:spacing w:after="0"/>
              <w:rPr>
                <w:sz w:val="15"/>
                <w:szCs w:val="15"/>
                <w:color w:val="auto"/>
              </w:rPr>
            </w:pPr>
          </w:p>
        </w:tc>
        <w:tc>
          <w:tcPr>
            <w:tcW w:w="120" w:type="dxa"/>
            <w:vAlign w:val="bottom"/>
            <w:tcBorders>
              <w:right w:val="single" w:sz="8" w:color="D9D9D9"/>
            </w:tcBorders>
            <w:shd w:val="clear" w:color="auto" w:fill="D9D9D9"/>
          </w:tcPr>
          <w:p>
            <w:pPr>
              <w:spacing w:after="0"/>
              <w:rPr>
                <w:sz w:val="15"/>
                <w:szCs w:val="15"/>
                <w:color w:val="auto"/>
              </w:rPr>
            </w:pPr>
          </w:p>
        </w:tc>
        <w:tc>
          <w:tcPr>
            <w:tcW w:w="120" w:type="dxa"/>
            <w:vAlign w:val="bottom"/>
            <w:tcBorders>
              <w:right w:val="single" w:sz="8" w:color="D9D9D9"/>
            </w:tcBorders>
            <w:shd w:val="clear" w:color="auto" w:fill="D9D9D9"/>
          </w:tcPr>
          <w:p>
            <w:pPr>
              <w:spacing w:after="0"/>
              <w:rPr>
                <w:sz w:val="15"/>
                <w:szCs w:val="15"/>
                <w:color w:val="auto"/>
              </w:rPr>
            </w:pPr>
          </w:p>
        </w:tc>
        <w:tc>
          <w:tcPr>
            <w:tcW w:w="440" w:type="dxa"/>
            <w:vAlign w:val="bottom"/>
            <w:shd w:val="clear" w:color="auto" w:fill="D9D9D9"/>
          </w:tcPr>
          <w:p>
            <w:pPr>
              <w:spacing w:after="0"/>
              <w:rPr>
                <w:sz w:val="15"/>
                <w:szCs w:val="15"/>
                <w:color w:val="auto"/>
              </w:rPr>
            </w:pPr>
          </w:p>
        </w:tc>
        <w:tc>
          <w:tcPr>
            <w:tcW w:w="300" w:type="dxa"/>
            <w:vAlign w:val="bottom"/>
            <w:shd w:val="clear" w:color="auto" w:fill="D9D9D9"/>
          </w:tcPr>
          <w:p>
            <w:pPr>
              <w:spacing w:after="0"/>
              <w:rPr>
                <w:sz w:val="15"/>
                <w:szCs w:val="15"/>
                <w:color w:val="auto"/>
              </w:rPr>
            </w:pPr>
          </w:p>
        </w:tc>
        <w:tc>
          <w:tcPr>
            <w:tcW w:w="820" w:type="dxa"/>
            <w:vAlign w:val="bottom"/>
            <w:tcBorders>
              <w:right w:val="single" w:sz="8" w:color="D9D9D9"/>
            </w:tcBorders>
            <w:shd w:val="clear" w:color="auto" w:fill="D9D9D9"/>
          </w:tcPr>
          <w:p>
            <w:pPr>
              <w:spacing w:after="0"/>
              <w:rPr>
                <w:sz w:val="15"/>
                <w:szCs w:val="15"/>
                <w:color w:val="auto"/>
              </w:rPr>
            </w:pPr>
          </w:p>
        </w:tc>
        <w:tc>
          <w:tcPr>
            <w:tcW w:w="960" w:type="dxa"/>
            <w:vAlign w:val="bottom"/>
            <w:shd w:val="clear" w:color="auto" w:fill="D9D9D9"/>
          </w:tcPr>
          <w:p>
            <w:pPr>
              <w:spacing w:after="0"/>
              <w:rPr>
                <w:sz w:val="15"/>
                <w:szCs w:val="15"/>
                <w:color w:val="auto"/>
              </w:rPr>
            </w:pPr>
          </w:p>
        </w:tc>
        <w:tc>
          <w:tcPr>
            <w:tcW w:w="760" w:type="dxa"/>
            <w:vAlign w:val="bottom"/>
            <w:tcBorders>
              <w:right w:val="single" w:sz="8" w:color="D9D9D9"/>
            </w:tcBorders>
            <w:shd w:val="clear" w:color="auto" w:fill="D9D9D9"/>
          </w:tcPr>
          <w:p>
            <w:pPr>
              <w:spacing w:after="0"/>
              <w:rPr>
                <w:sz w:val="15"/>
                <w:szCs w:val="15"/>
                <w:color w:val="auto"/>
              </w:rPr>
            </w:pPr>
          </w:p>
        </w:tc>
        <w:tc>
          <w:tcPr>
            <w:tcW w:w="86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40" w:type="dxa"/>
            <w:vAlign w:val="bottom"/>
            <w:gridSpan w:val="3"/>
          </w:tcPr>
          <w:p>
            <w:pPr>
              <w:spacing w:after="0"/>
              <w:rPr>
                <w:sz w:val="20"/>
                <w:szCs w:val="20"/>
                <w:color w:val="auto"/>
              </w:rPr>
            </w:pPr>
            <w:r>
              <w:rPr>
                <w:rFonts w:ascii="Arial" w:cs="Arial" w:eastAsia="Arial" w:hAnsi="Arial"/>
                <w:sz w:val="14"/>
                <w:szCs w:val="14"/>
                <w:b w:val="1"/>
                <w:bCs w:val="1"/>
                <w:color w:val="C00000"/>
              </w:rPr>
              <w:t>Jeffrey M. Ettinger</w:t>
            </w: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C00000"/>
              </w:rPr>
              <w:t>✓</w:t>
            </w: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20" w:type="dxa"/>
            <w:vAlign w:val="bottom"/>
            <w:gridSpan w:val="5"/>
          </w:tcPr>
          <w:p>
            <w:pPr>
              <w:ind w:left="140"/>
              <w:spacing w:after="0"/>
              <w:rPr>
                <w:sz w:val="20"/>
                <w:szCs w:val="20"/>
                <w:color w:val="auto"/>
              </w:rPr>
            </w:pPr>
            <w:r>
              <w:rPr>
                <w:rFonts w:ascii="Arial" w:cs="Arial" w:eastAsia="Arial" w:hAnsi="Arial"/>
                <w:sz w:val="14"/>
                <w:szCs w:val="14"/>
                <w:color w:val="auto"/>
              </w:rPr>
              <w:t>Retired Chairman, President and Chief Executive</w:t>
            </w:r>
          </w:p>
        </w:tc>
        <w:tc>
          <w:tcPr>
            <w:tcW w:w="680" w:type="dxa"/>
            <w:vAlign w:val="bottom"/>
            <w:gridSpan w:val="2"/>
          </w:tcPr>
          <w:p>
            <w:pPr>
              <w:jc w:val="center"/>
              <w:ind w:left="5"/>
              <w:spacing w:after="0"/>
              <w:rPr>
                <w:sz w:val="20"/>
                <w:szCs w:val="20"/>
                <w:color w:val="auto"/>
              </w:rPr>
            </w:pPr>
            <w:r>
              <w:rPr>
                <w:rFonts w:ascii="Arial" w:cs="Arial" w:eastAsia="Arial" w:hAnsi="Arial"/>
                <w:sz w:val="14"/>
                <w:szCs w:val="14"/>
                <w:color w:val="auto"/>
              </w:rPr>
              <w:t>64</w:t>
            </w:r>
          </w:p>
        </w:tc>
        <w:tc>
          <w:tcPr>
            <w:tcW w:w="1040" w:type="dxa"/>
            <w:vAlign w:val="bottom"/>
          </w:tcPr>
          <w:p>
            <w:pPr>
              <w:jc w:val="center"/>
              <w:ind w:right="126"/>
              <w:spacing w:after="0"/>
              <w:rPr>
                <w:sz w:val="20"/>
                <w:szCs w:val="20"/>
                <w:color w:val="auto"/>
              </w:rPr>
            </w:pPr>
            <w:r>
              <w:rPr>
                <w:rFonts w:ascii="Arial" w:cs="Arial" w:eastAsia="Arial" w:hAnsi="Arial"/>
                <w:sz w:val="14"/>
                <w:szCs w:val="14"/>
                <w:color w:val="auto"/>
              </w:rPr>
              <w:t>2010</w:t>
            </w:r>
          </w:p>
        </w:tc>
        <w:tc>
          <w:tcPr>
            <w:tcW w:w="80" w:type="dxa"/>
            <w:vAlign w:val="bottom"/>
          </w:tcPr>
          <w:p>
            <w:pPr>
              <w:spacing w:after="0"/>
              <w:rPr>
                <w:sz w:val="14"/>
                <w:szCs w:val="14"/>
                <w:color w:val="auto"/>
              </w:rPr>
            </w:pPr>
          </w:p>
        </w:tc>
        <w:tc>
          <w:tcPr>
            <w:tcW w:w="1060" w:type="dxa"/>
            <w:vAlign w:val="bottom"/>
          </w:tcPr>
          <w:p>
            <w:pPr>
              <w:jc w:val="center"/>
              <w:ind w:right="166"/>
              <w:spacing w:after="0"/>
              <w:rPr>
                <w:sz w:val="20"/>
                <w:szCs w:val="20"/>
                <w:color w:val="auto"/>
              </w:rPr>
            </w:pPr>
            <w:r>
              <w:rPr>
                <w:rFonts w:ascii="Arial" w:cs="Arial" w:eastAsia="Arial" w:hAnsi="Arial"/>
                <w:sz w:val="14"/>
                <w:szCs w:val="14"/>
                <w:color w:val="auto"/>
                <w:w w:val="90"/>
              </w:rPr>
              <w:t>Yes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ind w:left="500"/>
              <w:spacing w:after="0"/>
              <w:rPr>
                <w:sz w:val="20"/>
                <w:szCs w:val="20"/>
                <w:color w:val="auto"/>
              </w:rPr>
            </w:pPr>
            <w:r>
              <w:rPr>
                <w:rFonts w:ascii="Arial" w:cs="Arial" w:eastAsia="Arial" w:hAnsi="Arial"/>
                <w:sz w:val="14"/>
                <w:szCs w:val="14"/>
                <w:b w:val="1"/>
                <w:bCs w:val="1"/>
                <w:color w:val="C00000"/>
              </w:rPr>
              <w:t>C</w:t>
            </w:r>
          </w:p>
        </w:tc>
        <w:tc>
          <w:tcPr>
            <w:tcW w:w="960" w:type="dxa"/>
            <w:vAlign w:val="bottom"/>
            <w:vMerge w:val="continue"/>
          </w:tcPr>
          <w:p>
            <w:pPr>
              <w:spacing w:after="0"/>
              <w:rPr>
                <w:sz w:val="14"/>
                <w:szCs w:val="14"/>
                <w:color w:val="auto"/>
              </w:rPr>
            </w:pPr>
          </w:p>
        </w:tc>
        <w:tc>
          <w:tcPr>
            <w:tcW w:w="760" w:type="dxa"/>
            <w:vAlign w:val="bottom"/>
          </w:tcPr>
          <w:p>
            <w:pPr>
              <w:jc w:val="right"/>
              <w:ind w:right="328"/>
              <w:spacing w:after="0"/>
              <w:rPr>
                <w:sz w:val="20"/>
                <w:szCs w:val="20"/>
                <w:color w:val="auto"/>
              </w:rPr>
            </w:pPr>
            <w:r>
              <w:rPr>
                <w:rFonts w:ascii="Arial" w:cs="Arial" w:eastAsia="Arial" w:hAnsi="Arial"/>
                <w:sz w:val="14"/>
                <w:szCs w:val="14"/>
                <w:color w:val="C00000"/>
              </w:rPr>
              <w:t>1</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20" w:type="dxa"/>
            <w:vAlign w:val="bottom"/>
            <w:gridSpan w:val="5"/>
          </w:tcPr>
          <w:p>
            <w:pPr>
              <w:ind w:left="140"/>
              <w:spacing w:after="0"/>
              <w:rPr>
                <w:sz w:val="20"/>
                <w:szCs w:val="20"/>
                <w:color w:val="auto"/>
              </w:rPr>
            </w:pPr>
            <w:r>
              <w:rPr>
                <w:rFonts w:ascii="Arial" w:cs="Arial" w:eastAsia="Arial" w:hAnsi="Arial"/>
                <w:sz w:val="14"/>
                <w:szCs w:val="14"/>
                <w:color w:val="auto"/>
              </w:rPr>
              <w:t>Officer, Hormel Foods Corporation</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1540" w:type="dxa"/>
            <w:vAlign w:val="bottom"/>
            <w:gridSpan w:val="3"/>
            <w:shd w:val="clear" w:color="auto" w:fill="D9D9D9"/>
          </w:tcPr>
          <w:p>
            <w:pPr>
              <w:spacing w:after="0"/>
              <w:rPr>
                <w:sz w:val="20"/>
                <w:szCs w:val="20"/>
                <w:color w:val="auto"/>
              </w:rPr>
            </w:pPr>
            <w:r>
              <w:rPr>
                <w:rFonts w:ascii="Arial" w:cs="Arial" w:eastAsia="Arial" w:hAnsi="Arial"/>
                <w:sz w:val="14"/>
                <w:szCs w:val="14"/>
                <w:b w:val="1"/>
                <w:bCs w:val="1"/>
                <w:color w:val="C00000"/>
              </w:rPr>
              <w:t>Eric P. Hansotia</w:t>
            </w:r>
          </w:p>
        </w:tc>
        <w:tc>
          <w:tcPr>
            <w:tcW w:w="1060" w:type="dxa"/>
            <w:vAlign w:val="bottom"/>
            <w:tcBorders>
              <w:right w:val="single" w:sz="8" w:color="D9D9D9"/>
            </w:tcBorders>
            <w:shd w:val="clear" w:color="auto" w:fill="D9D9D9"/>
          </w:tcPr>
          <w:p>
            <w:pPr>
              <w:spacing w:after="0"/>
              <w:rPr>
                <w:sz w:val="19"/>
                <w:szCs w:val="19"/>
                <w:color w:val="auto"/>
              </w:rPr>
            </w:pPr>
          </w:p>
        </w:tc>
        <w:tc>
          <w:tcPr>
            <w:tcW w:w="1420" w:type="dxa"/>
            <w:vAlign w:val="bottom"/>
            <w:tcBorders>
              <w:right w:val="single" w:sz="8" w:color="D9D9D9"/>
            </w:tcBorders>
            <w:shd w:val="clear" w:color="auto" w:fill="D9D9D9"/>
          </w:tcPr>
          <w:p>
            <w:pPr>
              <w:spacing w:after="0"/>
              <w:rPr>
                <w:sz w:val="19"/>
                <w:szCs w:val="19"/>
                <w:color w:val="auto"/>
              </w:rPr>
            </w:pPr>
          </w:p>
        </w:tc>
        <w:tc>
          <w:tcPr>
            <w:tcW w:w="100" w:type="dxa"/>
            <w:vAlign w:val="bottom"/>
            <w:tcBorders>
              <w:right w:val="single" w:sz="8" w:color="D9D9D9"/>
            </w:tcBorders>
            <w:shd w:val="clear" w:color="auto" w:fill="D9D9D9"/>
          </w:tcPr>
          <w:p>
            <w:pPr>
              <w:spacing w:after="0"/>
              <w:rPr>
                <w:sz w:val="19"/>
                <w:szCs w:val="19"/>
                <w:color w:val="auto"/>
              </w:rPr>
            </w:pPr>
          </w:p>
        </w:tc>
        <w:tc>
          <w:tcPr>
            <w:tcW w:w="580" w:type="dxa"/>
            <w:vAlign w:val="bottom"/>
            <w:shd w:val="clear" w:color="auto" w:fill="D9D9D9"/>
          </w:tcPr>
          <w:p>
            <w:pPr>
              <w:spacing w:after="0"/>
              <w:rPr>
                <w:sz w:val="19"/>
                <w:szCs w:val="19"/>
                <w:color w:val="auto"/>
              </w:rPr>
            </w:pPr>
          </w:p>
        </w:tc>
        <w:tc>
          <w:tcPr>
            <w:tcW w:w="1040" w:type="dxa"/>
            <w:vAlign w:val="bottom"/>
            <w:tcBorders>
              <w:right w:val="single" w:sz="8" w:color="D9D9D9"/>
            </w:tcBorders>
            <w:shd w:val="clear" w:color="auto" w:fill="D9D9D9"/>
          </w:tcPr>
          <w:p>
            <w:pPr>
              <w:spacing w:after="0"/>
              <w:rPr>
                <w:sz w:val="19"/>
                <w:szCs w:val="19"/>
                <w:color w:val="auto"/>
              </w:rPr>
            </w:pPr>
          </w:p>
        </w:tc>
        <w:tc>
          <w:tcPr>
            <w:tcW w:w="80" w:type="dxa"/>
            <w:vAlign w:val="bottom"/>
            <w:tcBorders>
              <w:right w:val="single" w:sz="8" w:color="D9D9D9"/>
            </w:tcBorders>
            <w:shd w:val="clear" w:color="auto" w:fill="D9D9D9"/>
          </w:tcPr>
          <w:p>
            <w:pPr>
              <w:spacing w:after="0"/>
              <w:rPr>
                <w:sz w:val="19"/>
                <w:szCs w:val="19"/>
                <w:color w:val="auto"/>
              </w:rPr>
            </w:pPr>
          </w:p>
        </w:tc>
        <w:tc>
          <w:tcPr>
            <w:tcW w:w="1060" w:type="dxa"/>
            <w:vAlign w:val="bottom"/>
            <w:shd w:val="clear" w:color="auto" w:fill="D9D9D9"/>
          </w:tcPr>
          <w:p>
            <w:pPr>
              <w:spacing w:after="0"/>
              <w:rPr>
                <w:sz w:val="19"/>
                <w:szCs w:val="19"/>
                <w:color w:val="auto"/>
              </w:rPr>
            </w:pPr>
          </w:p>
        </w:tc>
        <w:tc>
          <w:tcPr>
            <w:tcW w:w="120" w:type="dxa"/>
            <w:vAlign w:val="bottom"/>
            <w:tcBorders>
              <w:right w:val="single" w:sz="8" w:color="D9D9D9"/>
            </w:tcBorders>
            <w:shd w:val="clear" w:color="auto" w:fill="D9D9D9"/>
          </w:tcPr>
          <w:p>
            <w:pPr>
              <w:spacing w:after="0"/>
              <w:rPr>
                <w:sz w:val="19"/>
                <w:szCs w:val="19"/>
                <w:color w:val="auto"/>
              </w:rPr>
            </w:pPr>
          </w:p>
        </w:tc>
        <w:tc>
          <w:tcPr>
            <w:tcW w:w="120" w:type="dxa"/>
            <w:vAlign w:val="bottom"/>
            <w:tcBorders>
              <w:right w:val="single" w:sz="8" w:color="D9D9D9"/>
            </w:tcBorders>
            <w:shd w:val="clear" w:color="auto" w:fill="D9D9D9"/>
          </w:tcPr>
          <w:p>
            <w:pPr>
              <w:spacing w:after="0"/>
              <w:rPr>
                <w:sz w:val="19"/>
                <w:szCs w:val="19"/>
                <w:color w:val="auto"/>
              </w:rPr>
            </w:pPr>
          </w:p>
        </w:tc>
        <w:tc>
          <w:tcPr>
            <w:tcW w:w="440" w:type="dxa"/>
            <w:vAlign w:val="bottom"/>
            <w:shd w:val="clear" w:color="auto" w:fill="D9D9D9"/>
          </w:tcPr>
          <w:p>
            <w:pPr>
              <w:spacing w:after="0"/>
              <w:rPr>
                <w:sz w:val="19"/>
                <w:szCs w:val="19"/>
                <w:color w:val="auto"/>
              </w:rPr>
            </w:pPr>
          </w:p>
        </w:tc>
        <w:tc>
          <w:tcPr>
            <w:tcW w:w="300" w:type="dxa"/>
            <w:vAlign w:val="bottom"/>
            <w:shd w:val="clear" w:color="auto" w:fill="D9D9D9"/>
          </w:tcPr>
          <w:p>
            <w:pPr>
              <w:spacing w:after="0"/>
              <w:rPr>
                <w:sz w:val="19"/>
                <w:szCs w:val="19"/>
                <w:color w:val="auto"/>
              </w:rPr>
            </w:pPr>
          </w:p>
        </w:tc>
        <w:tc>
          <w:tcPr>
            <w:tcW w:w="820" w:type="dxa"/>
            <w:vAlign w:val="bottom"/>
            <w:tcBorders>
              <w:right w:val="single" w:sz="8" w:color="D9D9D9"/>
            </w:tcBorders>
            <w:vMerge w:val="restart"/>
            <w:shd w:val="clear" w:color="auto" w:fill="D9D9D9"/>
          </w:tcPr>
          <w:p>
            <w:pPr>
              <w:ind w:left="48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960" w:type="dxa"/>
            <w:vAlign w:val="bottom"/>
            <w:vMerge w:val="restart"/>
            <w:shd w:val="clear" w:color="auto" w:fill="D9D9D9"/>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C00000"/>
              </w:rPr>
              <w:t>✓</w:t>
            </w:r>
          </w:p>
        </w:tc>
        <w:tc>
          <w:tcPr>
            <w:tcW w:w="760" w:type="dxa"/>
            <w:vAlign w:val="bottom"/>
            <w:tcBorders>
              <w:right w:val="single" w:sz="8" w:color="D9D9D9"/>
            </w:tcBorders>
            <w:shd w:val="clear" w:color="auto" w:fill="D9D9D9"/>
          </w:tcPr>
          <w:p>
            <w:pPr>
              <w:spacing w:after="0"/>
              <w:rPr>
                <w:sz w:val="19"/>
                <w:szCs w:val="19"/>
                <w:color w:val="auto"/>
              </w:rPr>
            </w:pPr>
          </w:p>
        </w:tc>
        <w:tc>
          <w:tcPr>
            <w:tcW w:w="860" w:type="dxa"/>
            <w:vAlign w:val="bottom"/>
            <w:vMerge w:val="restart"/>
            <w:shd w:val="clear" w:color="auto" w:fill="D9D9D9"/>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0" w:type="dxa"/>
            <w:vAlign w:val="bottom"/>
          </w:tcPr>
          <w:p>
            <w:pPr>
              <w:spacing w:after="0"/>
              <w:rPr>
                <w:sz w:val="1"/>
                <w:szCs w:val="1"/>
                <w:color w:val="auto"/>
              </w:rPr>
            </w:pPr>
          </w:p>
        </w:tc>
      </w:tr>
      <w:tr>
        <w:trPr>
          <w:trHeight w:val="168"/>
        </w:trPr>
        <w:tc>
          <w:tcPr>
            <w:tcW w:w="4020" w:type="dxa"/>
            <w:vAlign w:val="bottom"/>
            <w:tcBorders>
              <w:right w:val="single" w:sz="8" w:color="D9D9D9"/>
            </w:tcBorders>
            <w:gridSpan w:val="5"/>
            <w:shd w:val="clear" w:color="auto" w:fill="D9D9D9"/>
          </w:tcPr>
          <w:p>
            <w:pPr>
              <w:ind w:left="180"/>
              <w:spacing w:after="0"/>
              <w:rPr>
                <w:sz w:val="20"/>
                <w:szCs w:val="20"/>
                <w:color w:val="auto"/>
              </w:rPr>
            </w:pPr>
            <w:r>
              <w:rPr>
                <w:rFonts w:ascii="Arial" w:cs="Arial" w:eastAsia="Arial" w:hAnsi="Arial"/>
                <w:sz w:val="14"/>
                <w:szCs w:val="14"/>
                <w:color w:val="auto"/>
              </w:rPr>
              <w:t>Chairman, President and Chief Executive Officer,</w:t>
            </w:r>
          </w:p>
        </w:tc>
        <w:tc>
          <w:tcPr>
            <w:tcW w:w="100" w:type="dxa"/>
            <w:vAlign w:val="bottom"/>
            <w:tcBorders>
              <w:right w:val="single" w:sz="8" w:color="D9D9D9"/>
            </w:tcBorders>
            <w:shd w:val="clear" w:color="auto" w:fill="D9D9D9"/>
          </w:tcPr>
          <w:p>
            <w:pPr>
              <w:spacing w:after="0"/>
              <w:rPr>
                <w:sz w:val="14"/>
                <w:szCs w:val="14"/>
                <w:color w:val="auto"/>
              </w:rPr>
            </w:pPr>
          </w:p>
        </w:tc>
        <w:tc>
          <w:tcPr>
            <w:tcW w:w="5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54</w:t>
            </w:r>
          </w:p>
        </w:tc>
        <w:tc>
          <w:tcPr>
            <w:tcW w:w="1040" w:type="dxa"/>
            <w:vAlign w:val="bottom"/>
            <w:tcBorders>
              <w:right w:val="single" w:sz="8" w:color="D9D9D9"/>
            </w:tcBorders>
            <w:shd w:val="clear" w:color="auto" w:fill="D9D9D9"/>
          </w:tcPr>
          <w:p>
            <w:pPr>
              <w:jc w:val="center"/>
              <w:ind w:right="126"/>
              <w:spacing w:after="0"/>
              <w:rPr>
                <w:sz w:val="20"/>
                <w:szCs w:val="20"/>
                <w:color w:val="auto"/>
              </w:rPr>
            </w:pPr>
            <w:r>
              <w:rPr>
                <w:rFonts w:ascii="Arial" w:cs="Arial" w:eastAsia="Arial" w:hAnsi="Arial"/>
                <w:sz w:val="14"/>
                <w:szCs w:val="14"/>
                <w:color w:val="auto"/>
              </w:rPr>
              <w:t>2022</w:t>
            </w:r>
          </w:p>
        </w:tc>
        <w:tc>
          <w:tcPr>
            <w:tcW w:w="80" w:type="dxa"/>
            <w:vAlign w:val="bottom"/>
            <w:tcBorders>
              <w:right w:val="single" w:sz="8" w:color="D9D9D9"/>
            </w:tcBorders>
            <w:shd w:val="clear" w:color="auto" w:fill="D9D9D9"/>
          </w:tcPr>
          <w:p>
            <w:pPr>
              <w:spacing w:after="0"/>
              <w:rPr>
                <w:sz w:val="14"/>
                <w:szCs w:val="14"/>
                <w:color w:val="auto"/>
              </w:rPr>
            </w:pPr>
          </w:p>
        </w:tc>
        <w:tc>
          <w:tcPr>
            <w:tcW w:w="1060" w:type="dxa"/>
            <w:vAlign w:val="bottom"/>
            <w:shd w:val="clear" w:color="auto" w:fill="D9D9D9"/>
          </w:tcPr>
          <w:p>
            <w:pPr>
              <w:jc w:val="center"/>
              <w:ind w:right="166"/>
              <w:spacing w:after="0"/>
              <w:rPr>
                <w:sz w:val="20"/>
                <w:szCs w:val="20"/>
                <w:color w:val="auto"/>
              </w:rPr>
            </w:pPr>
            <w:r>
              <w:rPr>
                <w:rFonts w:ascii="Arial" w:cs="Arial" w:eastAsia="Arial" w:hAnsi="Arial"/>
                <w:sz w:val="14"/>
                <w:szCs w:val="14"/>
                <w:color w:val="auto"/>
                <w:w w:val="90"/>
              </w:rPr>
              <w:t>Yes</w:t>
            </w:r>
          </w:p>
        </w:tc>
        <w:tc>
          <w:tcPr>
            <w:tcW w:w="120" w:type="dxa"/>
            <w:vAlign w:val="bottom"/>
            <w:tcBorders>
              <w:right w:val="single" w:sz="8" w:color="D9D9D9"/>
            </w:tcBorders>
            <w:shd w:val="clear" w:color="auto" w:fill="D9D9D9"/>
          </w:tcPr>
          <w:p>
            <w:pPr>
              <w:spacing w:after="0"/>
              <w:rPr>
                <w:sz w:val="14"/>
                <w:szCs w:val="14"/>
                <w:color w:val="auto"/>
              </w:rPr>
            </w:pPr>
          </w:p>
        </w:tc>
        <w:tc>
          <w:tcPr>
            <w:tcW w:w="120" w:type="dxa"/>
            <w:vAlign w:val="bottom"/>
            <w:tcBorders>
              <w:right w:val="single" w:sz="8" w:color="D9D9D9"/>
            </w:tcBorders>
            <w:shd w:val="clear" w:color="auto" w:fill="D9D9D9"/>
          </w:tcPr>
          <w:p>
            <w:pPr>
              <w:spacing w:after="0"/>
              <w:rPr>
                <w:sz w:val="14"/>
                <w:szCs w:val="14"/>
                <w:color w:val="auto"/>
              </w:rPr>
            </w:pPr>
          </w:p>
        </w:tc>
        <w:tc>
          <w:tcPr>
            <w:tcW w:w="440" w:type="dxa"/>
            <w:vAlign w:val="bottom"/>
            <w:shd w:val="clear" w:color="auto" w:fill="D9D9D9"/>
          </w:tcPr>
          <w:p>
            <w:pPr>
              <w:spacing w:after="0"/>
              <w:rPr>
                <w:sz w:val="14"/>
                <w:szCs w:val="14"/>
                <w:color w:val="auto"/>
              </w:rPr>
            </w:pPr>
          </w:p>
        </w:tc>
        <w:tc>
          <w:tcPr>
            <w:tcW w:w="300" w:type="dxa"/>
            <w:vAlign w:val="bottom"/>
            <w:shd w:val="clear" w:color="auto" w:fill="D9D9D9"/>
          </w:tcPr>
          <w:p>
            <w:pPr>
              <w:spacing w:after="0"/>
              <w:rPr>
                <w:sz w:val="14"/>
                <w:szCs w:val="14"/>
                <w:color w:val="auto"/>
              </w:rPr>
            </w:pPr>
          </w:p>
        </w:tc>
        <w:tc>
          <w:tcPr>
            <w:tcW w:w="820" w:type="dxa"/>
            <w:vAlign w:val="bottom"/>
            <w:tcBorders>
              <w:right w:val="single" w:sz="8" w:color="D9D9D9"/>
            </w:tcBorders>
            <w:vMerge w:val="continue"/>
            <w:shd w:val="clear" w:color="auto" w:fill="D9D9D9"/>
          </w:tcPr>
          <w:p>
            <w:pPr>
              <w:spacing w:after="0"/>
              <w:rPr>
                <w:sz w:val="14"/>
                <w:szCs w:val="14"/>
                <w:color w:val="auto"/>
              </w:rPr>
            </w:pPr>
          </w:p>
        </w:tc>
        <w:tc>
          <w:tcPr>
            <w:tcW w:w="960" w:type="dxa"/>
            <w:vAlign w:val="bottom"/>
            <w:vMerge w:val="continue"/>
            <w:shd w:val="clear" w:color="auto" w:fill="D9D9D9"/>
          </w:tcPr>
          <w:p>
            <w:pPr>
              <w:spacing w:after="0"/>
              <w:rPr>
                <w:sz w:val="14"/>
                <w:szCs w:val="14"/>
                <w:color w:val="auto"/>
              </w:rPr>
            </w:pPr>
          </w:p>
        </w:tc>
        <w:tc>
          <w:tcPr>
            <w:tcW w:w="760" w:type="dxa"/>
            <w:vAlign w:val="bottom"/>
            <w:tcBorders>
              <w:right w:val="single" w:sz="8" w:color="D9D9D9"/>
            </w:tcBorders>
            <w:shd w:val="clear" w:color="auto" w:fill="D9D9D9"/>
          </w:tcPr>
          <w:p>
            <w:pPr>
              <w:jc w:val="right"/>
              <w:ind w:right="328"/>
              <w:spacing w:after="0"/>
              <w:rPr>
                <w:sz w:val="20"/>
                <w:szCs w:val="20"/>
                <w:color w:val="auto"/>
              </w:rPr>
            </w:pPr>
            <w:r>
              <w:rPr>
                <w:rFonts w:ascii="Arial" w:cs="Arial" w:eastAsia="Arial" w:hAnsi="Arial"/>
                <w:sz w:val="14"/>
                <w:szCs w:val="14"/>
                <w:color w:val="C00000"/>
              </w:rPr>
              <w:t>1</w:t>
            </w:r>
          </w:p>
        </w:tc>
        <w:tc>
          <w:tcPr>
            <w:tcW w:w="860" w:type="dxa"/>
            <w:vAlign w:val="bottom"/>
            <w:vMerge w:val="continue"/>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40" w:type="dxa"/>
            <w:vAlign w:val="bottom"/>
            <w:gridSpan w:val="3"/>
            <w:shd w:val="clear" w:color="auto" w:fill="D9D9D9"/>
          </w:tcPr>
          <w:p>
            <w:pPr>
              <w:ind w:left="180"/>
              <w:spacing w:after="0"/>
              <w:rPr>
                <w:sz w:val="20"/>
                <w:szCs w:val="20"/>
                <w:color w:val="auto"/>
              </w:rPr>
            </w:pPr>
            <w:r>
              <w:rPr>
                <w:rFonts w:ascii="Arial" w:cs="Arial" w:eastAsia="Arial" w:hAnsi="Arial"/>
                <w:sz w:val="14"/>
                <w:szCs w:val="14"/>
                <w:color w:val="auto"/>
              </w:rPr>
              <w:t>AGCO Corporation</w:t>
            </w:r>
          </w:p>
        </w:tc>
        <w:tc>
          <w:tcPr>
            <w:tcW w:w="1060" w:type="dxa"/>
            <w:vAlign w:val="bottom"/>
            <w:tcBorders>
              <w:right w:val="single" w:sz="8" w:color="D9D9D9"/>
            </w:tcBorders>
            <w:shd w:val="clear" w:color="auto" w:fill="D9D9D9"/>
          </w:tcPr>
          <w:p>
            <w:pPr>
              <w:spacing w:after="0"/>
              <w:rPr>
                <w:sz w:val="14"/>
                <w:szCs w:val="14"/>
                <w:color w:val="auto"/>
              </w:rPr>
            </w:pPr>
          </w:p>
        </w:tc>
        <w:tc>
          <w:tcPr>
            <w:tcW w:w="1420" w:type="dxa"/>
            <w:vAlign w:val="bottom"/>
            <w:tcBorders>
              <w:right w:val="single" w:sz="8" w:color="D9D9D9"/>
            </w:tcBorders>
            <w:shd w:val="clear" w:color="auto" w:fill="D9D9D9"/>
          </w:tcPr>
          <w:p>
            <w:pPr>
              <w:spacing w:after="0"/>
              <w:rPr>
                <w:sz w:val="14"/>
                <w:szCs w:val="14"/>
                <w:color w:val="auto"/>
              </w:rPr>
            </w:pPr>
          </w:p>
        </w:tc>
        <w:tc>
          <w:tcPr>
            <w:tcW w:w="100" w:type="dxa"/>
            <w:vAlign w:val="bottom"/>
            <w:tcBorders>
              <w:right w:val="single" w:sz="8" w:color="D9D9D9"/>
            </w:tcBorders>
            <w:shd w:val="clear" w:color="auto" w:fill="D9D9D9"/>
          </w:tcPr>
          <w:p>
            <w:pPr>
              <w:spacing w:after="0"/>
              <w:rPr>
                <w:sz w:val="14"/>
                <w:szCs w:val="14"/>
                <w:color w:val="auto"/>
              </w:rPr>
            </w:pPr>
          </w:p>
        </w:tc>
        <w:tc>
          <w:tcPr>
            <w:tcW w:w="580" w:type="dxa"/>
            <w:vAlign w:val="bottom"/>
            <w:shd w:val="clear" w:color="auto" w:fill="D9D9D9"/>
          </w:tcPr>
          <w:p>
            <w:pPr>
              <w:spacing w:after="0"/>
              <w:rPr>
                <w:sz w:val="14"/>
                <w:szCs w:val="14"/>
                <w:color w:val="auto"/>
              </w:rPr>
            </w:pPr>
          </w:p>
        </w:tc>
        <w:tc>
          <w:tcPr>
            <w:tcW w:w="1040" w:type="dxa"/>
            <w:vAlign w:val="bottom"/>
            <w:tcBorders>
              <w:right w:val="single" w:sz="8" w:color="D9D9D9"/>
            </w:tcBorders>
            <w:shd w:val="clear" w:color="auto" w:fill="D9D9D9"/>
          </w:tcPr>
          <w:p>
            <w:pPr>
              <w:spacing w:after="0"/>
              <w:rPr>
                <w:sz w:val="14"/>
                <w:szCs w:val="14"/>
                <w:color w:val="auto"/>
              </w:rPr>
            </w:pPr>
          </w:p>
        </w:tc>
        <w:tc>
          <w:tcPr>
            <w:tcW w:w="80" w:type="dxa"/>
            <w:vAlign w:val="bottom"/>
            <w:tcBorders>
              <w:right w:val="single" w:sz="8" w:color="D9D9D9"/>
            </w:tcBorders>
            <w:shd w:val="clear" w:color="auto" w:fill="D9D9D9"/>
          </w:tcPr>
          <w:p>
            <w:pPr>
              <w:spacing w:after="0"/>
              <w:rPr>
                <w:sz w:val="14"/>
                <w:szCs w:val="14"/>
                <w:color w:val="auto"/>
              </w:rPr>
            </w:pPr>
          </w:p>
        </w:tc>
        <w:tc>
          <w:tcPr>
            <w:tcW w:w="1060" w:type="dxa"/>
            <w:vAlign w:val="bottom"/>
            <w:shd w:val="clear" w:color="auto" w:fill="D9D9D9"/>
          </w:tcPr>
          <w:p>
            <w:pPr>
              <w:spacing w:after="0"/>
              <w:rPr>
                <w:sz w:val="14"/>
                <w:szCs w:val="14"/>
                <w:color w:val="auto"/>
              </w:rPr>
            </w:pPr>
          </w:p>
        </w:tc>
        <w:tc>
          <w:tcPr>
            <w:tcW w:w="120" w:type="dxa"/>
            <w:vAlign w:val="bottom"/>
            <w:tcBorders>
              <w:right w:val="single" w:sz="8" w:color="D9D9D9"/>
            </w:tcBorders>
            <w:shd w:val="clear" w:color="auto" w:fill="D9D9D9"/>
          </w:tcPr>
          <w:p>
            <w:pPr>
              <w:spacing w:after="0"/>
              <w:rPr>
                <w:sz w:val="14"/>
                <w:szCs w:val="14"/>
                <w:color w:val="auto"/>
              </w:rPr>
            </w:pPr>
          </w:p>
        </w:tc>
        <w:tc>
          <w:tcPr>
            <w:tcW w:w="120" w:type="dxa"/>
            <w:vAlign w:val="bottom"/>
            <w:tcBorders>
              <w:right w:val="single" w:sz="8" w:color="D9D9D9"/>
            </w:tcBorders>
            <w:shd w:val="clear" w:color="auto" w:fill="D9D9D9"/>
          </w:tcPr>
          <w:p>
            <w:pPr>
              <w:spacing w:after="0"/>
              <w:rPr>
                <w:sz w:val="14"/>
                <w:szCs w:val="14"/>
                <w:color w:val="auto"/>
              </w:rPr>
            </w:pPr>
          </w:p>
        </w:tc>
        <w:tc>
          <w:tcPr>
            <w:tcW w:w="440" w:type="dxa"/>
            <w:vAlign w:val="bottom"/>
            <w:shd w:val="clear" w:color="auto" w:fill="D9D9D9"/>
          </w:tcPr>
          <w:p>
            <w:pPr>
              <w:spacing w:after="0"/>
              <w:rPr>
                <w:sz w:val="14"/>
                <w:szCs w:val="14"/>
                <w:color w:val="auto"/>
              </w:rPr>
            </w:pPr>
          </w:p>
        </w:tc>
        <w:tc>
          <w:tcPr>
            <w:tcW w:w="300" w:type="dxa"/>
            <w:vAlign w:val="bottom"/>
            <w:shd w:val="clear" w:color="auto" w:fill="D9D9D9"/>
          </w:tcPr>
          <w:p>
            <w:pPr>
              <w:spacing w:after="0"/>
              <w:rPr>
                <w:sz w:val="14"/>
                <w:szCs w:val="14"/>
                <w:color w:val="auto"/>
              </w:rPr>
            </w:pPr>
          </w:p>
        </w:tc>
        <w:tc>
          <w:tcPr>
            <w:tcW w:w="820" w:type="dxa"/>
            <w:vAlign w:val="bottom"/>
            <w:tcBorders>
              <w:right w:val="single" w:sz="8" w:color="D9D9D9"/>
            </w:tcBorders>
            <w:shd w:val="clear" w:color="auto" w:fill="D9D9D9"/>
          </w:tcPr>
          <w:p>
            <w:pPr>
              <w:spacing w:after="0"/>
              <w:rPr>
                <w:sz w:val="14"/>
                <w:szCs w:val="14"/>
                <w:color w:val="auto"/>
              </w:rPr>
            </w:pPr>
          </w:p>
        </w:tc>
        <w:tc>
          <w:tcPr>
            <w:tcW w:w="960" w:type="dxa"/>
            <w:vAlign w:val="bottom"/>
            <w:shd w:val="clear" w:color="auto" w:fill="D9D9D9"/>
          </w:tcPr>
          <w:p>
            <w:pPr>
              <w:spacing w:after="0"/>
              <w:rPr>
                <w:sz w:val="14"/>
                <w:szCs w:val="14"/>
                <w:color w:val="auto"/>
              </w:rPr>
            </w:pPr>
          </w:p>
        </w:tc>
        <w:tc>
          <w:tcPr>
            <w:tcW w:w="760" w:type="dxa"/>
            <w:vAlign w:val="bottom"/>
            <w:tcBorders>
              <w:right w:val="single" w:sz="8" w:color="D9D9D9"/>
            </w:tcBorders>
            <w:shd w:val="clear" w:color="auto" w:fill="D9D9D9"/>
          </w:tcPr>
          <w:p>
            <w:pPr>
              <w:spacing w:after="0"/>
              <w:rPr>
                <w:sz w:val="14"/>
                <w:szCs w:val="14"/>
                <w:color w:val="auto"/>
              </w:rPr>
            </w:pPr>
          </w:p>
        </w:tc>
        <w:tc>
          <w:tcPr>
            <w:tcW w:w="86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540" w:type="dxa"/>
            <w:vAlign w:val="bottom"/>
            <w:gridSpan w:val="3"/>
          </w:tcPr>
          <w:p>
            <w:pPr>
              <w:spacing w:after="0"/>
              <w:rPr>
                <w:sz w:val="20"/>
                <w:szCs w:val="20"/>
                <w:color w:val="auto"/>
              </w:rPr>
            </w:pPr>
            <w:r>
              <w:rPr>
                <w:rFonts w:ascii="Arial" w:cs="Arial" w:eastAsia="Arial" w:hAnsi="Arial"/>
                <w:sz w:val="14"/>
                <w:szCs w:val="14"/>
                <w:b w:val="1"/>
                <w:bCs w:val="1"/>
                <w:color w:val="C00000"/>
              </w:rPr>
              <w:t>D. Christian Koch</w:t>
            </w: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vMerge w:val="restart"/>
          </w:tcPr>
          <w:p>
            <w:pPr>
              <w:ind w:left="48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96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C00000"/>
              </w:rPr>
              <w:t>✓</w:t>
            </w: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20" w:type="dxa"/>
            <w:vAlign w:val="bottom"/>
            <w:gridSpan w:val="5"/>
          </w:tcPr>
          <w:p>
            <w:pPr>
              <w:ind w:left="140"/>
              <w:spacing w:after="0"/>
              <w:rPr>
                <w:sz w:val="20"/>
                <w:szCs w:val="20"/>
                <w:color w:val="auto"/>
              </w:rPr>
            </w:pPr>
            <w:r>
              <w:rPr>
                <w:rFonts w:ascii="Arial" w:cs="Arial" w:eastAsia="Arial" w:hAnsi="Arial"/>
                <w:sz w:val="14"/>
                <w:szCs w:val="14"/>
                <w:color w:val="auto"/>
              </w:rPr>
              <w:t>Chairman, President and Chief Executive Officer, Carlisle</w:t>
            </w:r>
          </w:p>
        </w:tc>
        <w:tc>
          <w:tcPr>
            <w:tcW w:w="680" w:type="dxa"/>
            <w:vAlign w:val="bottom"/>
            <w:gridSpan w:val="2"/>
          </w:tcPr>
          <w:p>
            <w:pPr>
              <w:jc w:val="center"/>
              <w:ind w:left="5"/>
              <w:spacing w:after="0"/>
              <w:rPr>
                <w:sz w:val="20"/>
                <w:szCs w:val="20"/>
                <w:color w:val="auto"/>
              </w:rPr>
            </w:pPr>
            <w:r>
              <w:rPr>
                <w:rFonts w:ascii="Arial" w:cs="Arial" w:eastAsia="Arial" w:hAnsi="Arial"/>
                <w:sz w:val="14"/>
                <w:szCs w:val="14"/>
                <w:color w:val="auto"/>
              </w:rPr>
              <w:t>58</w:t>
            </w:r>
          </w:p>
        </w:tc>
        <w:tc>
          <w:tcPr>
            <w:tcW w:w="1040" w:type="dxa"/>
            <w:vAlign w:val="bottom"/>
          </w:tcPr>
          <w:p>
            <w:pPr>
              <w:jc w:val="center"/>
              <w:ind w:right="126"/>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4"/>
                <w:szCs w:val="14"/>
                <w:color w:val="auto"/>
              </w:rPr>
            </w:pPr>
          </w:p>
        </w:tc>
        <w:tc>
          <w:tcPr>
            <w:tcW w:w="1060" w:type="dxa"/>
            <w:vAlign w:val="bottom"/>
          </w:tcPr>
          <w:p>
            <w:pPr>
              <w:jc w:val="center"/>
              <w:ind w:right="166"/>
              <w:spacing w:after="0"/>
              <w:rPr>
                <w:sz w:val="20"/>
                <w:szCs w:val="20"/>
                <w:color w:val="auto"/>
              </w:rPr>
            </w:pPr>
            <w:r>
              <w:rPr>
                <w:rFonts w:ascii="Arial" w:cs="Arial" w:eastAsia="Arial" w:hAnsi="Arial"/>
                <w:sz w:val="14"/>
                <w:szCs w:val="14"/>
                <w:color w:val="auto"/>
                <w:w w:val="90"/>
              </w:rPr>
              <w:t>Yes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60" w:type="dxa"/>
            <w:vAlign w:val="bottom"/>
          </w:tcPr>
          <w:p>
            <w:pPr>
              <w:jc w:val="right"/>
              <w:ind w:right="328"/>
              <w:spacing w:after="0"/>
              <w:rPr>
                <w:sz w:val="20"/>
                <w:szCs w:val="20"/>
                <w:color w:val="auto"/>
              </w:rPr>
            </w:pPr>
            <w:r>
              <w:rPr>
                <w:rFonts w:ascii="Arial" w:cs="Arial" w:eastAsia="Arial" w:hAnsi="Arial"/>
                <w:sz w:val="14"/>
                <w:szCs w:val="14"/>
                <w:color w:val="C00000"/>
              </w:rPr>
              <w:t>1</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20" w:type="dxa"/>
            <w:vAlign w:val="bottom"/>
            <w:gridSpan w:val="5"/>
          </w:tcPr>
          <w:p>
            <w:pPr>
              <w:ind w:left="140"/>
              <w:spacing w:after="0"/>
              <w:rPr>
                <w:sz w:val="20"/>
                <w:szCs w:val="20"/>
                <w:color w:val="auto"/>
              </w:rPr>
            </w:pPr>
            <w:r>
              <w:rPr>
                <w:rFonts w:ascii="Arial" w:cs="Arial" w:eastAsia="Arial" w:hAnsi="Arial"/>
                <w:sz w:val="14"/>
                <w:szCs w:val="14"/>
                <w:color w:val="auto"/>
              </w:rPr>
              <w:t>Companies Incorporated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40" w:type="dxa"/>
            <w:vAlign w:val="bottom"/>
            <w:gridSpan w:val="3"/>
            <w:shd w:val="clear" w:color="auto" w:fill="D9D9D9"/>
          </w:tcPr>
          <w:p>
            <w:pPr>
              <w:spacing w:after="0"/>
              <w:rPr>
                <w:sz w:val="20"/>
                <w:szCs w:val="20"/>
                <w:color w:val="auto"/>
              </w:rPr>
            </w:pPr>
            <w:r>
              <w:rPr>
                <w:rFonts w:ascii="Arial" w:cs="Arial" w:eastAsia="Arial" w:hAnsi="Arial"/>
                <w:sz w:val="14"/>
                <w:szCs w:val="14"/>
                <w:b w:val="1"/>
                <w:bCs w:val="1"/>
                <w:color w:val="C00000"/>
              </w:rPr>
              <w:t>Continuing Directors</w:t>
            </w:r>
          </w:p>
        </w:tc>
        <w:tc>
          <w:tcPr>
            <w:tcW w:w="1060" w:type="dxa"/>
            <w:vAlign w:val="bottom"/>
            <w:tcBorders>
              <w:right w:val="single" w:sz="8" w:color="D9D9D9"/>
            </w:tcBorders>
            <w:shd w:val="clear" w:color="auto" w:fill="D9D9D9"/>
          </w:tcPr>
          <w:p>
            <w:pPr>
              <w:spacing w:after="0"/>
              <w:rPr>
                <w:sz w:val="15"/>
                <w:szCs w:val="15"/>
                <w:color w:val="auto"/>
              </w:rPr>
            </w:pPr>
          </w:p>
        </w:tc>
        <w:tc>
          <w:tcPr>
            <w:tcW w:w="1420" w:type="dxa"/>
            <w:vAlign w:val="bottom"/>
            <w:tcBorders>
              <w:right w:val="single" w:sz="8" w:color="D9D9D9"/>
            </w:tcBorders>
            <w:shd w:val="clear" w:color="auto" w:fill="D9D9D9"/>
          </w:tcPr>
          <w:p>
            <w:pPr>
              <w:spacing w:after="0"/>
              <w:rPr>
                <w:sz w:val="15"/>
                <w:szCs w:val="15"/>
                <w:color w:val="auto"/>
              </w:rPr>
            </w:pPr>
          </w:p>
        </w:tc>
        <w:tc>
          <w:tcPr>
            <w:tcW w:w="100" w:type="dxa"/>
            <w:vAlign w:val="bottom"/>
            <w:tcBorders>
              <w:right w:val="single" w:sz="8" w:color="D9D9D9"/>
            </w:tcBorders>
            <w:shd w:val="clear" w:color="auto" w:fill="D9D9D9"/>
          </w:tcPr>
          <w:p>
            <w:pPr>
              <w:spacing w:after="0"/>
              <w:rPr>
                <w:sz w:val="15"/>
                <w:szCs w:val="15"/>
                <w:color w:val="auto"/>
              </w:rPr>
            </w:pPr>
          </w:p>
        </w:tc>
        <w:tc>
          <w:tcPr>
            <w:tcW w:w="580" w:type="dxa"/>
            <w:vAlign w:val="bottom"/>
            <w:shd w:val="clear" w:color="auto" w:fill="D9D9D9"/>
          </w:tcPr>
          <w:p>
            <w:pPr>
              <w:spacing w:after="0"/>
              <w:rPr>
                <w:sz w:val="15"/>
                <w:szCs w:val="15"/>
                <w:color w:val="auto"/>
              </w:rPr>
            </w:pPr>
          </w:p>
        </w:tc>
        <w:tc>
          <w:tcPr>
            <w:tcW w:w="1040" w:type="dxa"/>
            <w:vAlign w:val="bottom"/>
            <w:tcBorders>
              <w:right w:val="single" w:sz="8" w:color="D9D9D9"/>
            </w:tcBorders>
            <w:shd w:val="clear" w:color="auto" w:fill="D9D9D9"/>
          </w:tcPr>
          <w:p>
            <w:pPr>
              <w:spacing w:after="0"/>
              <w:rPr>
                <w:sz w:val="15"/>
                <w:szCs w:val="15"/>
                <w:color w:val="auto"/>
              </w:rPr>
            </w:pPr>
          </w:p>
        </w:tc>
        <w:tc>
          <w:tcPr>
            <w:tcW w:w="80" w:type="dxa"/>
            <w:vAlign w:val="bottom"/>
            <w:tcBorders>
              <w:right w:val="single" w:sz="8" w:color="D9D9D9"/>
            </w:tcBorders>
            <w:shd w:val="clear" w:color="auto" w:fill="D9D9D9"/>
          </w:tcPr>
          <w:p>
            <w:pPr>
              <w:spacing w:after="0"/>
              <w:rPr>
                <w:sz w:val="15"/>
                <w:szCs w:val="15"/>
                <w:color w:val="auto"/>
              </w:rPr>
            </w:pPr>
          </w:p>
        </w:tc>
        <w:tc>
          <w:tcPr>
            <w:tcW w:w="1060" w:type="dxa"/>
            <w:vAlign w:val="bottom"/>
            <w:shd w:val="clear" w:color="auto" w:fill="D9D9D9"/>
          </w:tcPr>
          <w:p>
            <w:pPr>
              <w:spacing w:after="0"/>
              <w:rPr>
                <w:sz w:val="15"/>
                <w:szCs w:val="15"/>
                <w:color w:val="auto"/>
              </w:rPr>
            </w:pPr>
          </w:p>
        </w:tc>
        <w:tc>
          <w:tcPr>
            <w:tcW w:w="120" w:type="dxa"/>
            <w:vAlign w:val="bottom"/>
            <w:tcBorders>
              <w:right w:val="single" w:sz="8" w:color="D9D9D9"/>
            </w:tcBorders>
            <w:shd w:val="clear" w:color="auto" w:fill="D9D9D9"/>
          </w:tcPr>
          <w:p>
            <w:pPr>
              <w:spacing w:after="0"/>
              <w:rPr>
                <w:sz w:val="15"/>
                <w:szCs w:val="15"/>
                <w:color w:val="auto"/>
              </w:rPr>
            </w:pPr>
          </w:p>
        </w:tc>
        <w:tc>
          <w:tcPr>
            <w:tcW w:w="120" w:type="dxa"/>
            <w:vAlign w:val="bottom"/>
            <w:tcBorders>
              <w:right w:val="single" w:sz="8" w:color="D9D9D9"/>
            </w:tcBorders>
            <w:shd w:val="clear" w:color="auto" w:fill="D9D9D9"/>
          </w:tcPr>
          <w:p>
            <w:pPr>
              <w:spacing w:after="0"/>
              <w:rPr>
                <w:sz w:val="15"/>
                <w:szCs w:val="15"/>
                <w:color w:val="auto"/>
              </w:rPr>
            </w:pPr>
          </w:p>
        </w:tc>
        <w:tc>
          <w:tcPr>
            <w:tcW w:w="440" w:type="dxa"/>
            <w:vAlign w:val="bottom"/>
            <w:shd w:val="clear" w:color="auto" w:fill="D9D9D9"/>
          </w:tcPr>
          <w:p>
            <w:pPr>
              <w:spacing w:after="0"/>
              <w:rPr>
                <w:sz w:val="15"/>
                <w:szCs w:val="15"/>
                <w:color w:val="auto"/>
              </w:rPr>
            </w:pPr>
          </w:p>
        </w:tc>
        <w:tc>
          <w:tcPr>
            <w:tcW w:w="300" w:type="dxa"/>
            <w:vAlign w:val="bottom"/>
            <w:shd w:val="clear" w:color="auto" w:fill="D9D9D9"/>
          </w:tcPr>
          <w:p>
            <w:pPr>
              <w:spacing w:after="0"/>
              <w:rPr>
                <w:sz w:val="15"/>
                <w:szCs w:val="15"/>
                <w:color w:val="auto"/>
              </w:rPr>
            </w:pPr>
          </w:p>
        </w:tc>
        <w:tc>
          <w:tcPr>
            <w:tcW w:w="820" w:type="dxa"/>
            <w:vAlign w:val="bottom"/>
            <w:tcBorders>
              <w:right w:val="single" w:sz="8" w:color="D9D9D9"/>
            </w:tcBorders>
            <w:shd w:val="clear" w:color="auto" w:fill="D9D9D9"/>
          </w:tcPr>
          <w:p>
            <w:pPr>
              <w:spacing w:after="0"/>
              <w:rPr>
                <w:sz w:val="15"/>
                <w:szCs w:val="15"/>
                <w:color w:val="auto"/>
              </w:rPr>
            </w:pPr>
          </w:p>
        </w:tc>
        <w:tc>
          <w:tcPr>
            <w:tcW w:w="960" w:type="dxa"/>
            <w:vAlign w:val="bottom"/>
            <w:shd w:val="clear" w:color="auto" w:fill="D9D9D9"/>
          </w:tcPr>
          <w:p>
            <w:pPr>
              <w:spacing w:after="0"/>
              <w:rPr>
                <w:sz w:val="15"/>
                <w:szCs w:val="15"/>
                <w:color w:val="auto"/>
              </w:rPr>
            </w:pPr>
          </w:p>
        </w:tc>
        <w:tc>
          <w:tcPr>
            <w:tcW w:w="760" w:type="dxa"/>
            <w:vAlign w:val="bottom"/>
            <w:tcBorders>
              <w:right w:val="single" w:sz="8" w:color="D9D9D9"/>
            </w:tcBorders>
            <w:shd w:val="clear" w:color="auto" w:fill="D9D9D9"/>
          </w:tcPr>
          <w:p>
            <w:pPr>
              <w:spacing w:after="0"/>
              <w:rPr>
                <w:sz w:val="15"/>
                <w:szCs w:val="15"/>
                <w:color w:val="auto"/>
              </w:rPr>
            </w:pPr>
          </w:p>
        </w:tc>
        <w:tc>
          <w:tcPr>
            <w:tcW w:w="86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40" w:type="dxa"/>
            <w:vAlign w:val="bottom"/>
            <w:gridSpan w:val="3"/>
          </w:tcPr>
          <w:p>
            <w:pPr>
              <w:spacing w:after="0"/>
              <w:rPr>
                <w:sz w:val="20"/>
                <w:szCs w:val="20"/>
                <w:color w:val="auto"/>
              </w:rPr>
            </w:pPr>
            <w:r>
              <w:rPr>
                <w:rFonts w:ascii="Arial" w:cs="Arial" w:eastAsia="Arial" w:hAnsi="Arial"/>
                <w:sz w:val="14"/>
                <w:szCs w:val="14"/>
                <w:b w:val="1"/>
                <w:bCs w:val="1"/>
                <w:color w:val="C00000"/>
              </w:rPr>
              <w:t>Janet K. Cooper</w:t>
            </w: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vMerge w:val="restart"/>
          </w:tcPr>
          <w:p>
            <w:pPr>
              <w:ind w:left="140"/>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0" w:type="dxa"/>
            <w:vAlign w:val="bottom"/>
          </w:tcPr>
          <w:p>
            <w:pPr>
              <w:spacing w:after="0"/>
              <w:rPr>
                <w:sz w:val="1"/>
                <w:szCs w:val="1"/>
                <w:color w:val="auto"/>
              </w:rPr>
            </w:pPr>
          </w:p>
        </w:tc>
      </w:tr>
      <w:tr>
        <w:trPr>
          <w:trHeight w:val="162"/>
        </w:trPr>
        <w:tc>
          <w:tcPr>
            <w:tcW w:w="4020" w:type="dxa"/>
            <w:vAlign w:val="bottom"/>
            <w:gridSpan w:val="5"/>
          </w:tcPr>
          <w:p>
            <w:pPr>
              <w:ind w:left="140"/>
              <w:spacing w:after="0"/>
              <w:rPr>
                <w:sz w:val="20"/>
                <w:szCs w:val="20"/>
                <w:color w:val="auto"/>
              </w:rPr>
            </w:pPr>
            <w:r>
              <w:rPr>
                <w:rFonts w:ascii="Arial" w:cs="Arial" w:eastAsia="Arial" w:hAnsi="Arial"/>
                <w:sz w:val="14"/>
                <w:szCs w:val="14"/>
                <w:color w:val="auto"/>
              </w:rPr>
              <w:t>Retired Senior Vice President and Treasurer,</w:t>
            </w:r>
          </w:p>
        </w:tc>
        <w:tc>
          <w:tcPr>
            <w:tcW w:w="680" w:type="dxa"/>
            <w:vAlign w:val="bottom"/>
            <w:gridSpan w:val="2"/>
          </w:tcPr>
          <w:p>
            <w:pPr>
              <w:jc w:val="center"/>
              <w:ind w:left="5"/>
              <w:spacing w:after="0"/>
              <w:rPr>
                <w:sz w:val="20"/>
                <w:szCs w:val="20"/>
                <w:color w:val="auto"/>
              </w:rPr>
            </w:pPr>
            <w:r>
              <w:rPr>
                <w:rFonts w:ascii="Arial" w:cs="Arial" w:eastAsia="Arial" w:hAnsi="Arial"/>
                <w:sz w:val="14"/>
                <w:szCs w:val="14"/>
                <w:color w:val="auto"/>
              </w:rPr>
              <w:t>69</w:t>
            </w:r>
          </w:p>
        </w:tc>
        <w:tc>
          <w:tcPr>
            <w:tcW w:w="1040" w:type="dxa"/>
            <w:vAlign w:val="bottom"/>
          </w:tcPr>
          <w:p>
            <w:pPr>
              <w:jc w:val="center"/>
              <w:ind w:right="126"/>
              <w:spacing w:after="0"/>
              <w:rPr>
                <w:sz w:val="20"/>
                <w:szCs w:val="20"/>
                <w:color w:val="auto"/>
              </w:rPr>
            </w:pPr>
            <w:r>
              <w:rPr>
                <w:rFonts w:ascii="Arial" w:cs="Arial" w:eastAsia="Arial" w:hAnsi="Arial"/>
                <w:sz w:val="14"/>
                <w:szCs w:val="14"/>
                <w:color w:val="auto"/>
              </w:rPr>
              <w:t>1994</w:t>
            </w:r>
          </w:p>
        </w:tc>
        <w:tc>
          <w:tcPr>
            <w:tcW w:w="80" w:type="dxa"/>
            <w:vAlign w:val="bottom"/>
          </w:tcPr>
          <w:p>
            <w:pPr>
              <w:spacing w:after="0"/>
              <w:rPr>
                <w:sz w:val="14"/>
                <w:szCs w:val="14"/>
                <w:color w:val="auto"/>
              </w:rPr>
            </w:pPr>
          </w:p>
        </w:tc>
        <w:tc>
          <w:tcPr>
            <w:tcW w:w="1060" w:type="dxa"/>
            <w:vAlign w:val="bottom"/>
          </w:tcPr>
          <w:p>
            <w:pPr>
              <w:jc w:val="center"/>
              <w:ind w:right="166"/>
              <w:spacing w:after="0"/>
              <w:rPr>
                <w:sz w:val="20"/>
                <w:szCs w:val="20"/>
                <w:color w:val="auto"/>
              </w:rPr>
            </w:pPr>
            <w:r>
              <w:rPr>
                <w:rFonts w:ascii="Arial" w:cs="Arial" w:eastAsia="Arial" w:hAnsi="Arial"/>
                <w:sz w:val="14"/>
                <w:szCs w:val="14"/>
                <w:color w:val="auto"/>
                <w:w w:val="90"/>
              </w:rPr>
              <w:t>Yes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C00000"/>
              </w:rPr>
              <w:t>C</w:t>
            </w:r>
          </w:p>
        </w:tc>
        <w:tc>
          <w:tcPr>
            <w:tcW w:w="30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jc w:val="right"/>
              <w:ind w:right="328"/>
              <w:spacing w:after="0"/>
              <w:rPr>
                <w:sz w:val="20"/>
                <w:szCs w:val="20"/>
                <w:color w:val="auto"/>
              </w:rPr>
            </w:pPr>
            <w:r>
              <w:rPr>
                <w:rFonts w:ascii="Arial" w:cs="Arial" w:eastAsia="Arial" w:hAnsi="Arial"/>
                <w:sz w:val="14"/>
                <w:szCs w:val="14"/>
                <w:color w:val="C00000"/>
              </w:rPr>
              <w:t>1</w:t>
            </w: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20" w:type="dxa"/>
            <w:vAlign w:val="bottom"/>
            <w:gridSpan w:val="5"/>
          </w:tcPr>
          <w:p>
            <w:pPr>
              <w:ind w:left="140"/>
              <w:spacing w:after="0"/>
              <w:rPr>
                <w:sz w:val="20"/>
                <w:szCs w:val="20"/>
                <w:color w:val="auto"/>
              </w:rPr>
            </w:pPr>
            <w:r>
              <w:rPr>
                <w:rFonts w:ascii="Arial" w:cs="Arial" w:eastAsia="Arial" w:hAnsi="Arial"/>
                <w:sz w:val="14"/>
                <w:szCs w:val="14"/>
                <w:color w:val="auto"/>
              </w:rPr>
              <w:t>Qwest Communications International Inc.</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C00000"/>
              </w:rPr>
              <w:t>E</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20" w:type="dxa"/>
            <w:vAlign w:val="bottom"/>
            <w:tcBorders>
              <w:right w:val="single" w:sz="8" w:color="D9D9D9"/>
            </w:tcBorders>
            <w:gridSpan w:val="5"/>
            <w:shd w:val="clear" w:color="auto" w:fill="D9D9D9"/>
          </w:tcPr>
          <w:p>
            <w:pPr>
              <w:spacing w:after="0"/>
              <w:rPr>
                <w:sz w:val="20"/>
                <w:szCs w:val="20"/>
                <w:color w:val="auto"/>
              </w:rPr>
            </w:pPr>
            <w:r>
              <w:rPr>
                <w:rFonts w:ascii="Arial" w:cs="Arial" w:eastAsia="Arial" w:hAnsi="Arial"/>
                <w:sz w:val="14"/>
                <w:szCs w:val="14"/>
                <w:b w:val="1"/>
                <w:bCs w:val="1"/>
                <w:color w:val="C00000"/>
              </w:rPr>
              <w:t>Gary L. Ellis - Lead Independent Director</w:t>
            </w:r>
          </w:p>
        </w:tc>
        <w:tc>
          <w:tcPr>
            <w:tcW w:w="100" w:type="dxa"/>
            <w:vAlign w:val="bottom"/>
            <w:tcBorders>
              <w:right w:val="single" w:sz="8" w:color="D9D9D9"/>
            </w:tcBorders>
            <w:shd w:val="clear" w:color="auto" w:fill="D9D9D9"/>
          </w:tcPr>
          <w:p>
            <w:pPr>
              <w:spacing w:after="0"/>
              <w:rPr>
                <w:sz w:val="15"/>
                <w:szCs w:val="15"/>
                <w:color w:val="auto"/>
              </w:rPr>
            </w:pPr>
          </w:p>
        </w:tc>
        <w:tc>
          <w:tcPr>
            <w:tcW w:w="580" w:type="dxa"/>
            <w:vAlign w:val="bottom"/>
            <w:shd w:val="clear" w:color="auto" w:fill="D9D9D9"/>
          </w:tcPr>
          <w:p>
            <w:pPr>
              <w:spacing w:after="0"/>
              <w:rPr>
                <w:sz w:val="15"/>
                <w:szCs w:val="15"/>
                <w:color w:val="auto"/>
              </w:rPr>
            </w:pPr>
          </w:p>
        </w:tc>
        <w:tc>
          <w:tcPr>
            <w:tcW w:w="1040" w:type="dxa"/>
            <w:vAlign w:val="bottom"/>
            <w:tcBorders>
              <w:right w:val="single" w:sz="8" w:color="D9D9D9"/>
            </w:tcBorders>
            <w:shd w:val="clear" w:color="auto" w:fill="D9D9D9"/>
          </w:tcPr>
          <w:p>
            <w:pPr>
              <w:spacing w:after="0"/>
              <w:rPr>
                <w:sz w:val="15"/>
                <w:szCs w:val="15"/>
                <w:color w:val="auto"/>
              </w:rPr>
            </w:pPr>
          </w:p>
        </w:tc>
        <w:tc>
          <w:tcPr>
            <w:tcW w:w="80" w:type="dxa"/>
            <w:vAlign w:val="bottom"/>
            <w:tcBorders>
              <w:right w:val="single" w:sz="8" w:color="D9D9D9"/>
            </w:tcBorders>
            <w:shd w:val="clear" w:color="auto" w:fill="D9D9D9"/>
          </w:tcPr>
          <w:p>
            <w:pPr>
              <w:spacing w:after="0"/>
              <w:rPr>
                <w:sz w:val="15"/>
                <w:szCs w:val="15"/>
                <w:color w:val="auto"/>
              </w:rPr>
            </w:pPr>
          </w:p>
        </w:tc>
        <w:tc>
          <w:tcPr>
            <w:tcW w:w="1060" w:type="dxa"/>
            <w:vAlign w:val="bottom"/>
            <w:shd w:val="clear" w:color="auto" w:fill="D9D9D9"/>
          </w:tcPr>
          <w:p>
            <w:pPr>
              <w:spacing w:after="0"/>
              <w:rPr>
                <w:sz w:val="15"/>
                <w:szCs w:val="15"/>
                <w:color w:val="auto"/>
              </w:rPr>
            </w:pPr>
          </w:p>
        </w:tc>
        <w:tc>
          <w:tcPr>
            <w:tcW w:w="120" w:type="dxa"/>
            <w:vAlign w:val="bottom"/>
            <w:tcBorders>
              <w:right w:val="single" w:sz="8" w:color="D9D9D9"/>
            </w:tcBorders>
            <w:shd w:val="clear" w:color="auto" w:fill="D9D9D9"/>
          </w:tcPr>
          <w:p>
            <w:pPr>
              <w:spacing w:after="0"/>
              <w:rPr>
                <w:sz w:val="15"/>
                <w:szCs w:val="15"/>
                <w:color w:val="auto"/>
              </w:rPr>
            </w:pPr>
          </w:p>
        </w:tc>
        <w:tc>
          <w:tcPr>
            <w:tcW w:w="120" w:type="dxa"/>
            <w:vAlign w:val="bottom"/>
            <w:tcBorders>
              <w:right w:val="single" w:sz="8" w:color="D9D9D9"/>
            </w:tcBorders>
            <w:shd w:val="clear" w:color="auto" w:fill="D9D9D9"/>
          </w:tcPr>
          <w:p>
            <w:pPr>
              <w:spacing w:after="0"/>
              <w:rPr>
                <w:sz w:val="15"/>
                <w:szCs w:val="15"/>
                <w:color w:val="auto"/>
              </w:rPr>
            </w:pPr>
          </w:p>
        </w:tc>
        <w:tc>
          <w:tcPr>
            <w:tcW w:w="440" w:type="dxa"/>
            <w:vAlign w:val="bottom"/>
            <w:vMerge w:val="restart"/>
            <w:shd w:val="clear" w:color="auto" w:fill="D9D9D9"/>
          </w:tcPr>
          <w:p>
            <w:pPr>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300" w:type="dxa"/>
            <w:vAlign w:val="bottom"/>
            <w:vMerge w:val="restart"/>
            <w:shd w:val="clear" w:color="auto" w:fill="D9D9D9"/>
          </w:tcPr>
          <w:p>
            <w:pPr>
              <w:ind w:left="140"/>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820" w:type="dxa"/>
            <w:vAlign w:val="bottom"/>
            <w:tcBorders>
              <w:right w:val="single" w:sz="8" w:color="D9D9D9"/>
            </w:tcBorders>
            <w:shd w:val="clear" w:color="auto" w:fill="D9D9D9"/>
          </w:tcPr>
          <w:p>
            <w:pPr>
              <w:spacing w:after="0"/>
              <w:rPr>
                <w:sz w:val="15"/>
                <w:szCs w:val="15"/>
                <w:color w:val="auto"/>
              </w:rPr>
            </w:pPr>
          </w:p>
        </w:tc>
        <w:tc>
          <w:tcPr>
            <w:tcW w:w="960" w:type="dxa"/>
            <w:vAlign w:val="bottom"/>
            <w:shd w:val="clear" w:color="auto" w:fill="D9D9D9"/>
          </w:tcPr>
          <w:p>
            <w:pPr>
              <w:spacing w:after="0"/>
              <w:rPr>
                <w:sz w:val="15"/>
                <w:szCs w:val="15"/>
                <w:color w:val="auto"/>
              </w:rPr>
            </w:pPr>
          </w:p>
        </w:tc>
        <w:tc>
          <w:tcPr>
            <w:tcW w:w="760" w:type="dxa"/>
            <w:vAlign w:val="bottom"/>
            <w:tcBorders>
              <w:right w:val="single" w:sz="8" w:color="D9D9D9"/>
            </w:tcBorders>
            <w:shd w:val="clear" w:color="auto" w:fill="D9D9D9"/>
          </w:tcPr>
          <w:p>
            <w:pPr>
              <w:spacing w:after="0"/>
              <w:rPr>
                <w:sz w:val="15"/>
                <w:szCs w:val="15"/>
                <w:color w:val="auto"/>
              </w:rPr>
            </w:pPr>
          </w:p>
        </w:tc>
        <w:tc>
          <w:tcPr>
            <w:tcW w:w="86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020" w:type="dxa"/>
            <w:vAlign w:val="bottom"/>
            <w:tcBorders>
              <w:right w:val="single" w:sz="8" w:color="D9D9D9"/>
            </w:tcBorders>
            <w:gridSpan w:val="5"/>
            <w:shd w:val="clear" w:color="auto" w:fill="D9D9D9"/>
          </w:tcPr>
          <w:p>
            <w:pPr>
              <w:ind w:left="140"/>
              <w:spacing w:after="0"/>
              <w:rPr>
                <w:sz w:val="20"/>
                <w:szCs w:val="20"/>
                <w:color w:val="auto"/>
              </w:rPr>
            </w:pPr>
            <w:r>
              <w:rPr>
                <w:rFonts w:ascii="Arial" w:cs="Arial" w:eastAsia="Arial" w:hAnsi="Arial"/>
                <w:sz w:val="14"/>
                <w:szCs w:val="14"/>
                <w:color w:val="auto"/>
              </w:rPr>
              <w:t>Retired Executive Vice President,</w:t>
            </w:r>
          </w:p>
        </w:tc>
        <w:tc>
          <w:tcPr>
            <w:tcW w:w="100" w:type="dxa"/>
            <w:vAlign w:val="bottom"/>
            <w:tcBorders>
              <w:right w:val="single" w:sz="8" w:color="D9D9D9"/>
            </w:tcBorders>
            <w:shd w:val="clear" w:color="auto" w:fill="D9D9D9"/>
          </w:tcPr>
          <w:p>
            <w:pPr>
              <w:spacing w:after="0"/>
              <w:rPr>
                <w:sz w:val="14"/>
                <w:szCs w:val="14"/>
                <w:color w:val="auto"/>
              </w:rPr>
            </w:pPr>
          </w:p>
        </w:tc>
        <w:tc>
          <w:tcPr>
            <w:tcW w:w="5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66</w:t>
            </w:r>
          </w:p>
        </w:tc>
        <w:tc>
          <w:tcPr>
            <w:tcW w:w="1040" w:type="dxa"/>
            <w:vAlign w:val="bottom"/>
            <w:tcBorders>
              <w:right w:val="single" w:sz="8" w:color="D9D9D9"/>
            </w:tcBorders>
            <w:shd w:val="clear" w:color="auto" w:fill="D9D9D9"/>
          </w:tcPr>
          <w:p>
            <w:pPr>
              <w:jc w:val="center"/>
              <w:ind w:right="126"/>
              <w:spacing w:after="0"/>
              <w:rPr>
                <w:sz w:val="20"/>
                <w:szCs w:val="20"/>
                <w:color w:val="auto"/>
              </w:rPr>
            </w:pPr>
            <w:r>
              <w:rPr>
                <w:rFonts w:ascii="Arial" w:cs="Arial" w:eastAsia="Arial" w:hAnsi="Arial"/>
                <w:sz w:val="14"/>
                <w:szCs w:val="14"/>
                <w:color w:val="auto"/>
              </w:rPr>
              <w:t>2006</w:t>
            </w:r>
          </w:p>
        </w:tc>
        <w:tc>
          <w:tcPr>
            <w:tcW w:w="80" w:type="dxa"/>
            <w:vAlign w:val="bottom"/>
            <w:tcBorders>
              <w:right w:val="single" w:sz="8" w:color="D9D9D9"/>
            </w:tcBorders>
            <w:shd w:val="clear" w:color="auto" w:fill="D9D9D9"/>
          </w:tcPr>
          <w:p>
            <w:pPr>
              <w:spacing w:after="0"/>
              <w:rPr>
                <w:sz w:val="14"/>
                <w:szCs w:val="14"/>
                <w:color w:val="auto"/>
              </w:rPr>
            </w:pPr>
          </w:p>
        </w:tc>
        <w:tc>
          <w:tcPr>
            <w:tcW w:w="1060" w:type="dxa"/>
            <w:vAlign w:val="bottom"/>
            <w:shd w:val="clear" w:color="auto" w:fill="D9D9D9"/>
          </w:tcPr>
          <w:p>
            <w:pPr>
              <w:jc w:val="center"/>
              <w:ind w:right="166"/>
              <w:spacing w:after="0"/>
              <w:rPr>
                <w:sz w:val="20"/>
                <w:szCs w:val="20"/>
                <w:color w:val="auto"/>
              </w:rPr>
            </w:pPr>
            <w:r>
              <w:rPr>
                <w:rFonts w:ascii="Arial" w:cs="Arial" w:eastAsia="Arial" w:hAnsi="Arial"/>
                <w:sz w:val="14"/>
                <w:szCs w:val="14"/>
                <w:color w:val="auto"/>
                <w:w w:val="90"/>
              </w:rPr>
              <w:t>Yes</w:t>
            </w:r>
          </w:p>
        </w:tc>
        <w:tc>
          <w:tcPr>
            <w:tcW w:w="120" w:type="dxa"/>
            <w:vAlign w:val="bottom"/>
            <w:tcBorders>
              <w:right w:val="single" w:sz="8" w:color="D9D9D9"/>
            </w:tcBorders>
            <w:shd w:val="clear" w:color="auto" w:fill="D9D9D9"/>
          </w:tcPr>
          <w:p>
            <w:pPr>
              <w:spacing w:after="0"/>
              <w:rPr>
                <w:sz w:val="14"/>
                <w:szCs w:val="14"/>
                <w:color w:val="auto"/>
              </w:rPr>
            </w:pPr>
          </w:p>
        </w:tc>
        <w:tc>
          <w:tcPr>
            <w:tcW w:w="120" w:type="dxa"/>
            <w:vAlign w:val="bottom"/>
            <w:tcBorders>
              <w:right w:val="single" w:sz="8" w:color="D9D9D9"/>
            </w:tcBorders>
            <w:shd w:val="clear" w:color="auto" w:fill="D9D9D9"/>
          </w:tcPr>
          <w:p>
            <w:pPr>
              <w:spacing w:after="0"/>
              <w:rPr>
                <w:sz w:val="14"/>
                <w:szCs w:val="14"/>
                <w:color w:val="auto"/>
              </w:rPr>
            </w:pPr>
          </w:p>
        </w:tc>
        <w:tc>
          <w:tcPr>
            <w:tcW w:w="440" w:type="dxa"/>
            <w:vAlign w:val="bottom"/>
            <w:vMerge w:val="continue"/>
            <w:shd w:val="clear" w:color="auto" w:fill="D9D9D9"/>
          </w:tcPr>
          <w:p>
            <w:pPr>
              <w:spacing w:after="0"/>
              <w:rPr>
                <w:sz w:val="14"/>
                <w:szCs w:val="14"/>
                <w:color w:val="auto"/>
              </w:rPr>
            </w:pPr>
          </w:p>
        </w:tc>
        <w:tc>
          <w:tcPr>
            <w:tcW w:w="300" w:type="dxa"/>
            <w:vAlign w:val="bottom"/>
            <w:vMerge w:val="continue"/>
            <w:shd w:val="clear" w:color="auto" w:fill="D9D9D9"/>
          </w:tcPr>
          <w:p>
            <w:pPr>
              <w:spacing w:after="0"/>
              <w:rPr>
                <w:sz w:val="14"/>
                <w:szCs w:val="14"/>
                <w:color w:val="auto"/>
              </w:rPr>
            </w:pPr>
          </w:p>
        </w:tc>
        <w:tc>
          <w:tcPr>
            <w:tcW w:w="820" w:type="dxa"/>
            <w:vAlign w:val="bottom"/>
            <w:tcBorders>
              <w:right w:val="single" w:sz="8" w:color="D9D9D9"/>
            </w:tcBorders>
            <w:shd w:val="clear" w:color="auto" w:fill="D9D9D9"/>
          </w:tcPr>
          <w:p>
            <w:pPr>
              <w:spacing w:after="0"/>
              <w:rPr>
                <w:sz w:val="14"/>
                <w:szCs w:val="14"/>
                <w:color w:val="auto"/>
              </w:rPr>
            </w:pPr>
          </w:p>
        </w:tc>
        <w:tc>
          <w:tcPr>
            <w:tcW w:w="960" w:type="dxa"/>
            <w:vAlign w:val="bottom"/>
            <w:shd w:val="clear" w:color="auto" w:fill="D9D9D9"/>
          </w:tcPr>
          <w:p>
            <w:pPr>
              <w:spacing w:after="0"/>
              <w:rPr>
                <w:sz w:val="14"/>
                <w:szCs w:val="14"/>
                <w:color w:val="auto"/>
              </w:rPr>
            </w:pPr>
          </w:p>
        </w:tc>
        <w:tc>
          <w:tcPr>
            <w:tcW w:w="760" w:type="dxa"/>
            <w:vAlign w:val="bottom"/>
            <w:tcBorders>
              <w:right w:val="single" w:sz="8" w:color="D9D9D9"/>
            </w:tcBorders>
            <w:shd w:val="clear" w:color="auto" w:fill="D9D9D9"/>
          </w:tcPr>
          <w:p>
            <w:pPr>
              <w:jc w:val="right"/>
              <w:ind w:right="328"/>
              <w:spacing w:after="0"/>
              <w:rPr>
                <w:sz w:val="20"/>
                <w:szCs w:val="20"/>
                <w:color w:val="auto"/>
              </w:rPr>
            </w:pPr>
            <w:r>
              <w:rPr>
                <w:rFonts w:ascii="Arial" w:cs="Arial" w:eastAsia="Arial" w:hAnsi="Arial"/>
                <w:sz w:val="14"/>
                <w:szCs w:val="14"/>
                <w:color w:val="C00000"/>
              </w:rPr>
              <w:t>1</w:t>
            </w:r>
          </w:p>
        </w:tc>
        <w:tc>
          <w:tcPr>
            <w:tcW w:w="86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540" w:type="dxa"/>
            <w:vAlign w:val="bottom"/>
            <w:gridSpan w:val="3"/>
            <w:shd w:val="clear" w:color="auto" w:fill="D9D9D9"/>
          </w:tcPr>
          <w:p>
            <w:pPr>
              <w:ind w:left="140"/>
              <w:spacing w:after="0"/>
              <w:rPr>
                <w:sz w:val="20"/>
                <w:szCs w:val="20"/>
                <w:color w:val="auto"/>
              </w:rPr>
            </w:pPr>
            <w:r>
              <w:rPr>
                <w:rFonts w:ascii="Arial" w:cs="Arial" w:eastAsia="Arial" w:hAnsi="Arial"/>
                <w:sz w:val="14"/>
                <w:szCs w:val="14"/>
                <w:color w:val="auto"/>
              </w:rPr>
              <w:t>Medtronic plc</w:t>
            </w:r>
          </w:p>
        </w:tc>
        <w:tc>
          <w:tcPr>
            <w:tcW w:w="1060" w:type="dxa"/>
            <w:vAlign w:val="bottom"/>
            <w:tcBorders>
              <w:right w:val="single" w:sz="8" w:color="D9D9D9"/>
            </w:tcBorders>
            <w:shd w:val="clear" w:color="auto" w:fill="D9D9D9"/>
          </w:tcPr>
          <w:p>
            <w:pPr>
              <w:spacing w:after="0"/>
              <w:rPr>
                <w:sz w:val="18"/>
                <w:szCs w:val="18"/>
                <w:color w:val="auto"/>
              </w:rPr>
            </w:pPr>
          </w:p>
        </w:tc>
        <w:tc>
          <w:tcPr>
            <w:tcW w:w="1420" w:type="dxa"/>
            <w:vAlign w:val="bottom"/>
            <w:tcBorders>
              <w:right w:val="single" w:sz="8" w:color="D9D9D9"/>
            </w:tcBorders>
            <w:shd w:val="clear" w:color="auto" w:fill="D9D9D9"/>
          </w:tcPr>
          <w:p>
            <w:pPr>
              <w:spacing w:after="0"/>
              <w:rPr>
                <w:sz w:val="18"/>
                <w:szCs w:val="18"/>
                <w:color w:val="auto"/>
              </w:rPr>
            </w:pPr>
          </w:p>
        </w:tc>
        <w:tc>
          <w:tcPr>
            <w:tcW w:w="100" w:type="dxa"/>
            <w:vAlign w:val="bottom"/>
            <w:tcBorders>
              <w:right w:val="single" w:sz="8" w:color="D9D9D9"/>
            </w:tcBorders>
            <w:shd w:val="clear" w:color="auto" w:fill="D9D9D9"/>
          </w:tcPr>
          <w:p>
            <w:pPr>
              <w:spacing w:after="0"/>
              <w:rPr>
                <w:sz w:val="18"/>
                <w:szCs w:val="18"/>
                <w:color w:val="auto"/>
              </w:rPr>
            </w:pPr>
          </w:p>
        </w:tc>
        <w:tc>
          <w:tcPr>
            <w:tcW w:w="580" w:type="dxa"/>
            <w:vAlign w:val="bottom"/>
            <w:shd w:val="clear" w:color="auto" w:fill="D9D9D9"/>
          </w:tcPr>
          <w:p>
            <w:pPr>
              <w:spacing w:after="0"/>
              <w:rPr>
                <w:sz w:val="18"/>
                <w:szCs w:val="18"/>
                <w:color w:val="auto"/>
              </w:rPr>
            </w:pPr>
          </w:p>
        </w:tc>
        <w:tc>
          <w:tcPr>
            <w:tcW w:w="1040" w:type="dxa"/>
            <w:vAlign w:val="bottom"/>
            <w:tcBorders>
              <w:right w:val="single" w:sz="8" w:color="D9D9D9"/>
            </w:tcBorders>
            <w:shd w:val="clear" w:color="auto" w:fill="D9D9D9"/>
          </w:tcPr>
          <w:p>
            <w:pPr>
              <w:spacing w:after="0"/>
              <w:rPr>
                <w:sz w:val="18"/>
                <w:szCs w:val="18"/>
                <w:color w:val="auto"/>
              </w:rPr>
            </w:pPr>
          </w:p>
        </w:tc>
        <w:tc>
          <w:tcPr>
            <w:tcW w:w="80" w:type="dxa"/>
            <w:vAlign w:val="bottom"/>
            <w:tcBorders>
              <w:right w:val="single" w:sz="8" w:color="D9D9D9"/>
            </w:tcBorders>
            <w:shd w:val="clear" w:color="auto" w:fill="D9D9D9"/>
          </w:tcPr>
          <w:p>
            <w:pPr>
              <w:spacing w:after="0"/>
              <w:rPr>
                <w:sz w:val="18"/>
                <w:szCs w:val="18"/>
                <w:color w:val="auto"/>
              </w:rPr>
            </w:pPr>
          </w:p>
        </w:tc>
        <w:tc>
          <w:tcPr>
            <w:tcW w:w="1060" w:type="dxa"/>
            <w:vAlign w:val="bottom"/>
            <w:shd w:val="clear" w:color="auto" w:fill="D9D9D9"/>
          </w:tcPr>
          <w:p>
            <w:pPr>
              <w:spacing w:after="0"/>
              <w:rPr>
                <w:sz w:val="18"/>
                <w:szCs w:val="18"/>
                <w:color w:val="auto"/>
              </w:rPr>
            </w:pPr>
          </w:p>
        </w:tc>
        <w:tc>
          <w:tcPr>
            <w:tcW w:w="120" w:type="dxa"/>
            <w:vAlign w:val="bottom"/>
            <w:tcBorders>
              <w:right w:val="single" w:sz="8" w:color="D9D9D9"/>
            </w:tcBorders>
            <w:shd w:val="clear" w:color="auto" w:fill="D9D9D9"/>
          </w:tcPr>
          <w:p>
            <w:pPr>
              <w:spacing w:after="0"/>
              <w:rPr>
                <w:sz w:val="18"/>
                <w:szCs w:val="18"/>
                <w:color w:val="auto"/>
              </w:rPr>
            </w:pPr>
          </w:p>
        </w:tc>
        <w:tc>
          <w:tcPr>
            <w:tcW w:w="120" w:type="dxa"/>
            <w:vAlign w:val="bottom"/>
            <w:tcBorders>
              <w:right w:val="single" w:sz="8" w:color="D9D9D9"/>
            </w:tcBorders>
            <w:shd w:val="clear" w:color="auto" w:fill="D9D9D9"/>
          </w:tcPr>
          <w:p>
            <w:pPr>
              <w:spacing w:after="0"/>
              <w:rPr>
                <w:sz w:val="18"/>
                <w:szCs w:val="18"/>
                <w:color w:val="auto"/>
              </w:rPr>
            </w:pPr>
          </w:p>
        </w:tc>
        <w:tc>
          <w:tcPr>
            <w:tcW w:w="440" w:type="dxa"/>
            <w:vAlign w:val="bottom"/>
            <w:shd w:val="clear" w:color="auto" w:fill="D9D9D9"/>
          </w:tcPr>
          <w:p>
            <w:pPr>
              <w:spacing w:after="0"/>
              <w:rPr>
                <w:sz w:val="20"/>
                <w:szCs w:val="20"/>
                <w:color w:val="auto"/>
              </w:rPr>
            </w:pPr>
            <w:r>
              <w:rPr>
                <w:rFonts w:ascii="Arial" w:cs="Arial" w:eastAsia="Arial" w:hAnsi="Arial"/>
                <w:sz w:val="14"/>
                <w:szCs w:val="14"/>
                <w:b w:val="1"/>
                <w:bCs w:val="1"/>
                <w:color w:val="C00000"/>
              </w:rPr>
              <w:t>E</w:t>
            </w:r>
          </w:p>
        </w:tc>
        <w:tc>
          <w:tcPr>
            <w:tcW w:w="300" w:type="dxa"/>
            <w:vAlign w:val="bottom"/>
            <w:shd w:val="clear" w:color="auto" w:fill="D9D9D9"/>
          </w:tcPr>
          <w:p>
            <w:pPr>
              <w:spacing w:after="0"/>
              <w:rPr>
                <w:sz w:val="18"/>
                <w:szCs w:val="18"/>
                <w:color w:val="auto"/>
              </w:rPr>
            </w:pPr>
          </w:p>
        </w:tc>
        <w:tc>
          <w:tcPr>
            <w:tcW w:w="820" w:type="dxa"/>
            <w:vAlign w:val="bottom"/>
            <w:tcBorders>
              <w:right w:val="single" w:sz="8" w:color="D9D9D9"/>
            </w:tcBorders>
            <w:shd w:val="clear" w:color="auto" w:fill="D9D9D9"/>
          </w:tcPr>
          <w:p>
            <w:pPr>
              <w:spacing w:after="0"/>
              <w:rPr>
                <w:sz w:val="18"/>
                <w:szCs w:val="18"/>
                <w:color w:val="auto"/>
              </w:rPr>
            </w:pPr>
          </w:p>
        </w:tc>
        <w:tc>
          <w:tcPr>
            <w:tcW w:w="960" w:type="dxa"/>
            <w:vAlign w:val="bottom"/>
            <w:shd w:val="clear" w:color="auto" w:fill="D9D9D9"/>
          </w:tcPr>
          <w:p>
            <w:pPr>
              <w:spacing w:after="0"/>
              <w:rPr>
                <w:sz w:val="18"/>
                <w:szCs w:val="18"/>
                <w:color w:val="auto"/>
              </w:rPr>
            </w:pPr>
          </w:p>
        </w:tc>
        <w:tc>
          <w:tcPr>
            <w:tcW w:w="760" w:type="dxa"/>
            <w:vAlign w:val="bottom"/>
            <w:tcBorders>
              <w:right w:val="single" w:sz="8" w:color="D9D9D9"/>
            </w:tcBorders>
            <w:shd w:val="clear" w:color="auto" w:fill="D9D9D9"/>
          </w:tcPr>
          <w:p>
            <w:pPr>
              <w:spacing w:after="0"/>
              <w:rPr>
                <w:sz w:val="18"/>
                <w:szCs w:val="18"/>
                <w:color w:val="auto"/>
              </w:rPr>
            </w:pPr>
          </w:p>
        </w:tc>
        <w:tc>
          <w:tcPr>
            <w:tcW w:w="860" w:type="dxa"/>
            <w:vAlign w:val="bottom"/>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540" w:type="dxa"/>
            <w:vAlign w:val="bottom"/>
            <w:gridSpan w:val="3"/>
          </w:tcPr>
          <w:p>
            <w:pPr>
              <w:spacing w:after="0"/>
              <w:rPr>
                <w:sz w:val="20"/>
                <w:szCs w:val="20"/>
                <w:color w:val="auto"/>
              </w:rPr>
            </w:pPr>
            <w:r>
              <w:rPr>
                <w:rFonts w:ascii="Arial" w:cs="Arial" w:eastAsia="Arial" w:hAnsi="Arial"/>
                <w:sz w:val="14"/>
                <w:szCs w:val="14"/>
                <w:b w:val="1"/>
                <w:bCs w:val="1"/>
                <w:color w:val="C00000"/>
              </w:rPr>
              <w:t>Jeffrey L. Harmening</w:t>
            </w:r>
          </w:p>
        </w:tc>
        <w:tc>
          <w:tcPr>
            <w:tcW w:w="10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vMerge w:val="restart"/>
          </w:tcPr>
          <w:p>
            <w:pPr>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20" w:type="dxa"/>
            <w:vAlign w:val="bottom"/>
            <w:gridSpan w:val="5"/>
          </w:tcPr>
          <w:p>
            <w:pPr>
              <w:ind w:left="140"/>
              <w:spacing w:after="0"/>
              <w:rPr>
                <w:sz w:val="20"/>
                <w:szCs w:val="20"/>
                <w:color w:val="auto"/>
              </w:rPr>
            </w:pPr>
            <w:r>
              <w:rPr>
                <w:rFonts w:ascii="Arial" w:cs="Arial" w:eastAsia="Arial" w:hAnsi="Arial"/>
                <w:sz w:val="14"/>
                <w:szCs w:val="14"/>
                <w:color w:val="auto"/>
              </w:rPr>
              <w:t>Chairman and Chief Executive Officer,</w:t>
            </w:r>
          </w:p>
        </w:tc>
        <w:tc>
          <w:tcPr>
            <w:tcW w:w="680" w:type="dxa"/>
            <w:vAlign w:val="bottom"/>
            <w:gridSpan w:val="2"/>
          </w:tcPr>
          <w:p>
            <w:pPr>
              <w:jc w:val="center"/>
              <w:ind w:left="5"/>
              <w:spacing w:after="0"/>
              <w:rPr>
                <w:sz w:val="20"/>
                <w:szCs w:val="20"/>
                <w:color w:val="auto"/>
              </w:rPr>
            </w:pPr>
            <w:r>
              <w:rPr>
                <w:rFonts w:ascii="Arial" w:cs="Arial" w:eastAsia="Arial" w:hAnsi="Arial"/>
                <w:sz w:val="14"/>
                <w:szCs w:val="14"/>
                <w:color w:val="auto"/>
              </w:rPr>
              <w:t>56</w:t>
            </w:r>
          </w:p>
        </w:tc>
        <w:tc>
          <w:tcPr>
            <w:tcW w:w="1040" w:type="dxa"/>
            <w:vAlign w:val="bottom"/>
          </w:tcPr>
          <w:p>
            <w:pPr>
              <w:jc w:val="center"/>
              <w:ind w:right="126"/>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4"/>
                <w:szCs w:val="14"/>
                <w:color w:val="auto"/>
              </w:rPr>
            </w:pPr>
          </w:p>
        </w:tc>
        <w:tc>
          <w:tcPr>
            <w:tcW w:w="1060" w:type="dxa"/>
            <w:vAlign w:val="bottom"/>
          </w:tcPr>
          <w:p>
            <w:pPr>
              <w:jc w:val="center"/>
              <w:ind w:right="166"/>
              <w:spacing w:after="0"/>
              <w:rPr>
                <w:sz w:val="20"/>
                <w:szCs w:val="20"/>
                <w:color w:val="auto"/>
              </w:rPr>
            </w:pPr>
            <w:r>
              <w:rPr>
                <w:rFonts w:ascii="Arial" w:cs="Arial" w:eastAsia="Arial" w:hAnsi="Arial"/>
                <w:sz w:val="14"/>
                <w:szCs w:val="14"/>
                <w:color w:val="auto"/>
                <w:w w:val="90"/>
              </w:rPr>
              <w:t>Yes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00" w:type="dxa"/>
            <w:vAlign w:val="bottom"/>
          </w:tcPr>
          <w:p>
            <w:pPr>
              <w:ind w:left="160"/>
              <w:spacing w:after="0"/>
              <w:rPr>
                <w:sz w:val="20"/>
                <w:szCs w:val="20"/>
                <w:color w:val="auto"/>
              </w:rPr>
            </w:pPr>
            <w:r>
              <w:rPr>
                <w:rFonts w:ascii="Arial" w:cs="Arial" w:eastAsia="Arial" w:hAnsi="Arial"/>
                <w:sz w:val="14"/>
                <w:szCs w:val="14"/>
                <w:b w:val="1"/>
                <w:bCs w:val="1"/>
                <w:color w:val="C00000"/>
              </w:rPr>
              <w:t>C</w:t>
            </w: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jc w:val="right"/>
              <w:ind w:right="328"/>
              <w:spacing w:after="0"/>
              <w:rPr>
                <w:sz w:val="20"/>
                <w:szCs w:val="20"/>
                <w:color w:val="auto"/>
              </w:rPr>
            </w:pPr>
            <w:r>
              <w:rPr>
                <w:rFonts w:ascii="Arial" w:cs="Arial" w:eastAsia="Arial" w:hAnsi="Arial"/>
                <w:sz w:val="14"/>
                <w:szCs w:val="14"/>
                <w:color w:val="C00000"/>
              </w:rPr>
              <w:t>1</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40" w:type="dxa"/>
            <w:vAlign w:val="bottom"/>
            <w:gridSpan w:val="3"/>
          </w:tcPr>
          <w:p>
            <w:pPr>
              <w:ind w:left="140"/>
              <w:spacing w:after="0"/>
              <w:rPr>
                <w:sz w:val="20"/>
                <w:szCs w:val="20"/>
                <w:color w:val="auto"/>
              </w:rPr>
            </w:pPr>
            <w:r>
              <w:rPr>
                <w:rFonts w:ascii="Arial" w:cs="Arial" w:eastAsia="Arial" w:hAnsi="Arial"/>
                <w:sz w:val="14"/>
                <w:szCs w:val="14"/>
                <w:color w:val="auto"/>
              </w:rPr>
              <w:t>General Mills, Inc.</w:t>
            </w: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40" w:type="dxa"/>
            <w:vAlign w:val="bottom"/>
            <w:gridSpan w:val="3"/>
            <w:shd w:val="clear" w:color="auto" w:fill="D9D9D9"/>
          </w:tcPr>
          <w:p>
            <w:pPr>
              <w:spacing w:after="0"/>
              <w:rPr>
                <w:sz w:val="20"/>
                <w:szCs w:val="20"/>
                <w:color w:val="auto"/>
              </w:rPr>
            </w:pPr>
            <w:r>
              <w:rPr>
                <w:rFonts w:ascii="Arial" w:cs="Arial" w:eastAsia="Arial" w:hAnsi="Arial"/>
                <w:sz w:val="14"/>
                <w:szCs w:val="14"/>
                <w:b w:val="1"/>
                <w:bCs w:val="1"/>
                <w:color w:val="C00000"/>
              </w:rPr>
              <w:t>Joyce A. Mullen</w:t>
            </w:r>
          </w:p>
        </w:tc>
        <w:tc>
          <w:tcPr>
            <w:tcW w:w="1060" w:type="dxa"/>
            <w:vAlign w:val="bottom"/>
            <w:tcBorders>
              <w:right w:val="single" w:sz="8" w:color="D9D9D9"/>
            </w:tcBorders>
            <w:shd w:val="clear" w:color="auto" w:fill="D9D9D9"/>
          </w:tcPr>
          <w:p>
            <w:pPr>
              <w:spacing w:after="0"/>
              <w:rPr>
                <w:sz w:val="15"/>
                <w:szCs w:val="15"/>
                <w:color w:val="auto"/>
              </w:rPr>
            </w:pPr>
          </w:p>
        </w:tc>
        <w:tc>
          <w:tcPr>
            <w:tcW w:w="1420" w:type="dxa"/>
            <w:vAlign w:val="bottom"/>
            <w:tcBorders>
              <w:right w:val="single" w:sz="8" w:color="D9D9D9"/>
            </w:tcBorders>
            <w:shd w:val="clear" w:color="auto" w:fill="D9D9D9"/>
          </w:tcPr>
          <w:p>
            <w:pPr>
              <w:spacing w:after="0"/>
              <w:rPr>
                <w:sz w:val="15"/>
                <w:szCs w:val="15"/>
                <w:color w:val="auto"/>
              </w:rPr>
            </w:pPr>
          </w:p>
        </w:tc>
        <w:tc>
          <w:tcPr>
            <w:tcW w:w="100" w:type="dxa"/>
            <w:vAlign w:val="bottom"/>
            <w:tcBorders>
              <w:right w:val="single" w:sz="8" w:color="D9D9D9"/>
            </w:tcBorders>
            <w:shd w:val="clear" w:color="auto" w:fill="D9D9D9"/>
          </w:tcPr>
          <w:p>
            <w:pPr>
              <w:spacing w:after="0"/>
              <w:rPr>
                <w:sz w:val="15"/>
                <w:szCs w:val="15"/>
                <w:color w:val="auto"/>
              </w:rPr>
            </w:pPr>
          </w:p>
        </w:tc>
        <w:tc>
          <w:tcPr>
            <w:tcW w:w="580" w:type="dxa"/>
            <w:vAlign w:val="bottom"/>
            <w:shd w:val="clear" w:color="auto" w:fill="D9D9D9"/>
          </w:tcPr>
          <w:p>
            <w:pPr>
              <w:spacing w:after="0"/>
              <w:rPr>
                <w:sz w:val="15"/>
                <w:szCs w:val="15"/>
                <w:color w:val="auto"/>
              </w:rPr>
            </w:pPr>
          </w:p>
        </w:tc>
        <w:tc>
          <w:tcPr>
            <w:tcW w:w="1040" w:type="dxa"/>
            <w:vAlign w:val="bottom"/>
            <w:tcBorders>
              <w:right w:val="single" w:sz="8" w:color="D9D9D9"/>
            </w:tcBorders>
            <w:shd w:val="clear" w:color="auto" w:fill="D9D9D9"/>
          </w:tcPr>
          <w:p>
            <w:pPr>
              <w:spacing w:after="0"/>
              <w:rPr>
                <w:sz w:val="15"/>
                <w:szCs w:val="15"/>
                <w:color w:val="auto"/>
              </w:rPr>
            </w:pPr>
          </w:p>
        </w:tc>
        <w:tc>
          <w:tcPr>
            <w:tcW w:w="80" w:type="dxa"/>
            <w:vAlign w:val="bottom"/>
            <w:tcBorders>
              <w:right w:val="single" w:sz="8" w:color="D9D9D9"/>
            </w:tcBorders>
            <w:shd w:val="clear" w:color="auto" w:fill="D9D9D9"/>
          </w:tcPr>
          <w:p>
            <w:pPr>
              <w:spacing w:after="0"/>
              <w:rPr>
                <w:sz w:val="15"/>
                <w:szCs w:val="15"/>
                <w:color w:val="auto"/>
              </w:rPr>
            </w:pPr>
          </w:p>
        </w:tc>
        <w:tc>
          <w:tcPr>
            <w:tcW w:w="1060" w:type="dxa"/>
            <w:vAlign w:val="bottom"/>
            <w:shd w:val="clear" w:color="auto" w:fill="D9D9D9"/>
          </w:tcPr>
          <w:p>
            <w:pPr>
              <w:spacing w:after="0"/>
              <w:rPr>
                <w:sz w:val="15"/>
                <w:szCs w:val="15"/>
                <w:color w:val="auto"/>
              </w:rPr>
            </w:pPr>
          </w:p>
        </w:tc>
        <w:tc>
          <w:tcPr>
            <w:tcW w:w="120" w:type="dxa"/>
            <w:vAlign w:val="bottom"/>
            <w:tcBorders>
              <w:right w:val="single" w:sz="8" w:color="D9D9D9"/>
            </w:tcBorders>
            <w:shd w:val="clear" w:color="auto" w:fill="D9D9D9"/>
          </w:tcPr>
          <w:p>
            <w:pPr>
              <w:spacing w:after="0"/>
              <w:rPr>
                <w:sz w:val="15"/>
                <w:szCs w:val="15"/>
                <w:color w:val="auto"/>
              </w:rPr>
            </w:pPr>
          </w:p>
        </w:tc>
        <w:tc>
          <w:tcPr>
            <w:tcW w:w="120" w:type="dxa"/>
            <w:vAlign w:val="bottom"/>
            <w:tcBorders>
              <w:right w:val="single" w:sz="8" w:color="D9D9D9"/>
            </w:tcBorders>
            <w:shd w:val="clear" w:color="auto" w:fill="D9D9D9"/>
          </w:tcPr>
          <w:p>
            <w:pPr>
              <w:spacing w:after="0"/>
              <w:rPr>
                <w:sz w:val="15"/>
                <w:szCs w:val="15"/>
                <w:color w:val="auto"/>
              </w:rPr>
            </w:pPr>
          </w:p>
        </w:tc>
        <w:tc>
          <w:tcPr>
            <w:tcW w:w="440" w:type="dxa"/>
            <w:vAlign w:val="bottom"/>
            <w:shd w:val="clear" w:color="auto" w:fill="D9D9D9"/>
          </w:tcPr>
          <w:p>
            <w:pPr>
              <w:spacing w:after="0"/>
              <w:rPr>
                <w:sz w:val="15"/>
                <w:szCs w:val="15"/>
                <w:color w:val="auto"/>
              </w:rPr>
            </w:pPr>
          </w:p>
        </w:tc>
        <w:tc>
          <w:tcPr>
            <w:tcW w:w="300" w:type="dxa"/>
            <w:vAlign w:val="bottom"/>
            <w:shd w:val="clear" w:color="auto" w:fill="D9D9D9"/>
          </w:tcPr>
          <w:p>
            <w:pPr>
              <w:spacing w:after="0"/>
              <w:rPr>
                <w:sz w:val="15"/>
                <w:szCs w:val="15"/>
                <w:color w:val="auto"/>
              </w:rPr>
            </w:pPr>
          </w:p>
        </w:tc>
        <w:tc>
          <w:tcPr>
            <w:tcW w:w="820" w:type="dxa"/>
            <w:vAlign w:val="bottom"/>
            <w:tcBorders>
              <w:right w:val="single" w:sz="8" w:color="D9D9D9"/>
            </w:tcBorders>
            <w:vMerge w:val="restart"/>
            <w:shd w:val="clear" w:color="auto" w:fill="D9D9D9"/>
          </w:tcPr>
          <w:p>
            <w:pPr>
              <w:ind w:left="52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960" w:type="dxa"/>
            <w:vAlign w:val="bottom"/>
            <w:vMerge w:val="restart"/>
            <w:shd w:val="clear" w:color="auto" w:fill="D9D9D9"/>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C00000"/>
              </w:rPr>
              <w:t>✓</w:t>
            </w:r>
          </w:p>
        </w:tc>
        <w:tc>
          <w:tcPr>
            <w:tcW w:w="760" w:type="dxa"/>
            <w:vAlign w:val="bottom"/>
            <w:tcBorders>
              <w:right w:val="single" w:sz="8" w:color="D9D9D9"/>
            </w:tcBorders>
            <w:shd w:val="clear" w:color="auto" w:fill="D9D9D9"/>
          </w:tcPr>
          <w:p>
            <w:pPr>
              <w:spacing w:after="0"/>
              <w:rPr>
                <w:sz w:val="15"/>
                <w:szCs w:val="15"/>
                <w:color w:val="auto"/>
              </w:rPr>
            </w:pPr>
          </w:p>
        </w:tc>
        <w:tc>
          <w:tcPr>
            <w:tcW w:w="860" w:type="dxa"/>
            <w:vAlign w:val="bottom"/>
            <w:vMerge w:val="restart"/>
            <w:shd w:val="clear" w:color="auto" w:fill="D9D9D9"/>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0" w:type="dxa"/>
            <w:vAlign w:val="bottom"/>
          </w:tcPr>
          <w:p>
            <w:pPr>
              <w:spacing w:after="0"/>
              <w:rPr>
                <w:sz w:val="1"/>
                <w:szCs w:val="1"/>
                <w:color w:val="auto"/>
              </w:rPr>
            </w:pPr>
          </w:p>
        </w:tc>
      </w:tr>
      <w:tr>
        <w:trPr>
          <w:trHeight w:val="166"/>
        </w:trPr>
        <w:tc>
          <w:tcPr>
            <w:tcW w:w="4020" w:type="dxa"/>
            <w:vAlign w:val="bottom"/>
            <w:tcBorders>
              <w:right w:val="single" w:sz="8" w:color="D9D9D9"/>
            </w:tcBorders>
            <w:gridSpan w:val="5"/>
            <w:shd w:val="clear" w:color="auto" w:fill="D9D9D9"/>
          </w:tcPr>
          <w:p>
            <w:pPr>
              <w:ind w:left="140"/>
              <w:spacing w:after="0"/>
              <w:rPr>
                <w:sz w:val="20"/>
                <w:szCs w:val="20"/>
                <w:color w:val="auto"/>
              </w:rPr>
            </w:pPr>
            <w:r>
              <w:rPr>
                <w:rFonts w:ascii="Arial" w:cs="Arial" w:eastAsia="Arial" w:hAnsi="Arial"/>
                <w:sz w:val="14"/>
                <w:szCs w:val="14"/>
                <w:color w:val="auto"/>
              </w:rPr>
              <w:t>President and Chief Executive Officer,</w:t>
            </w:r>
          </w:p>
        </w:tc>
        <w:tc>
          <w:tcPr>
            <w:tcW w:w="100" w:type="dxa"/>
            <w:vAlign w:val="bottom"/>
            <w:tcBorders>
              <w:right w:val="single" w:sz="8" w:color="D9D9D9"/>
            </w:tcBorders>
            <w:shd w:val="clear" w:color="auto" w:fill="D9D9D9"/>
          </w:tcPr>
          <w:p>
            <w:pPr>
              <w:spacing w:after="0"/>
              <w:rPr>
                <w:sz w:val="14"/>
                <w:szCs w:val="14"/>
                <w:color w:val="auto"/>
              </w:rPr>
            </w:pPr>
          </w:p>
        </w:tc>
        <w:tc>
          <w:tcPr>
            <w:tcW w:w="5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60</w:t>
            </w:r>
          </w:p>
        </w:tc>
        <w:tc>
          <w:tcPr>
            <w:tcW w:w="1040" w:type="dxa"/>
            <w:vAlign w:val="bottom"/>
            <w:tcBorders>
              <w:right w:val="single" w:sz="8" w:color="D9D9D9"/>
            </w:tcBorders>
            <w:shd w:val="clear" w:color="auto" w:fill="D9D9D9"/>
          </w:tcPr>
          <w:p>
            <w:pPr>
              <w:jc w:val="center"/>
              <w:ind w:right="126"/>
              <w:spacing w:after="0"/>
              <w:rPr>
                <w:sz w:val="20"/>
                <w:szCs w:val="20"/>
                <w:color w:val="auto"/>
              </w:rPr>
            </w:pPr>
            <w:r>
              <w:rPr>
                <w:rFonts w:ascii="Arial" w:cs="Arial" w:eastAsia="Arial" w:hAnsi="Arial"/>
                <w:sz w:val="14"/>
                <w:szCs w:val="14"/>
                <w:color w:val="auto"/>
              </w:rPr>
              <w:t>2019</w:t>
            </w:r>
          </w:p>
        </w:tc>
        <w:tc>
          <w:tcPr>
            <w:tcW w:w="80" w:type="dxa"/>
            <w:vAlign w:val="bottom"/>
            <w:tcBorders>
              <w:right w:val="single" w:sz="8" w:color="D9D9D9"/>
            </w:tcBorders>
            <w:shd w:val="clear" w:color="auto" w:fill="D9D9D9"/>
          </w:tcPr>
          <w:p>
            <w:pPr>
              <w:spacing w:after="0"/>
              <w:rPr>
                <w:sz w:val="14"/>
                <w:szCs w:val="14"/>
                <w:color w:val="auto"/>
              </w:rPr>
            </w:pPr>
          </w:p>
        </w:tc>
        <w:tc>
          <w:tcPr>
            <w:tcW w:w="1060" w:type="dxa"/>
            <w:vAlign w:val="bottom"/>
            <w:shd w:val="clear" w:color="auto" w:fill="D9D9D9"/>
          </w:tcPr>
          <w:p>
            <w:pPr>
              <w:jc w:val="center"/>
              <w:ind w:right="166"/>
              <w:spacing w:after="0"/>
              <w:rPr>
                <w:sz w:val="20"/>
                <w:szCs w:val="20"/>
                <w:color w:val="auto"/>
              </w:rPr>
            </w:pPr>
            <w:r>
              <w:rPr>
                <w:rFonts w:ascii="Arial" w:cs="Arial" w:eastAsia="Arial" w:hAnsi="Arial"/>
                <w:sz w:val="14"/>
                <w:szCs w:val="14"/>
                <w:color w:val="auto"/>
                <w:w w:val="90"/>
              </w:rPr>
              <w:t>Yes</w:t>
            </w:r>
          </w:p>
        </w:tc>
        <w:tc>
          <w:tcPr>
            <w:tcW w:w="120" w:type="dxa"/>
            <w:vAlign w:val="bottom"/>
            <w:tcBorders>
              <w:right w:val="single" w:sz="8" w:color="D9D9D9"/>
            </w:tcBorders>
            <w:shd w:val="clear" w:color="auto" w:fill="D9D9D9"/>
          </w:tcPr>
          <w:p>
            <w:pPr>
              <w:spacing w:after="0"/>
              <w:rPr>
                <w:sz w:val="14"/>
                <w:szCs w:val="14"/>
                <w:color w:val="auto"/>
              </w:rPr>
            </w:pPr>
          </w:p>
        </w:tc>
        <w:tc>
          <w:tcPr>
            <w:tcW w:w="120" w:type="dxa"/>
            <w:vAlign w:val="bottom"/>
            <w:tcBorders>
              <w:right w:val="single" w:sz="8" w:color="D9D9D9"/>
            </w:tcBorders>
            <w:shd w:val="clear" w:color="auto" w:fill="D9D9D9"/>
          </w:tcPr>
          <w:p>
            <w:pPr>
              <w:spacing w:after="0"/>
              <w:rPr>
                <w:sz w:val="14"/>
                <w:szCs w:val="14"/>
                <w:color w:val="auto"/>
              </w:rPr>
            </w:pPr>
          </w:p>
        </w:tc>
        <w:tc>
          <w:tcPr>
            <w:tcW w:w="440" w:type="dxa"/>
            <w:vAlign w:val="bottom"/>
            <w:shd w:val="clear" w:color="auto" w:fill="D9D9D9"/>
          </w:tcPr>
          <w:p>
            <w:pPr>
              <w:spacing w:after="0"/>
              <w:rPr>
                <w:sz w:val="14"/>
                <w:szCs w:val="14"/>
                <w:color w:val="auto"/>
              </w:rPr>
            </w:pPr>
          </w:p>
        </w:tc>
        <w:tc>
          <w:tcPr>
            <w:tcW w:w="300" w:type="dxa"/>
            <w:vAlign w:val="bottom"/>
            <w:shd w:val="clear" w:color="auto" w:fill="D9D9D9"/>
          </w:tcPr>
          <w:p>
            <w:pPr>
              <w:spacing w:after="0"/>
              <w:rPr>
                <w:sz w:val="14"/>
                <w:szCs w:val="14"/>
                <w:color w:val="auto"/>
              </w:rPr>
            </w:pPr>
          </w:p>
        </w:tc>
        <w:tc>
          <w:tcPr>
            <w:tcW w:w="820" w:type="dxa"/>
            <w:vAlign w:val="bottom"/>
            <w:tcBorders>
              <w:right w:val="single" w:sz="8" w:color="D9D9D9"/>
            </w:tcBorders>
            <w:vMerge w:val="continue"/>
            <w:shd w:val="clear" w:color="auto" w:fill="D9D9D9"/>
          </w:tcPr>
          <w:p>
            <w:pPr>
              <w:spacing w:after="0"/>
              <w:rPr>
                <w:sz w:val="14"/>
                <w:szCs w:val="14"/>
                <w:color w:val="auto"/>
              </w:rPr>
            </w:pPr>
          </w:p>
        </w:tc>
        <w:tc>
          <w:tcPr>
            <w:tcW w:w="960" w:type="dxa"/>
            <w:vAlign w:val="bottom"/>
            <w:vMerge w:val="continue"/>
            <w:shd w:val="clear" w:color="auto" w:fill="D9D9D9"/>
          </w:tcPr>
          <w:p>
            <w:pPr>
              <w:spacing w:after="0"/>
              <w:rPr>
                <w:sz w:val="14"/>
                <w:szCs w:val="14"/>
                <w:color w:val="auto"/>
              </w:rPr>
            </w:pPr>
          </w:p>
        </w:tc>
        <w:tc>
          <w:tcPr>
            <w:tcW w:w="760" w:type="dxa"/>
            <w:vAlign w:val="bottom"/>
            <w:tcBorders>
              <w:right w:val="single" w:sz="8" w:color="D9D9D9"/>
            </w:tcBorders>
            <w:shd w:val="clear" w:color="auto" w:fill="D9D9D9"/>
          </w:tcPr>
          <w:p>
            <w:pPr>
              <w:jc w:val="right"/>
              <w:ind w:right="328"/>
              <w:spacing w:after="0"/>
              <w:rPr>
                <w:sz w:val="20"/>
                <w:szCs w:val="20"/>
                <w:color w:val="auto"/>
              </w:rPr>
            </w:pPr>
            <w:r>
              <w:rPr>
                <w:rFonts w:ascii="Arial" w:cs="Arial" w:eastAsia="Arial" w:hAnsi="Arial"/>
                <w:sz w:val="14"/>
                <w:szCs w:val="14"/>
                <w:color w:val="C00000"/>
              </w:rPr>
              <w:t>1</w:t>
            </w:r>
          </w:p>
        </w:tc>
        <w:tc>
          <w:tcPr>
            <w:tcW w:w="860" w:type="dxa"/>
            <w:vAlign w:val="bottom"/>
            <w:vMerge w:val="continue"/>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20" w:type="dxa"/>
            <w:vAlign w:val="bottom"/>
            <w:tcBorders>
              <w:right w:val="single" w:sz="8" w:color="D9D9D9"/>
            </w:tcBorders>
            <w:gridSpan w:val="5"/>
            <w:shd w:val="clear" w:color="auto" w:fill="D9D9D9"/>
          </w:tcPr>
          <w:p>
            <w:pPr>
              <w:ind w:left="140"/>
              <w:spacing w:after="0"/>
              <w:rPr>
                <w:sz w:val="20"/>
                <w:szCs w:val="20"/>
                <w:color w:val="auto"/>
              </w:rPr>
            </w:pPr>
            <w:r>
              <w:rPr>
                <w:rFonts w:ascii="Arial" w:cs="Arial" w:eastAsia="Arial" w:hAnsi="Arial"/>
                <w:sz w:val="14"/>
                <w:szCs w:val="14"/>
                <w:color w:val="auto"/>
              </w:rPr>
              <w:t>Insight Enterprises, Inc.</w:t>
            </w:r>
          </w:p>
        </w:tc>
        <w:tc>
          <w:tcPr>
            <w:tcW w:w="100" w:type="dxa"/>
            <w:vAlign w:val="bottom"/>
            <w:tcBorders>
              <w:right w:val="single" w:sz="8" w:color="D9D9D9"/>
            </w:tcBorders>
            <w:shd w:val="clear" w:color="auto" w:fill="D9D9D9"/>
          </w:tcPr>
          <w:p>
            <w:pPr>
              <w:spacing w:after="0"/>
              <w:rPr>
                <w:sz w:val="14"/>
                <w:szCs w:val="14"/>
                <w:color w:val="auto"/>
              </w:rPr>
            </w:pPr>
          </w:p>
        </w:tc>
        <w:tc>
          <w:tcPr>
            <w:tcW w:w="580" w:type="dxa"/>
            <w:vAlign w:val="bottom"/>
            <w:shd w:val="clear" w:color="auto" w:fill="D9D9D9"/>
          </w:tcPr>
          <w:p>
            <w:pPr>
              <w:spacing w:after="0"/>
              <w:rPr>
                <w:sz w:val="14"/>
                <w:szCs w:val="14"/>
                <w:color w:val="auto"/>
              </w:rPr>
            </w:pPr>
          </w:p>
        </w:tc>
        <w:tc>
          <w:tcPr>
            <w:tcW w:w="1040" w:type="dxa"/>
            <w:vAlign w:val="bottom"/>
            <w:tcBorders>
              <w:right w:val="single" w:sz="8" w:color="D9D9D9"/>
            </w:tcBorders>
            <w:shd w:val="clear" w:color="auto" w:fill="D9D9D9"/>
          </w:tcPr>
          <w:p>
            <w:pPr>
              <w:spacing w:after="0"/>
              <w:rPr>
                <w:sz w:val="14"/>
                <w:szCs w:val="14"/>
                <w:color w:val="auto"/>
              </w:rPr>
            </w:pPr>
          </w:p>
        </w:tc>
        <w:tc>
          <w:tcPr>
            <w:tcW w:w="80" w:type="dxa"/>
            <w:vAlign w:val="bottom"/>
            <w:tcBorders>
              <w:right w:val="single" w:sz="8" w:color="D9D9D9"/>
            </w:tcBorders>
            <w:shd w:val="clear" w:color="auto" w:fill="D9D9D9"/>
          </w:tcPr>
          <w:p>
            <w:pPr>
              <w:spacing w:after="0"/>
              <w:rPr>
                <w:sz w:val="14"/>
                <w:szCs w:val="14"/>
                <w:color w:val="auto"/>
              </w:rPr>
            </w:pPr>
          </w:p>
        </w:tc>
        <w:tc>
          <w:tcPr>
            <w:tcW w:w="1060" w:type="dxa"/>
            <w:vAlign w:val="bottom"/>
            <w:shd w:val="clear" w:color="auto" w:fill="D9D9D9"/>
          </w:tcPr>
          <w:p>
            <w:pPr>
              <w:spacing w:after="0"/>
              <w:rPr>
                <w:sz w:val="14"/>
                <w:szCs w:val="14"/>
                <w:color w:val="auto"/>
              </w:rPr>
            </w:pPr>
          </w:p>
        </w:tc>
        <w:tc>
          <w:tcPr>
            <w:tcW w:w="120" w:type="dxa"/>
            <w:vAlign w:val="bottom"/>
            <w:tcBorders>
              <w:right w:val="single" w:sz="8" w:color="D9D9D9"/>
            </w:tcBorders>
            <w:shd w:val="clear" w:color="auto" w:fill="D9D9D9"/>
          </w:tcPr>
          <w:p>
            <w:pPr>
              <w:spacing w:after="0"/>
              <w:rPr>
                <w:sz w:val="14"/>
                <w:szCs w:val="14"/>
                <w:color w:val="auto"/>
              </w:rPr>
            </w:pPr>
          </w:p>
        </w:tc>
        <w:tc>
          <w:tcPr>
            <w:tcW w:w="120" w:type="dxa"/>
            <w:vAlign w:val="bottom"/>
            <w:tcBorders>
              <w:right w:val="single" w:sz="8" w:color="D9D9D9"/>
            </w:tcBorders>
            <w:shd w:val="clear" w:color="auto" w:fill="D9D9D9"/>
          </w:tcPr>
          <w:p>
            <w:pPr>
              <w:spacing w:after="0"/>
              <w:rPr>
                <w:sz w:val="14"/>
                <w:szCs w:val="14"/>
                <w:color w:val="auto"/>
              </w:rPr>
            </w:pPr>
          </w:p>
        </w:tc>
        <w:tc>
          <w:tcPr>
            <w:tcW w:w="440" w:type="dxa"/>
            <w:vAlign w:val="bottom"/>
            <w:shd w:val="clear" w:color="auto" w:fill="D9D9D9"/>
          </w:tcPr>
          <w:p>
            <w:pPr>
              <w:spacing w:after="0"/>
              <w:rPr>
                <w:sz w:val="14"/>
                <w:szCs w:val="14"/>
                <w:color w:val="auto"/>
              </w:rPr>
            </w:pPr>
          </w:p>
        </w:tc>
        <w:tc>
          <w:tcPr>
            <w:tcW w:w="300" w:type="dxa"/>
            <w:vAlign w:val="bottom"/>
            <w:shd w:val="clear" w:color="auto" w:fill="D9D9D9"/>
          </w:tcPr>
          <w:p>
            <w:pPr>
              <w:spacing w:after="0"/>
              <w:rPr>
                <w:sz w:val="14"/>
                <w:szCs w:val="14"/>
                <w:color w:val="auto"/>
              </w:rPr>
            </w:pPr>
          </w:p>
        </w:tc>
        <w:tc>
          <w:tcPr>
            <w:tcW w:w="820" w:type="dxa"/>
            <w:vAlign w:val="bottom"/>
            <w:tcBorders>
              <w:right w:val="single" w:sz="8" w:color="D9D9D9"/>
            </w:tcBorders>
            <w:shd w:val="clear" w:color="auto" w:fill="D9D9D9"/>
          </w:tcPr>
          <w:p>
            <w:pPr>
              <w:spacing w:after="0"/>
              <w:rPr>
                <w:sz w:val="14"/>
                <w:szCs w:val="14"/>
                <w:color w:val="auto"/>
              </w:rPr>
            </w:pPr>
          </w:p>
        </w:tc>
        <w:tc>
          <w:tcPr>
            <w:tcW w:w="960" w:type="dxa"/>
            <w:vAlign w:val="bottom"/>
            <w:shd w:val="clear" w:color="auto" w:fill="D9D9D9"/>
          </w:tcPr>
          <w:p>
            <w:pPr>
              <w:spacing w:after="0"/>
              <w:rPr>
                <w:sz w:val="14"/>
                <w:szCs w:val="14"/>
                <w:color w:val="auto"/>
              </w:rPr>
            </w:pPr>
          </w:p>
        </w:tc>
        <w:tc>
          <w:tcPr>
            <w:tcW w:w="760" w:type="dxa"/>
            <w:vAlign w:val="bottom"/>
            <w:tcBorders>
              <w:right w:val="single" w:sz="8" w:color="D9D9D9"/>
            </w:tcBorders>
            <w:shd w:val="clear" w:color="auto" w:fill="D9D9D9"/>
          </w:tcPr>
          <w:p>
            <w:pPr>
              <w:spacing w:after="0"/>
              <w:rPr>
                <w:sz w:val="14"/>
                <w:szCs w:val="14"/>
                <w:color w:val="auto"/>
              </w:rPr>
            </w:pPr>
          </w:p>
        </w:tc>
        <w:tc>
          <w:tcPr>
            <w:tcW w:w="86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540" w:type="dxa"/>
            <w:vAlign w:val="bottom"/>
            <w:gridSpan w:val="3"/>
          </w:tcPr>
          <w:p>
            <w:pPr>
              <w:spacing w:after="0"/>
              <w:rPr>
                <w:sz w:val="20"/>
                <w:szCs w:val="20"/>
                <w:color w:val="auto"/>
              </w:rPr>
            </w:pPr>
            <w:r>
              <w:rPr>
                <w:rFonts w:ascii="Arial" w:cs="Arial" w:eastAsia="Arial" w:hAnsi="Arial"/>
                <w:sz w:val="14"/>
                <w:szCs w:val="14"/>
                <w:b w:val="1"/>
                <w:bCs w:val="1"/>
                <w:color w:val="C00000"/>
              </w:rPr>
              <w:t>Richard M. Olson</w:t>
            </w: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20" w:type="dxa"/>
            <w:vAlign w:val="bottom"/>
            <w:gridSpan w:val="5"/>
          </w:tcPr>
          <w:p>
            <w:pPr>
              <w:ind w:left="140"/>
              <w:spacing w:after="0"/>
              <w:rPr>
                <w:sz w:val="20"/>
                <w:szCs w:val="20"/>
                <w:color w:val="auto"/>
              </w:rPr>
            </w:pPr>
            <w:r>
              <w:rPr>
                <w:rFonts w:ascii="Arial" w:cs="Arial" w:eastAsia="Arial" w:hAnsi="Arial"/>
                <w:sz w:val="14"/>
                <w:szCs w:val="14"/>
                <w:color w:val="auto"/>
              </w:rPr>
              <w:t>Chairman, President and Chief Executive Officer, The Toro</w:t>
            </w:r>
          </w:p>
        </w:tc>
        <w:tc>
          <w:tcPr>
            <w:tcW w:w="680" w:type="dxa"/>
            <w:vAlign w:val="bottom"/>
            <w:gridSpan w:val="2"/>
          </w:tcPr>
          <w:p>
            <w:pPr>
              <w:jc w:val="center"/>
              <w:ind w:left="5"/>
              <w:spacing w:after="0"/>
              <w:rPr>
                <w:sz w:val="20"/>
                <w:szCs w:val="20"/>
                <w:color w:val="auto"/>
              </w:rPr>
            </w:pPr>
            <w:r>
              <w:rPr>
                <w:rFonts w:ascii="Arial" w:cs="Arial" w:eastAsia="Arial" w:hAnsi="Arial"/>
                <w:sz w:val="14"/>
                <w:szCs w:val="14"/>
                <w:color w:val="auto"/>
              </w:rPr>
              <w:t>59</w:t>
            </w:r>
          </w:p>
        </w:tc>
        <w:tc>
          <w:tcPr>
            <w:tcW w:w="1040" w:type="dxa"/>
            <w:vAlign w:val="bottom"/>
          </w:tcPr>
          <w:p>
            <w:pPr>
              <w:jc w:val="center"/>
              <w:ind w:right="126"/>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4"/>
                <w:szCs w:val="14"/>
                <w:color w:val="auto"/>
              </w:rPr>
            </w:pPr>
          </w:p>
        </w:tc>
        <w:tc>
          <w:tcPr>
            <w:tcW w:w="1060" w:type="dxa"/>
            <w:vAlign w:val="bottom"/>
          </w:tcPr>
          <w:p>
            <w:pPr>
              <w:jc w:val="center"/>
              <w:ind w:right="166"/>
              <w:spacing w:after="0"/>
              <w:rPr>
                <w:sz w:val="20"/>
                <w:szCs w:val="20"/>
                <w:color w:val="auto"/>
              </w:rPr>
            </w:pPr>
            <w:r>
              <w:rPr>
                <w:rFonts w:ascii="Arial" w:cs="Arial" w:eastAsia="Arial" w:hAnsi="Arial"/>
                <w:sz w:val="14"/>
                <w:szCs w:val="14"/>
                <w:color w:val="auto"/>
              </w:rPr>
              <w:t>No</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jc w:val="right"/>
              <w:ind w:right="328"/>
              <w:spacing w:after="0"/>
              <w:rPr>
                <w:sz w:val="20"/>
                <w:szCs w:val="20"/>
                <w:color w:val="auto"/>
              </w:rPr>
            </w:pPr>
            <w:r>
              <w:rPr>
                <w:rFonts w:ascii="Arial" w:cs="Arial" w:eastAsia="Arial" w:hAnsi="Arial"/>
                <w:sz w:val="14"/>
                <w:szCs w:val="14"/>
                <w:color w:val="C00000"/>
              </w:rPr>
              <w:t>1</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40" w:type="dxa"/>
            <w:vAlign w:val="bottom"/>
            <w:gridSpan w:val="3"/>
          </w:tcPr>
          <w:p>
            <w:pPr>
              <w:ind w:left="140"/>
              <w:spacing w:after="0"/>
              <w:rPr>
                <w:sz w:val="20"/>
                <w:szCs w:val="20"/>
                <w:color w:val="auto"/>
              </w:rPr>
            </w:pPr>
            <w:r>
              <w:rPr>
                <w:rFonts w:ascii="Arial" w:cs="Arial" w:eastAsia="Arial" w:hAnsi="Arial"/>
                <w:sz w:val="14"/>
                <w:szCs w:val="14"/>
                <w:color w:val="auto"/>
              </w:rPr>
              <w:t>Company</w:t>
            </w: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40" w:type="dxa"/>
            <w:vAlign w:val="bottom"/>
            <w:gridSpan w:val="3"/>
            <w:shd w:val="clear" w:color="auto" w:fill="D9D9D9"/>
          </w:tcPr>
          <w:p>
            <w:pPr>
              <w:spacing w:after="0"/>
              <w:rPr>
                <w:sz w:val="20"/>
                <w:szCs w:val="20"/>
                <w:color w:val="auto"/>
              </w:rPr>
            </w:pPr>
            <w:r>
              <w:rPr>
                <w:rFonts w:ascii="Arial" w:cs="Arial" w:eastAsia="Arial" w:hAnsi="Arial"/>
                <w:sz w:val="14"/>
                <w:szCs w:val="14"/>
                <w:b w:val="1"/>
                <w:bCs w:val="1"/>
                <w:color w:val="C00000"/>
              </w:rPr>
              <w:t>James C. O’Rourke</w:t>
            </w:r>
          </w:p>
        </w:tc>
        <w:tc>
          <w:tcPr>
            <w:tcW w:w="1060" w:type="dxa"/>
            <w:vAlign w:val="bottom"/>
            <w:tcBorders>
              <w:right w:val="single" w:sz="8" w:color="D9D9D9"/>
            </w:tcBorders>
            <w:shd w:val="clear" w:color="auto" w:fill="D9D9D9"/>
          </w:tcPr>
          <w:p>
            <w:pPr>
              <w:spacing w:after="0"/>
              <w:rPr>
                <w:sz w:val="15"/>
                <w:szCs w:val="15"/>
                <w:color w:val="auto"/>
              </w:rPr>
            </w:pPr>
          </w:p>
        </w:tc>
        <w:tc>
          <w:tcPr>
            <w:tcW w:w="1420" w:type="dxa"/>
            <w:vAlign w:val="bottom"/>
            <w:tcBorders>
              <w:right w:val="single" w:sz="8" w:color="D9D9D9"/>
            </w:tcBorders>
            <w:shd w:val="clear" w:color="auto" w:fill="D9D9D9"/>
          </w:tcPr>
          <w:p>
            <w:pPr>
              <w:spacing w:after="0"/>
              <w:rPr>
                <w:sz w:val="15"/>
                <w:szCs w:val="15"/>
                <w:color w:val="auto"/>
              </w:rPr>
            </w:pPr>
          </w:p>
        </w:tc>
        <w:tc>
          <w:tcPr>
            <w:tcW w:w="100" w:type="dxa"/>
            <w:vAlign w:val="bottom"/>
            <w:tcBorders>
              <w:right w:val="single" w:sz="8" w:color="D9D9D9"/>
            </w:tcBorders>
            <w:shd w:val="clear" w:color="auto" w:fill="D9D9D9"/>
          </w:tcPr>
          <w:p>
            <w:pPr>
              <w:spacing w:after="0"/>
              <w:rPr>
                <w:sz w:val="15"/>
                <w:szCs w:val="15"/>
                <w:color w:val="auto"/>
              </w:rPr>
            </w:pPr>
          </w:p>
        </w:tc>
        <w:tc>
          <w:tcPr>
            <w:tcW w:w="580" w:type="dxa"/>
            <w:vAlign w:val="bottom"/>
            <w:shd w:val="clear" w:color="auto" w:fill="D9D9D9"/>
          </w:tcPr>
          <w:p>
            <w:pPr>
              <w:spacing w:after="0"/>
              <w:rPr>
                <w:sz w:val="15"/>
                <w:szCs w:val="15"/>
                <w:color w:val="auto"/>
              </w:rPr>
            </w:pPr>
          </w:p>
        </w:tc>
        <w:tc>
          <w:tcPr>
            <w:tcW w:w="1040" w:type="dxa"/>
            <w:vAlign w:val="bottom"/>
            <w:tcBorders>
              <w:right w:val="single" w:sz="8" w:color="D9D9D9"/>
            </w:tcBorders>
            <w:shd w:val="clear" w:color="auto" w:fill="D9D9D9"/>
          </w:tcPr>
          <w:p>
            <w:pPr>
              <w:spacing w:after="0"/>
              <w:rPr>
                <w:sz w:val="15"/>
                <w:szCs w:val="15"/>
                <w:color w:val="auto"/>
              </w:rPr>
            </w:pPr>
          </w:p>
        </w:tc>
        <w:tc>
          <w:tcPr>
            <w:tcW w:w="80" w:type="dxa"/>
            <w:vAlign w:val="bottom"/>
            <w:tcBorders>
              <w:right w:val="single" w:sz="8" w:color="D9D9D9"/>
            </w:tcBorders>
            <w:shd w:val="clear" w:color="auto" w:fill="D9D9D9"/>
          </w:tcPr>
          <w:p>
            <w:pPr>
              <w:spacing w:after="0"/>
              <w:rPr>
                <w:sz w:val="15"/>
                <w:szCs w:val="15"/>
                <w:color w:val="auto"/>
              </w:rPr>
            </w:pPr>
          </w:p>
        </w:tc>
        <w:tc>
          <w:tcPr>
            <w:tcW w:w="1060" w:type="dxa"/>
            <w:vAlign w:val="bottom"/>
            <w:shd w:val="clear" w:color="auto" w:fill="D9D9D9"/>
          </w:tcPr>
          <w:p>
            <w:pPr>
              <w:spacing w:after="0"/>
              <w:rPr>
                <w:sz w:val="15"/>
                <w:szCs w:val="15"/>
                <w:color w:val="auto"/>
              </w:rPr>
            </w:pPr>
          </w:p>
        </w:tc>
        <w:tc>
          <w:tcPr>
            <w:tcW w:w="120" w:type="dxa"/>
            <w:vAlign w:val="bottom"/>
            <w:tcBorders>
              <w:right w:val="single" w:sz="8" w:color="D9D9D9"/>
            </w:tcBorders>
            <w:shd w:val="clear" w:color="auto" w:fill="D9D9D9"/>
          </w:tcPr>
          <w:p>
            <w:pPr>
              <w:spacing w:after="0"/>
              <w:rPr>
                <w:sz w:val="15"/>
                <w:szCs w:val="15"/>
                <w:color w:val="auto"/>
              </w:rPr>
            </w:pPr>
          </w:p>
        </w:tc>
        <w:tc>
          <w:tcPr>
            <w:tcW w:w="120" w:type="dxa"/>
            <w:vAlign w:val="bottom"/>
            <w:tcBorders>
              <w:right w:val="single" w:sz="8" w:color="D9D9D9"/>
            </w:tcBorders>
            <w:shd w:val="clear" w:color="auto" w:fill="D9D9D9"/>
          </w:tcPr>
          <w:p>
            <w:pPr>
              <w:spacing w:after="0"/>
              <w:rPr>
                <w:sz w:val="15"/>
                <w:szCs w:val="15"/>
                <w:color w:val="auto"/>
              </w:rPr>
            </w:pPr>
          </w:p>
        </w:tc>
        <w:tc>
          <w:tcPr>
            <w:tcW w:w="440" w:type="dxa"/>
            <w:vAlign w:val="bottom"/>
            <w:shd w:val="clear" w:color="auto" w:fill="D9D9D9"/>
          </w:tcPr>
          <w:p>
            <w:pPr>
              <w:spacing w:after="0"/>
              <w:rPr>
                <w:sz w:val="15"/>
                <w:szCs w:val="15"/>
                <w:color w:val="auto"/>
              </w:rPr>
            </w:pPr>
          </w:p>
        </w:tc>
        <w:tc>
          <w:tcPr>
            <w:tcW w:w="300" w:type="dxa"/>
            <w:vAlign w:val="bottom"/>
            <w:shd w:val="clear" w:color="auto" w:fill="D9D9D9"/>
          </w:tcPr>
          <w:p>
            <w:pPr>
              <w:spacing w:after="0"/>
              <w:rPr>
                <w:sz w:val="15"/>
                <w:szCs w:val="15"/>
                <w:color w:val="auto"/>
              </w:rPr>
            </w:pPr>
          </w:p>
        </w:tc>
        <w:tc>
          <w:tcPr>
            <w:tcW w:w="820" w:type="dxa"/>
            <w:vAlign w:val="bottom"/>
            <w:tcBorders>
              <w:right w:val="single" w:sz="8" w:color="D9D9D9"/>
            </w:tcBorders>
            <w:vMerge w:val="restart"/>
            <w:shd w:val="clear" w:color="auto" w:fill="D9D9D9"/>
          </w:tcPr>
          <w:p>
            <w:pPr>
              <w:ind w:left="48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960" w:type="dxa"/>
            <w:vAlign w:val="bottom"/>
            <w:shd w:val="clear" w:color="auto" w:fill="D9D9D9"/>
          </w:tcPr>
          <w:p>
            <w:pPr>
              <w:spacing w:after="0"/>
              <w:rPr>
                <w:sz w:val="15"/>
                <w:szCs w:val="15"/>
                <w:color w:val="auto"/>
              </w:rPr>
            </w:pPr>
          </w:p>
        </w:tc>
        <w:tc>
          <w:tcPr>
            <w:tcW w:w="760" w:type="dxa"/>
            <w:vAlign w:val="bottom"/>
            <w:tcBorders>
              <w:right w:val="single" w:sz="8" w:color="D9D9D9"/>
            </w:tcBorders>
            <w:shd w:val="clear" w:color="auto" w:fill="D9D9D9"/>
          </w:tcPr>
          <w:p>
            <w:pPr>
              <w:spacing w:after="0"/>
              <w:rPr>
                <w:sz w:val="15"/>
                <w:szCs w:val="15"/>
                <w:color w:val="auto"/>
              </w:rPr>
            </w:pPr>
          </w:p>
        </w:tc>
        <w:tc>
          <w:tcPr>
            <w:tcW w:w="86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020" w:type="dxa"/>
            <w:vAlign w:val="bottom"/>
            <w:tcBorders>
              <w:right w:val="single" w:sz="8" w:color="D9D9D9"/>
            </w:tcBorders>
            <w:gridSpan w:val="5"/>
            <w:shd w:val="clear" w:color="auto" w:fill="D9D9D9"/>
          </w:tcPr>
          <w:p>
            <w:pPr>
              <w:ind w:left="140"/>
              <w:spacing w:after="0"/>
              <w:rPr>
                <w:sz w:val="20"/>
                <w:szCs w:val="20"/>
                <w:color w:val="auto"/>
              </w:rPr>
            </w:pPr>
            <w:r>
              <w:rPr>
                <w:rFonts w:ascii="Arial" w:cs="Arial" w:eastAsia="Arial" w:hAnsi="Arial"/>
                <w:sz w:val="14"/>
                <w:szCs w:val="14"/>
                <w:color w:val="auto"/>
              </w:rPr>
              <w:t>President and Chief Executive Officer,</w:t>
            </w:r>
          </w:p>
        </w:tc>
        <w:tc>
          <w:tcPr>
            <w:tcW w:w="100" w:type="dxa"/>
            <w:vAlign w:val="bottom"/>
            <w:tcBorders>
              <w:right w:val="single" w:sz="8" w:color="D9D9D9"/>
            </w:tcBorders>
            <w:shd w:val="clear" w:color="auto" w:fill="D9D9D9"/>
          </w:tcPr>
          <w:p>
            <w:pPr>
              <w:spacing w:after="0"/>
              <w:rPr>
                <w:sz w:val="14"/>
                <w:szCs w:val="14"/>
                <w:color w:val="auto"/>
              </w:rPr>
            </w:pPr>
          </w:p>
        </w:tc>
        <w:tc>
          <w:tcPr>
            <w:tcW w:w="5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62</w:t>
            </w:r>
          </w:p>
        </w:tc>
        <w:tc>
          <w:tcPr>
            <w:tcW w:w="1040" w:type="dxa"/>
            <w:vAlign w:val="bottom"/>
            <w:tcBorders>
              <w:right w:val="single" w:sz="8" w:color="D9D9D9"/>
            </w:tcBorders>
            <w:shd w:val="clear" w:color="auto" w:fill="D9D9D9"/>
          </w:tcPr>
          <w:p>
            <w:pPr>
              <w:jc w:val="center"/>
              <w:ind w:right="126"/>
              <w:spacing w:after="0"/>
              <w:rPr>
                <w:sz w:val="20"/>
                <w:szCs w:val="20"/>
                <w:color w:val="auto"/>
              </w:rPr>
            </w:pPr>
            <w:r>
              <w:rPr>
                <w:rFonts w:ascii="Arial" w:cs="Arial" w:eastAsia="Arial" w:hAnsi="Arial"/>
                <w:sz w:val="14"/>
                <w:szCs w:val="14"/>
                <w:color w:val="auto"/>
              </w:rPr>
              <w:t>2012</w:t>
            </w:r>
          </w:p>
        </w:tc>
        <w:tc>
          <w:tcPr>
            <w:tcW w:w="80" w:type="dxa"/>
            <w:vAlign w:val="bottom"/>
            <w:tcBorders>
              <w:right w:val="single" w:sz="8" w:color="D9D9D9"/>
            </w:tcBorders>
            <w:shd w:val="clear" w:color="auto" w:fill="D9D9D9"/>
          </w:tcPr>
          <w:p>
            <w:pPr>
              <w:spacing w:after="0"/>
              <w:rPr>
                <w:sz w:val="14"/>
                <w:szCs w:val="14"/>
                <w:color w:val="auto"/>
              </w:rPr>
            </w:pPr>
          </w:p>
        </w:tc>
        <w:tc>
          <w:tcPr>
            <w:tcW w:w="1060" w:type="dxa"/>
            <w:vAlign w:val="bottom"/>
            <w:shd w:val="clear" w:color="auto" w:fill="D9D9D9"/>
          </w:tcPr>
          <w:p>
            <w:pPr>
              <w:jc w:val="center"/>
              <w:ind w:right="166"/>
              <w:spacing w:after="0"/>
              <w:rPr>
                <w:sz w:val="20"/>
                <w:szCs w:val="20"/>
                <w:color w:val="auto"/>
              </w:rPr>
            </w:pPr>
            <w:r>
              <w:rPr>
                <w:rFonts w:ascii="Arial" w:cs="Arial" w:eastAsia="Arial" w:hAnsi="Arial"/>
                <w:sz w:val="14"/>
                <w:szCs w:val="14"/>
                <w:color w:val="auto"/>
                <w:w w:val="90"/>
              </w:rPr>
              <w:t>Yes</w:t>
            </w:r>
          </w:p>
        </w:tc>
        <w:tc>
          <w:tcPr>
            <w:tcW w:w="120" w:type="dxa"/>
            <w:vAlign w:val="bottom"/>
            <w:tcBorders>
              <w:right w:val="single" w:sz="8" w:color="D9D9D9"/>
            </w:tcBorders>
            <w:shd w:val="clear" w:color="auto" w:fill="D9D9D9"/>
          </w:tcPr>
          <w:p>
            <w:pPr>
              <w:spacing w:after="0"/>
              <w:rPr>
                <w:sz w:val="14"/>
                <w:szCs w:val="14"/>
                <w:color w:val="auto"/>
              </w:rPr>
            </w:pPr>
          </w:p>
        </w:tc>
        <w:tc>
          <w:tcPr>
            <w:tcW w:w="120" w:type="dxa"/>
            <w:vAlign w:val="bottom"/>
            <w:tcBorders>
              <w:right w:val="single" w:sz="8" w:color="D9D9D9"/>
            </w:tcBorders>
            <w:shd w:val="clear" w:color="auto" w:fill="D9D9D9"/>
          </w:tcPr>
          <w:p>
            <w:pPr>
              <w:spacing w:after="0"/>
              <w:rPr>
                <w:sz w:val="14"/>
                <w:szCs w:val="14"/>
                <w:color w:val="auto"/>
              </w:rPr>
            </w:pPr>
          </w:p>
        </w:tc>
        <w:tc>
          <w:tcPr>
            <w:tcW w:w="440" w:type="dxa"/>
            <w:vAlign w:val="bottom"/>
            <w:shd w:val="clear" w:color="auto" w:fill="D9D9D9"/>
          </w:tcPr>
          <w:p>
            <w:pPr>
              <w:spacing w:after="0"/>
              <w:rPr>
                <w:sz w:val="14"/>
                <w:szCs w:val="14"/>
                <w:color w:val="auto"/>
              </w:rPr>
            </w:pPr>
          </w:p>
        </w:tc>
        <w:tc>
          <w:tcPr>
            <w:tcW w:w="300" w:type="dxa"/>
            <w:vAlign w:val="bottom"/>
            <w:shd w:val="clear" w:color="auto" w:fill="D9D9D9"/>
          </w:tcPr>
          <w:p>
            <w:pPr>
              <w:spacing w:after="0"/>
              <w:rPr>
                <w:sz w:val="14"/>
                <w:szCs w:val="14"/>
                <w:color w:val="auto"/>
              </w:rPr>
            </w:pPr>
          </w:p>
        </w:tc>
        <w:tc>
          <w:tcPr>
            <w:tcW w:w="820" w:type="dxa"/>
            <w:vAlign w:val="bottom"/>
            <w:tcBorders>
              <w:right w:val="single" w:sz="8" w:color="D9D9D9"/>
            </w:tcBorders>
            <w:vMerge w:val="continue"/>
            <w:shd w:val="clear" w:color="auto" w:fill="D9D9D9"/>
          </w:tcPr>
          <w:p>
            <w:pPr>
              <w:spacing w:after="0"/>
              <w:rPr>
                <w:sz w:val="14"/>
                <w:szCs w:val="14"/>
                <w:color w:val="auto"/>
              </w:rPr>
            </w:pPr>
          </w:p>
        </w:tc>
        <w:tc>
          <w:tcPr>
            <w:tcW w:w="960" w:type="dxa"/>
            <w:vAlign w:val="bottom"/>
            <w:shd w:val="clear" w:color="auto" w:fill="D9D9D9"/>
          </w:tcPr>
          <w:p>
            <w:pPr>
              <w:jc w:val="center"/>
              <w:spacing w:after="0"/>
              <w:rPr>
                <w:sz w:val="20"/>
                <w:szCs w:val="20"/>
                <w:color w:val="auto"/>
              </w:rPr>
            </w:pPr>
            <w:r>
              <w:rPr>
                <w:rFonts w:ascii="Arial" w:cs="Arial" w:eastAsia="Arial" w:hAnsi="Arial"/>
                <w:sz w:val="14"/>
                <w:szCs w:val="14"/>
                <w:b w:val="1"/>
                <w:bCs w:val="1"/>
                <w:color w:val="C00000"/>
              </w:rPr>
              <w:t>C</w:t>
            </w:r>
          </w:p>
        </w:tc>
        <w:tc>
          <w:tcPr>
            <w:tcW w:w="760" w:type="dxa"/>
            <w:vAlign w:val="bottom"/>
            <w:tcBorders>
              <w:right w:val="single" w:sz="8" w:color="D9D9D9"/>
            </w:tcBorders>
            <w:shd w:val="clear" w:color="auto" w:fill="D9D9D9"/>
          </w:tcPr>
          <w:p>
            <w:pPr>
              <w:jc w:val="right"/>
              <w:ind w:right="328"/>
              <w:spacing w:after="0"/>
              <w:rPr>
                <w:sz w:val="20"/>
                <w:szCs w:val="20"/>
                <w:color w:val="auto"/>
              </w:rPr>
            </w:pPr>
            <w:r>
              <w:rPr>
                <w:rFonts w:ascii="Arial" w:cs="Arial" w:eastAsia="Arial" w:hAnsi="Arial"/>
                <w:sz w:val="14"/>
                <w:szCs w:val="14"/>
                <w:color w:val="C00000"/>
              </w:rPr>
              <w:t>1</w:t>
            </w:r>
          </w:p>
        </w:tc>
        <w:tc>
          <w:tcPr>
            <w:tcW w:w="86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40" w:type="dxa"/>
            <w:vAlign w:val="bottom"/>
            <w:gridSpan w:val="3"/>
            <w:shd w:val="clear" w:color="auto" w:fill="D9D9D9"/>
          </w:tcPr>
          <w:p>
            <w:pPr>
              <w:ind w:left="140"/>
              <w:spacing w:after="0"/>
              <w:rPr>
                <w:sz w:val="20"/>
                <w:szCs w:val="20"/>
                <w:color w:val="auto"/>
              </w:rPr>
            </w:pPr>
            <w:r>
              <w:rPr>
                <w:rFonts w:ascii="Arial" w:cs="Arial" w:eastAsia="Arial" w:hAnsi="Arial"/>
                <w:sz w:val="14"/>
                <w:szCs w:val="14"/>
                <w:color w:val="auto"/>
              </w:rPr>
              <w:t>The Mosaic Company</w:t>
            </w:r>
          </w:p>
        </w:tc>
        <w:tc>
          <w:tcPr>
            <w:tcW w:w="1060" w:type="dxa"/>
            <w:vAlign w:val="bottom"/>
            <w:tcBorders>
              <w:right w:val="single" w:sz="8" w:color="D9D9D9"/>
            </w:tcBorders>
            <w:shd w:val="clear" w:color="auto" w:fill="D9D9D9"/>
          </w:tcPr>
          <w:p>
            <w:pPr>
              <w:spacing w:after="0"/>
              <w:rPr>
                <w:sz w:val="14"/>
                <w:szCs w:val="14"/>
                <w:color w:val="auto"/>
              </w:rPr>
            </w:pPr>
          </w:p>
        </w:tc>
        <w:tc>
          <w:tcPr>
            <w:tcW w:w="1420" w:type="dxa"/>
            <w:vAlign w:val="bottom"/>
            <w:tcBorders>
              <w:right w:val="single" w:sz="8" w:color="D9D9D9"/>
            </w:tcBorders>
            <w:shd w:val="clear" w:color="auto" w:fill="D9D9D9"/>
          </w:tcPr>
          <w:p>
            <w:pPr>
              <w:spacing w:after="0"/>
              <w:rPr>
                <w:sz w:val="14"/>
                <w:szCs w:val="14"/>
                <w:color w:val="auto"/>
              </w:rPr>
            </w:pPr>
          </w:p>
        </w:tc>
        <w:tc>
          <w:tcPr>
            <w:tcW w:w="100" w:type="dxa"/>
            <w:vAlign w:val="bottom"/>
            <w:tcBorders>
              <w:right w:val="single" w:sz="8" w:color="D9D9D9"/>
            </w:tcBorders>
            <w:shd w:val="clear" w:color="auto" w:fill="D9D9D9"/>
          </w:tcPr>
          <w:p>
            <w:pPr>
              <w:spacing w:after="0"/>
              <w:rPr>
                <w:sz w:val="14"/>
                <w:szCs w:val="14"/>
                <w:color w:val="auto"/>
              </w:rPr>
            </w:pPr>
          </w:p>
        </w:tc>
        <w:tc>
          <w:tcPr>
            <w:tcW w:w="580" w:type="dxa"/>
            <w:vAlign w:val="bottom"/>
            <w:shd w:val="clear" w:color="auto" w:fill="D9D9D9"/>
          </w:tcPr>
          <w:p>
            <w:pPr>
              <w:spacing w:after="0"/>
              <w:rPr>
                <w:sz w:val="14"/>
                <w:szCs w:val="14"/>
                <w:color w:val="auto"/>
              </w:rPr>
            </w:pPr>
          </w:p>
        </w:tc>
        <w:tc>
          <w:tcPr>
            <w:tcW w:w="1040" w:type="dxa"/>
            <w:vAlign w:val="bottom"/>
            <w:tcBorders>
              <w:right w:val="single" w:sz="8" w:color="D9D9D9"/>
            </w:tcBorders>
            <w:shd w:val="clear" w:color="auto" w:fill="D9D9D9"/>
          </w:tcPr>
          <w:p>
            <w:pPr>
              <w:spacing w:after="0"/>
              <w:rPr>
                <w:sz w:val="14"/>
                <w:szCs w:val="14"/>
                <w:color w:val="auto"/>
              </w:rPr>
            </w:pPr>
          </w:p>
        </w:tc>
        <w:tc>
          <w:tcPr>
            <w:tcW w:w="80" w:type="dxa"/>
            <w:vAlign w:val="bottom"/>
            <w:tcBorders>
              <w:right w:val="single" w:sz="8" w:color="D9D9D9"/>
            </w:tcBorders>
            <w:shd w:val="clear" w:color="auto" w:fill="D9D9D9"/>
          </w:tcPr>
          <w:p>
            <w:pPr>
              <w:spacing w:after="0"/>
              <w:rPr>
                <w:sz w:val="14"/>
                <w:szCs w:val="14"/>
                <w:color w:val="auto"/>
              </w:rPr>
            </w:pPr>
          </w:p>
        </w:tc>
        <w:tc>
          <w:tcPr>
            <w:tcW w:w="1060" w:type="dxa"/>
            <w:vAlign w:val="bottom"/>
            <w:shd w:val="clear" w:color="auto" w:fill="D9D9D9"/>
          </w:tcPr>
          <w:p>
            <w:pPr>
              <w:spacing w:after="0"/>
              <w:rPr>
                <w:sz w:val="14"/>
                <w:szCs w:val="14"/>
                <w:color w:val="auto"/>
              </w:rPr>
            </w:pPr>
          </w:p>
        </w:tc>
        <w:tc>
          <w:tcPr>
            <w:tcW w:w="120" w:type="dxa"/>
            <w:vAlign w:val="bottom"/>
            <w:tcBorders>
              <w:right w:val="single" w:sz="8" w:color="D9D9D9"/>
            </w:tcBorders>
            <w:shd w:val="clear" w:color="auto" w:fill="D9D9D9"/>
          </w:tcPr>
          <w:p>
            <w:pPr>
              <w:spacing w:after="0"/>
              <w:rPr>
                <w:sz w:val="14"/>
                <w:szCs w:val="14"/>
                <w:color w:val="auto"/>
              </w:rPr>
            </w:pPr>
          </w:p>
        </w:tc>
        <w:tc>
          <w:tcPr>
            <w:tcW w:w="120" w:type="dxa"/>
            <w:vAlign w:val="bottom"/>
            <w:tcBorders>
              <w:right w:val="single" w:sz="8" w:color="D9D9D9"/>
            </w:tcBorders>
            <w:shd w:val="clear" w:color="auto" w:fill="D9D9D9"/>
          </w:tcPr>
          <w:p>
            <w:pPr>
              <w:spacing w:after="0"/>
              <w:rPr>
                <w:sz w:val="14"/>
                <w:szCs w:val="14"/>
                <w:color w:val="auto"/>
              </w:rPr>
            </w:pPr>
          </w:p>
        </w:tc>
        <w:tc>
          <w:tcPr>
            <w:tcW w:w="440" w:type="dxa"/>
            <w:vAlign w:val="bottom"/>
            <w:shd w:val="clear" w:color="auto" w:fill="D9D9D9"/>
          </w:tcPr>
          <w:p>
            <w:pPr>
              <w:spacing w:after="0"/>
              <w:rPr>
                <w:sz w:val="14"/>
                <w:szCs w:val="14"/>
                <w:color w:val="auto"/>
              </w:rPr>
            </w:pPr>
          </w:p>
        </w:tc>
        <w:tc>
          <w:tcPr>
            <w:tcW w:w="300" w:type="dxa"/>
            <w:vAlign w:val="bottom"/>
            <w:shd w:val="clear" w:color="auto" w:fill="D9D9D9"/>
          </w:tcPr>
          <w:p>
            <w:pPr>
              <w:spacing w:after="0"/>
              <w:rPr>
                <w:sz w:val="14"/>
                <w:szCs w:val="14"/>
                <w:color w:val="auto"/>
              </w:rPr>
            </w:pPr>
          </w:p>
        </w:tc>
        <w:tc>
          <w:tcPr>
            <w:tcW w:w="820" w:type="dxa"/>
            <w:vAlign w:val="bottom"/>
            <w:tcBorders>
              <w:right w:val="single" w:sz="8" w:color="D9D9D9"/>
            </w:tcBorders>
            <w:shd w:val="clear" w:color="auto" w:fill="D9D9D9"/>
          </w:tcPr>
          <w:p>
            <w:pPr>
              <w:spacing w:after="0"/>
              <w:rPr>
                <w:sz w:val="14"/>
                <w:szCs w:val="14"/>
                <w:color w:val="auto"/>
              </w:rPr>
            </w:pPr>
          </w:p>
        </w:tc>
        <w:tc>
          <w:tcPr>
            <w:tcW w:w="960" w:type="dxa"/>
            <w:vAlign w:val="bottom"/>
            <w:shd w:val="clear" w:color="auto" w:fill="D9D9D9"/>
          </w:tcPr>
          <w:p>
            <w:pPr>
              <w:spacing w:after="0"/>
              <w:rPr>
                <w:sz w:val="14"/>
                <w:szCs w:val="14"/>
                <w:color w:val="auto"/>
              </w:rPr>
            </w:pPr>
          </w:p>
        </w:tc>
        <w:tc>
          <w:tcPr>
            <w:tcW w:w="760" w:type="dxa"/>
            <w:vAlign w:val="bottom"/>
            <w:tcBorders>
              <w:right w:val="single" w:sz="8" w:color="D9D9D9"/>
            </w:tcBorders>
            <w:shd w:val="clear" w:color="auto" w:fill="D9D9D9"/>
          </w:tcPr>
          <w:p>
            <w:pPr>
              <w:spacing w:after="0"/>
              <w:rPr>
                <w:sz w:val="14"/>
                <w:szCs w:val="14"/>
                <w:color w:val="auto"/>
              </w:rPr>
            </w:pPr>
          </w:p>
        </w:tc>
        <w:tc>
          <w:tcPr>
            <w:tcW w:w="86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540" w:type="dxa"/>
            <w:vAlign w:val="bottom"/>
            <w:gridSpan w:val="3"/>
          </w:tcPr>
          <w:p>
            <w:pPr>
              <w:spacing w:after="0"/>
              <w:rPr>
                <w:sz w:val="20"/>
                <w:szCs w:val="20"/>
                <w:color w:val="auto"/>
              </w:rPr>
            </w:pPr>
            <w:r>
              <w:rPr>
                <w:rFonts w:ascii="Arial" w:cs="Arial" w:eastAsia="Arial" w:hAnsi="Arial"/>
                <w:sz w:val="14"/>
                <w:szCs w:val="14"/>
                <w:b w:val="1"/>
                <w:bCs w:val="1"/>
                <w:color w:val="C00000"/>
              </w:rPr>
              <w:t>Jill M. Pemberton</w:t>
            </w:r>
          </w:p>
        </w:tc>
        <w:tc>
          <w:tcPr>
            <w:tcW w:w="10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vMerge w:val="restart"/>
          </w:tcPr>
          <w:p>
            <w:pPr>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300" w:type="dxa"/>
            <w:vAlign w:val="bottom"/>
            <w:vMerge w:val="restart"/>
          </w:tcPr>
          <w:p>
            <w:pPr>
              <w:ind w:left="140"/>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0" w:type="dxa"/>
            <w:vAlign w:val="bottom"/>
          </w:tcPr>
          <w:p>
            <w:pPr>
              <w:spacing w:after="0"/>
              <w:rPr>
                <w:sz w:val="1"/>
                <w:szCs w:val="1"/>
                <w:color w:val="auto"/>
              </w:rPr>
            </w:pPr>
          </w:p>
        </w:tc>
      </w:tr>
      <w:tr>
        <w:trPr>
          <w:trHeight w:val="182"/>
        </w:trPr>
        <w:tc>
          <w:tcPr>
            <w:tcW w:w="4020" w:type="dxa"/>
            <w:vAlign w:val="bottom"/>
            <w:gridSpan w:val="5"/>
          </w:tcPr>
          <w:p>
            <w:pPr>
              <w:ind w:left="180"/>
              <w:spacing w:after="0"/>
              <w:rPr>
                <w:sz w:val="20"/>
                <w:szCs w:val="20"/>
                <w:color w:val="auto"/>
              </w:rPr>
            </w:pPr>
            <w:r>
              <w:rPr>
                <w:rFonts w:ascii="Arial" w:cs="Arial" w:eastAsia="Arial" w:hAnsi="Arial"/>
                <w:sz w:val="14"/>
                <w:szCs w:val="14"/>
                <w:color w:val="auto"/>
              </w:rPr>
              <w:t>Chief Financial Officer, North America</w:t>
            </w:r>
          </w:p>
        </w:tc>
        <w:tc>
          <w:tcPr>
            <w:tcW w:w="680" w:type="dxa"/>
            <w:vAlign w:val="bottom"/>
            <w:gridSpan w:val="2"/>
          </w:tcPr>
          <w:p>
            <w:pPr>
              <w:jc w:val="center"/>
              <w:ind w:left="5"/>
              <w:spacing w:after="0"/>
              <w:rPr>
                <w:sz w:val="20"/>
                <w:szCs w:val="20"/>
                <w:color w:val="auto"/>
              </w:rPr>
            </w:pPr>
            <w:r>
              <w:rPr>
                <w:rFonts w:ascii="Arial" w:cs="Arial" w:eastAsia="Arial" w:hAnsi="Arial"/>
                <w:sz w:val="14"/>
                <w:szCs w:val="14"/>
                <w:color w:val="auto"/>
              </w:rPr>
              <w:t>52</w:t>
            </w:r>
          </w:p>
        </w:tc>
        <w:tc>
          <w:tcPr>
            <w:tcW w:w="1040" w:type="dxa"/>
            <w:vAlign w:val="bottom"/>
          </w:tcPr>
          <w:p>
            <w:pPr>
              <w:jc w:val="center"/>
              <w:ind w:right="126"/>
              <w:spacing w:after="0"/>
              <w:rPr>
                <w:sz w:val="20"/>
                <w:szCs w:val="20"/>
                <w:color w:val="auto"/>
              </w:rPr>
            </w:pPr>
            <w:r>
              <w:rPr>
                <w:rFonts w:ascii="Arial" w:cs="Arial" w:eastAsia="Arial" w:hAnsi="Arial"/>
                <w:sz w:val="14"/>
                <w:szCs w:val="14"/>
                <w:color w:val="auto"/>
              </w:rPr>
              <w:t>2022</w:t>
            </w:r>
          </w:p>
        </w:tc>
        <w:tc>
          <w:tcPr>
            <w:tcW w:w="80" w:type="dxa"/>
            <w:vAlign w:val="bottom"/>
          </w:tcPr>
          <w:p>
            <w:pPr>
              <w:spacing w:after="0"/>
              <w:rPr>
                <w:sz w:val="15"/>
                <w:szCs w:val="15"/>
                <w:color w:val="auto"/>
              </w:rPr>
            </w:pPr>
          </w:p>
        </w:tc>
        <w:tc>
          <w:tcPr>
            <w:tcW w:w="1060" w:type="dxa"/>
            <w:vAlign w:val="bottom"/>
          </w:tcPr>
          <w:p>
            <w:pPr>
              <w:jc w:val="center"/>
              <w:ind w:right="166"/>
              <w:spacing w:after="0"/>
              <w:rPr>
                <w:sz w:val="20"/>
                <w:szCs w:val="20"/>
                <w:color w:val="auto"/>
              </w:rPr>
            </w:pPr>
            <w:r>
              <w:rPr>
                <w:rFonts w:ascii="Arial" w:cs="Arial" w:eastAsia="Arial" w:hAnsi="Arial"/>
                <w:sz w:val="14"/>
                <w:szCs w:val="14"/>
                <w:color w:val="auto"/>
                <w:w w:val="90"/>
              </w:rPr>
              <w:t>Yes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jc w:val="right"/>
              <w:ind w:right="328"/>
              <w:spacing w:after="0"/>
              <w:rPr>
                <w:sz w:val="20"/>
                <w:szCs w:val="20"/>
                <w:color w:val="auto"/>
              </w:rPr>
            </w:pPr>
            <w:r>
              <w:rPr>
                <w:rFonts w:ascii="Arial" w:cs="Arial" w:eastAsia="Arial" w:hAnsi="Arial"/>
                <w:sz w:val="14"/>
                <w:szCs w:val="14"/>
                <w:color w:val="C00000"/>
              </w:rPr>
              <w:t>0</w:t>
            </w: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20" w:type="dxa"/>
            <w:vAlign w:val="bottom"/>
            <w:gridSpan w:val="5"/>
          </w:tcPr>
          <w:p>
            <w:pPr>
              <w:ind w:left="180"/>
              <w:spacing w:after="0"/>
              <w:rPr>
                <w:sz w:val="20"/>
                <w:szCs w:val="20"/>
                <w:color w:val="auto"/>
              </w:rPr>
            </w:pPr>
            <w:r>
              <w:rPr>
                <w:rFonts w:ascii="Arial" w:cs="Arial" w:eastAsia="Arial" w:hAnsi="Arial"/>
                <w:sz w:val="14"/>
                <w:szCs w:val="14"/>
                <w:color w:val="auto"/>
              </w:rPr>
              <w:t>LVMH Moët Hennessy Louis Vuitton</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C00000"/>
              </w:rPr>
              <w:t>E</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40" w:type="dxa"/>
            <w:vAlign w:val="bottom"/>
            <w:gridSpan w:val="3"/>
            <w:shd w:val="clear" w:color="auto" w:fill="D9D9D9"/>
          </w:tcPr>
          <w:p>
            <w:pPr>
              <w:spacing w:after="0"/>
              <w:rPr>
                <w:sz w:val="20"/>
                <w:szCs w:val="20"/>
                <w:color w:val="auto"/>
              </w:rPr>
            </w:pPr>
            <w:r>
              <w:rPr>
                <w:rFonts w:ascii="Arial" w:cs="Arial" w:eastAsia="Arial" w:hAnsi="Arial"/>
                <w:sz w:val="14"/>
                <w:szCs w:val="14"/>
                <w:b w:val="1"/>
                <w:bCs w:val="1"/>
                <w:color w:val="C00000"/>
              </w:rPr>
              <w:t>Michael G. Vale, Ph.D.</w:t>
            </w:r>
          </w:p>
        </w:tc>
        <w:tc>
          <w:tcPr>
            <w:tcW w:w="1060" w:type="dxa"/>
            <w:vAlign w:val="bottom"/>
            <w:tcBorders>
              <w:right w:val="single" w:sz="8" w:color="D9D9D9"/>
            </w:tcBorders>
            <w:shd w:val="clear" w:color="auto" w:fill="D9D9D9"/>
          </w:tcPr>
          <w:p>
            <w:pPr>
              <w:spacing w:after="0"/>
              <w:rPr>
                <w:sz w:val="16"/>
                <w:szCs w:val="16"/>
                <w:color w:val="auto"/>
              </w:rPr>
            </w:pPr>
          </w:p>
        </w:tc>
        <w:tc>
          <w:tcPr>
            <w:tcW w:w="1420" w:type="dxa"/>
            <w:vAlign w:val="bottom"/>
            <w:tcBorders>
              <w:right w:val="single" w:sz="8" w:color="D9D9D9"/>
            </w:tcBorders>
            <w:shd w:val="clear" w:color="auto" w:fill="D9D9D9"/>
          </w:tcPr>
          <w:p>
            <w:pPr>
              <w:spacing w:after="0"/>
              <w:rPr>
                <w:sz w:val="16"/>
                <w:szCs w:val="16"/>
                <w:color w:val="auto"/>
              </w:rPr>
            </w:pPr>
          </w:p>
        </w:tc>
        <w:tc>
          <w:tcPr>
            <w:tcW w:w="100" w:type="dxa"/>
            <w:vAlign w:val="bottom"/>
            <w:tcBorders>
              <w:right w:val="single" w:sz="8" w:color="D9D9D9"/>
            </w:tcBorders>
            <w:shd w:val="clear" w:color="auto" w:fill="D9D9D9"/>
          </w:tcPr>
          <w:p>
            <w:pPr>
              <w:spacing w:after="0"/>
              <w:rPr>
                <w:sz w:val="16"/>
                <w:szCs w:val="16"/>
                <w:color w:val="auto"/>
              </w:rPr>
            </w:pPr>
          </w:p>
        </w:tc>
        <w:tc>
          <w:tcPr>
            <w:tcW w:w="580" w:type="dxa"/>
            <w:vAlign w:val="bottom"/>
            <w:shd w:val="clear" w:color="auto" w:fill="D9D9D9"/>
          </w:tcPr>
          <w:p>
            <w:pPr>
              <w:spacing w:after="0"/>
              <w:rPr>
                <w:sz w:val="16"/>
                <w:szCs w:val="16"/>
                <w:color w:val="auto"/>
              </w:rPr>
            </w:pPr>
          </w:p>
        </w:tc>
        <w:tc>
          <w:tcPr>
            <w:tcW w:w="1040" w:type="dxa"/>
            <w:vAlign w:val="bottom"/>
            <w:tcBorders>
              <w:right w:val="single" w:sz="8" w:color="D9D9D9"/>
            </w:tcBorders>
            <w:shd w:val="clear" w:color="auto" w:fill="D9D9D9"/>
          </w:tcPr>
          <w:p>
            <w:pPr>
              <w:spacing w:after="0"/>
              <w:rPr>
                <w:sz w:val="16"/>
                <w:szCs w:val="16"/>
                <w:color w:val="auto"/>
              </w:rPr>
            </w:pPr>
          </w:p>
        </w:tc>
        <w:tc>
          <w:tcPr>
            <w:tcW w:w="80" w:type="dxa"/>
            <w:vAlign w:val="bottom"/>
            <w:tcBorders>
              <w:right w:val="single" w:sz="8" w:color="D9D9D9"/>
            </w:tcBorders>
            <w:shd w:val="clear" w:color="auto" w:fill="D9D9D9"/>
          </w:tcPr>
          <w:p>
            <w:pPr>
              <w:spacing w:after="0"/>
              <w:rPr>
                <w:sz w:val="16"/>
                <w:szCs w:val="16"/>
                <w:color w:val="auto"/>
              </w:rPr>
            </w:pPr>
          </w:p>
        </w:tc>
        <w:tc>
          <w:tcPr>
            <w:tcW w:w="1060" w:type="dxa"/>
            <w:vAlign w:val="bottom"/>
            <w:shd w:val="clear" w:color="auto" w:fill="D9D9D9"/>
          </w:tcPr>
          <w:p>
            <w:pPr>
              <w:spacing w:after="0"/>
              <w:rPr>
                <w:sz w:val="16"/>
                <w:szCs w:val="16"/>
                <w:color w:val="auto"/>
              </w:rPr>
            </w:pPr>
          </w:p>
        </w:tc>
        <w:tc>
          <w:tcPr>
            <w:tcW w:w="120" w:type="dxa"/>
            <w:vAlign w:val="bottom"/>
            <w:tcBorders>
              <w:right w:val="single" w:sz="8" w:color="D9D9D9"/>
            </w:tcBorders>
            <w:shd w:val="clear" w:color="auto" w:fill="D9D9D9"/>
          </w:tcPr>
          <w:p>
            <w:pPr>
              <w:spacing w:after="0"/>
              <w:rPr>
                <w:sz w:val="16"/>
                <w:szCs w:val="16"/>
                <w:color w:val="auto"/>
              </w:rPr>
            </w:pPr>
          </w:p>
        </w:tc>
        <w:tc>
          <w:tcPr>
            <w:tcW w:w="120" w:type="dxa"/>
            <w:vAlign w:val="bottom"/>
            <w:tcBorders>
              <w:right w:val="single" w:sz="8" w:color="D9D9D9"/>
            </w:tcBorders>
            <w:shd w:val="clear" w:color="auto" w:fill="D9D9D9"/>
          </w:tcPr>
          <w:p>
            <w:pPr>
              <w:spacing w:after="0"/>
              <w:rPr>
                <w:sz w:val="16"/>
                <w:szCs w:val="16"/>
                <w:color w:val="auto"/>
              </w:rPr>
            </w:pPr>
          </w:p>
        </w:tc>
        <w:tc>
          <w:tcPr>
            <w:tcW w:w="440" w:type="dxa"/>
            <w:vAlign w:val="bottom"/>
            <w:vMerge w:val="restart"/>
            <w:shd w:val="clear" w:color="auto" w:fill="D9D9D9"/>
          </w:tcPr>
          <w:p>
            <w:pPr>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300" w:type="dxa"/>
            <w:vAlign w:val="bottom"/>
            <w:vMerge w:val="restart"/>
            <w:shd w:val="clear" w:color="auto" w:fill="D9D9D9"/>
          </w:tcPr>
          <w:p>
            <w:pPr>
              <w:ind w:left="140"/>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820" w:type="dxa"/>
            <w:vAlign w:val="bottom"/>
            <w:tcBorders>
              <w:right w:val="single" w:sz="8" w:color="D9D9D9"/>
            </w:tcBorders>
            <w:shd w:val="clear" w:color="auto" w:fill="D9D9D9"/>
          </w:tcPr>
          <w:p>
            <w:pPr>
              <w:spacing w:after="0"/>
              <w:rPr>
                <w:sz w:val="16"/>
                <w:szCs w:val="16"/>
                <w:color w:val="auto"/>
              </w:rPr>
            </w:pPr>
          </w:p>
        </w:tc>
        <w:tc>
          <w:tcPr>
            <w:tcW w:w="960" w:type="dxa"/>
            <w:vAlign w:val="bottom"/>
            <w:shd w:val="clear" w:color="auto" w:fill="D9D9D9"/>
          </w:tcPr>
          <w:p>
            <w:pPr>
              <w:spacing w:after="0"/>
              <w:rPr>
                <w:sz w:val="16"/>
                <w:szCs w:val="16"/>
                <w:color w:val="auto"/>
              </w:rPr>
            </w:pPr>
          </w:p>
        </w:tc>
        <w:tc>
          <w:tcPr>
            <w:tcW w:w="760" w:type="dxa"/>
            <w:vAlign w:val="bottom"/>
            <w:tcBorders>
              <w:right w:val="single" w:sz="8" w:color="D9D9D9"/>
            </w:tcBorders>
            <w:shd w:val="clear" w:color="auto" w:fill="D9D9D9"/>
          </w:tcPr>
          <w:p>
            <w:pPr>
              <w:spacing w:after="0"/>
              <w:rPr>
                <w:sz w:val="16"/>
                <w:szCs w:val="16"/>
                <w:color w:val="auto"/>
              </w:rPr>
            </w:pPr>
          </w:p>
        </w:tc>
        <w:tc>
          <w:tcPr>
            <w:tcW w:w="860" w:type="dxa"/>
            <w:vAlign w:val="bottom"/>
            <w:vMerge w:val="restart"/>
            <w:shd w:val="clear" w:color="auto" w:fill="D9D9D9"/>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0" w:type="dxa"/>
            <w:vAlign w:val="bottom"/>
          </w:tcPr>
          <w:p>
            <w:pPr>
              <w:spacing w:after="0"/>
              <w:rPr>
                <w:sz w:val="1"/>
                <w:szCs w:val="1"/>
                <w:color w:val="auto"/>
              </w:rPr>
            </w:pPr>
          </w:p>
        </w:tc>
      </w:tr>
      <w:tr>
        <w:trPr>
          <w:trHeight w:val="166"/>
        </w:trPr>
        <w:tc>
          <w:tcPr>
            <w:tcW w:w="4020" w:type="dxa"/>
            <w:vAlign w:val="bottom"/>
            <w:tcBorders>
              <w:right w:val="single" w:sz="8" w:color="D9D9D9"/>
            </w:tcBorders>
            <w:gridSpan w:val="5"/>
            <w:shd w:val="clear" w:color="auto" w:fill="D9D9D9"/>
          </w:tcPr>
          <w:p>
            <w:pPr>
              <w:ind w:left="140"/>
              <w:spacing w:after="0"/>
              <w:rPr>
                <w:sz w:val="20"/>
                <w:szCs w:val="20"/>
                <w:color w:val="auto"/>
              </w:rPr>
            </w:pPr>
            <w:r>
              <w:rPr>
                <w:rFonts w:ascii="Arial" w:cs="Arial" w:eastAsia="Arial" w:hAnsi="Arial"/>
                <w:sz w:val="14"/>
                <w:szCs w:val="14"/>
                <w:color w:val="auto"/>
              </w:rPr>
              <w:t>Group President, Safety &amp; Industrial</w:t>
            </w:r>
          </w:p>
        </w:tc>
        <w:tc>
          <w:tcPr>
            <w:tcW w:w="100" w:type="dxa"/>
            <w:vAlign w:val="bottom"/>
            <w:tcBorders>
              <w:right w:val="single" w:sz="8" w:color="D9D9D9"/>
            </w:tcBorders>
            <w:shd w:val="clear" w:color="auto" w:fill="D9D9D9"/>
          </w:tcPr>
          <w:p>
            <w:pPr>
              <w:spacing w:after="0"/>
              <w:rPr>
                <w:sz w:val="14"/>
                <w:szCs w:val="14"/>
                <w:color w:val="auto"/>
              </w:rPr>
            </w:pPr>
          </w:p>
        </w:tc>
        <w:tc>
          <w:tcPr>
            <w:tcW w:w="5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56</w:t>
            </w:r>
          </w:p>
        </w:tc>
        <w:tc>
          <w:tcPr>
            <w:tcW w:w="1040" w:type="dxa"/>
            <w:vAlign w:val="bottom"/>
            <w:tcBorders>
              <w:right w:val="single" w:sz="8" w:color="D9D9D9"/>
            </w:tcBorders>
            <w:shd w:val="clear" w:color="auto" w:fill="D9D9D9"/>
          </w:tcPr>
          <w:p>
            <w:pPr>
              <w:jc w:val="center"/>
              <w:ind w:right="126"/>
              <w:spacing w:after="0"/>
              <w:rPr>
                <w:sz w:val="20"/>
                <w:szCs w:val="20"/>
                <w:color w:val="auto"/>
              </w:rPr>
            </w:pPr>
            <w:r>
              <w:rPr>
                <w:rFonts w:ascii="Arial" w:cs="Arial" w:eastAsia="Arial" w:hAnsi="Arial"/>
                <w:sz w:val="14"/>
                <w:szCs w:val="14"/>
                <w:color w:val="auto"/>
              </w:rPr>
              <w:t>2018</w:t>
            </w:r>
          </w:p>
        </w:tc>
        <w:tc>
          <w:tcPr>
            <w:tcW w:w="80" w:type="dxa"/>
            <w:vAlign w:val="bottom"/>
            <w:tcBorders>
              <w:right w:val="single" w:sz="8" w:color="D9D9D9"/>
            </w:tcBorders>
            <w:shd w:val="clear" w:color="auto" w:fill="D9D9D9"/>
          </w:tcPr>
          <w:p>
            <w:pPr>
              <w:spacing w:after="0"/>
              <w:rPr>
                <w:sz w:val="14"/>
                <w:szCs w:val="14"/>
                <w:color w:val="auto"/>
              </w:rPr>
            </w:pPr>
          </w:p>
        </w:tc>
        <w:tc>
          <w:tcPr>
            <w:tcW w:w="1060" w:type="dxa"/>
            <w:vAlign w:val="bottom"/>
            <w:shd w:val="clear" w:color="auto" w:fill="D9D9D9"/>
          </w:tcPr>
          <w:p>
            <w:pPr>
              <w:jc w:val="center"/>
              <w:ind w:right="166"/>
              <w:spacing w:after="0"/>
              <w:rPr>
                <w:sz w:val="20"/>
                <w:szCs w:val="20"/>
                <w:color w:val="auto"/>
              </w:rPr>
            </w:pPr>
            <w:r>
              <w:rPr>
                <w:rFonts w:ascii="Arial" w:cs="Arial" w:eastAsia="Arial" w:hAnsi="Arial"/>
                <w:sz w:val="14"/>
                <w:szCs w:val="14"/>
                <w:color w:val="auto"/>
                <w:w w:val="90"/>
              </w:rPr>
              <w:t>Yes</w:t>
            </w:r>
          </w:p>
        </w:tc>
        <w:tc>
          <w:tcPr>
            <w:tcW w:w="120" w:type="dxa"/>
            <w:vAlign w:val="bottom"/>
            <w:tcBorders>
              <w:right w:val="single" w:sz="8" w:color="D9D9D9"/>
            </w:tcBorders>
            <w:shd w:val="clear" w:color="auto" w:fill="D9D9D9"/>
          </w:tcPr>
          <w:p>
            <w:pPr>
              <w:spacing w:after="0"/>
              <w:rPr>
                <w:sz w:val="14"/>
                <w:szCs w:val="14"/>
                <w:color w:val="auto"/>
              </w:rPr>
            </w:pPr>
          </w:p>
        </w:tc>
        <w:tc>
          <w:tcPr>
            <w:tcW w:w="120" w:type="dxa"/>
            <w:vAlign w:val="bottom"/>
            <w:tcBorders>
              <w:right w:val="single" w:sz="8" w:color="D9D9D9"/>
            </w:tcBorders>
            <w:shd w:val="clear" w:color="auto" w:fill="D9D9D9"/>
          </w:tcPr>
          <w:p>
            <w:pPr>
              <w:spacing w:after="0"/>
              <w:rPr>
                <w:sz w:val="14"/>
                <w:szCs w:val="14"/>
                <w:color w:val="auto"/>
              </w:rPr>
            </w:pPr>
          </w:p>
        </w:tc>
        <w:tc>
          <w:tcPr>
            <w:tcW w:w="440" w:type="dxa"/>
            <w:vAlign w:val="bottom"/>
            <w:vMerge w:val="continue"/>
            <w:shd w:val="clear" w:color="auto" w:fill="D9D9D9"/>
          </w:tcPr>
          <w:p>
            <w:pPr>
              <w:spacing w:after="0"/>
              <w:rPr>
                <w:sz w:val="14"/>
                <w:szCs w:val="14"/>
                <w:color w:val="auto"/>
              </w:rPr>
            </w:pPr>
          </w:p>
        </w:tc>
        <w:tc>
          <w:tcPr>
            <w:tcW w:w="300" w:type="dxa"/>
            <w:vAlign w:val="bottom"/>
            <w:vMerge w:val="continue"/>
            <w:shd w:val="clear" w:color="auto" w:fill="D9D9D9"/>
          </w:tcPr>
          <w:p>
            <w:pPr>
              <w:spacing w:after="0"/>
              <w:rPr>
                <w:sz w:val="14"/>
                <w:szCs w:val="14"/>
                <w:color w:val="auto"/>
              </w:rPr>
            </w:pPr>
          </w:p>
        </w:tc>
        <w:tc>
          <w:tcPr>
            <w:tcW w:w="820" w:type="dxa"/>
            <w:vAlign w:val="bottom"/>
            <w:tcBorders>
              <w:right w:val="single" w:sz="8" w:color="D9D9D9"/>
            </w:tcBorders>
            <w:shd w:val="clear" w:color="auto" w:fill="D9D9D9"/>
          </w:tcPr>
          <w:p>
            <w:pPr>
              <w:spacing w:after="0"/>
              <w:rPr>
                <w:sz w:val="14"/>
                <w:szCs w:val="14"/>
                <w:color w:val="auto"/>
              </w:rPr>
            </w:pPr>
          </w:p>
        </w:tc>
        <w:tc>
          <w:tcPr>
            <w:tcW w:w="960" w:type="dxa"/>
            <w:vAlign w:val="bottom"/>
            <w:shd w:val="clear" w:color="auto" w:fill="D9D9D9"/>
          </w:tcPr>
          <w:p>
            <w:pPr>
              <w:spacing w:after="0"/>
              <w:rPr>
                <w:sz w:val="14"/>
                <w:szCs w:val="14"/>
                <w:color w:val="auto"/>
              </w:rPr>
            </w:pPr>
          </w:p>
        </w:tc>
        <w:tc>
          <w:tcPr>
            <w:tcW w:w="760" w:type="dxa"/>
            <w:vAlign w:val="bottom"/>
            <w:tcBorders>
              <w:right w:val="single" w:sz="8" w:color="D9D9D9"/>
            </w:tcBorders>
            <w:shd w:val="clear" w:color="auto" w:fill="D9D9D9"/>
          </w:tcPr>
          <w:p>
            <w:pPr>
              <w:jc w:val="right"/>
              <w:ind w:right="328"/>
              <w:spacing w:after="0"/>
              <w:rPr>
                <w:sz w:val="20"/>
                <w:szCs w:val="20"/>
                <w:color w:val="auto"/>
              </w:rPr>
            </w:pPr>
            <w:r>
              <w:rPr>
                <w:rFonts w:ascii="Arial" w:cs="Arial" w:eastAsia="Arial" w:hAnsi="Arial"/>
                <w:sz w:val="14"/>
                <w:szCs w:val="14"/>
                <w:color w:val="C00000"/>
              </w:rPr>
              <w:t>0</w:t>
            </w:r>
          </w:p>
        </w:tc>
        <w:tc>
          <w:tcPr>
            <w:tcW w:w="860" w:type="dxa"/>
            <w:vAlign w:val="bottom"/>
            <w:vMerge w:val="continue"/>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40" w:type="dxa"/>
            <w:vAlign w:val="bottom"/>
            <w:gridSpan w:val="3"/>
            <w:shd w:val="clear" w:color="auto" w:fill="D9D9D9"/>
          </w:tcPr>
          <w:p>
            <w:pPr>
              <w:ind w:left="140"/>
              <w:spacing w:after="0"/>
              <w:rPr>
                <w:sz w:val="20"/>
                <w:szCs w:val="20"/>
                <w:color w:val="auto"/>
              </w:rPr>
            </w:pPr>
            <w:r>
              <w:rPr>
                <w:rFonts w:ascii="Arial" w:cs="Arial" w:eastAsia="Arial" w:hAnsi="Arial"/>
                <w:sz w:val="14"/>
                <w:szCs w:val="14"/>
                <w:color w:val="auto"/>
              </w:rPr>
              <w:t>3M Company</w:t>
            </w:r>
          </w:p>
        </w:tc>
        <w:tc>
          <w:tcPr>
            <w:tcW w:w="1060" w:type="dxa"/>
            <w:vAlign w:val="bottom"/>
            <w:tcBorders>
              <w:right w:val="single" w:sz="8" w:color="D9D9D9"/>
            </w:tcBorders>
            <w:shd w:val="clear" w:color="auto" w:fill="D9D9D9"/>
          </w:tcPr>
          <w:p>
            <w:pPr>
              <w:spacing w:after="0"/>
              <w:rPr>
                <w:sz w:val="14"/>
                <w:szCs w:val="14"/>
                <w:color w:val="auto"/>
              </w:rPr>
            </w:pPr>
          </w:p>
        </w:tc>
        <w:tc>
          <w:tcPr>
            <w:tcW w:w="1420" w:type="dxa"/>
            <w:vAlign w:val="bottom"/>
            <w:tcBorders>
              <w:right w:val="single" w:sz="8" w:color="D9D9D9"/>
            </w:tcBorders>
            <w:shd w:val="clear" w:color="auto" w:fill="D9D9D9"/>
          </w:tcPr>
          <w:p>
            <w:pPr>
              <w:spacing w:after="0"/>
              <w:rPr>
                <w:sz w:val="14"/>
                <w:szCs w:val="14"/>
                <w:color w:val="auto"/>
              </w:rPr>
            </w:pPr>
          </w:p>
        </w:tc>
        <w:tc>
          <w:tcPr>
            <w:tcW w:w="100" w:type="dxa"/>
            <w:vAlign w:val="bottom"/>
            <w:tcBorders>
              <w:right w:val="single" w:sz="8" w:color="D9D9D9"/>
            </w:tcBorders>
            <w:shd w:val="clear" w:color="auto" w:fill="D9D9D9"/>
          </w:tcPr>
          <w:p>
            <w:pPr>
              <w:spacing w:after="0"/>
              <w:rPr>
                <w:sz w:val="14"/>
                <w:szCs w:val="14"/>
                <w:color w:val="auto"/>
              </w:rPr>
            </w:pPr>
          </w:p>
        </w:tc>
        <w:tc>
          <w:tcPr>
            <w:tcW w:w="580" w:type="dxa"/>
            <w:vAlign w:val="bottom"/>
            <w:shd w:val="clear" w:color="auto" w:fill="D9D9D9"/>
          </w:tcPr>
          <w:p>
            <w:pPr>
              <w:spacing w:after="0"/>
              <w:rPr>
                <w:sz w:val="14"/>
                <w:szCs w:val="14"/>
                <w:color w:val="auto"/>
              </w:rPr>
            </w:pPr>
          </w:p>
        </w:tc>
        <w:tc>
          <w:tcPr>
            <w:tcW w:w="1040" w:type="dxa"/>
            <w:vAlign w:val="bottom"/>
            <w:tcBorders>
              <w:right w:val="single" w:sz="8" w:color="D9D9D9"/>
            </w:tcBorders>
            <w:shd w:val="clear" w:color="auto" w:fill="D9D9D9"/>
          </w:tcPr>
          <w:p>
            <w:pPr>
              <w:spacing w:after="0"/>
              <w:rPr>
                <w:sz w:val="14"/>
                <w:szCs w:val="14"/>
                <w:color w:val="auto"/>
              </w:rPr>
            </w:pPr>
          </w:p>
        </w:tc>
        <w:tc>
          <w:tcPr>
            <w:tcW w:w="80" w:type="dxa"/>
            <w:vAlign w:val="bottom"/>
            <w:tcBorders>
              <w:right w:val="single" w:sz="8" w:color="D9D9D9"/>
            </w:tcBorders>
            <w:shd w:val="clear" w:color="auto" w:fill="D9D9D9"/>
          </w:tcPr>
          <w:p>
            <w:pPr>
              <w:spacing w:after="0"/>
              <w:rPr>
                <w:sz w:val="14"/>
                <w:szCs w:val="14"/>
                <w:color w:val="auto"/>
              </w:rPr>
            </w:pPr>
          </w:p>
        </w:tc>
        <w:tc>
          <w:tcPr>
            <w:tcW w:w="1060" w:type="dxa"/>
            <w:vAlign w:val="bottom"/>
            <w:shd w:val="clear" w:color="auto" w:fill="D9D9D9"/>
          </w:tcPr>
          <w:p>
            <w:pPr>
              <w:spacing w:after="0"/>
              <w:rPr>
                <w:sz w:val="14"/>
                <w:szCs w:val="14"/>
                <w:color w:val="auto"/>
              </w:rPr>
            </w:pPr>
          </w:p>
        </w:tc>
        <w:tc>
          <w:tcPr>
            <w:tcW w:w="120" w:type="dxa"/>
            <w:vAlign w:val="bottom"/>
            <w:tcBorders>
              <w:right w:val="single" w:sz="8" w:color="D9D9D9"/>
            </w:tcBorders>
            <w:shd w:val="clear" w:color="auto" w:fill="D9D9D9"/>
          </w:tcPr>
          <w:p>
            <w:pPr>
              <w:spacing w:after="0"/>
              <w:rPr>
                <w:sz w:val="14"/>
                <w:szCs w:val="14"/>
                <w:color w:val="auto"/>
              </w:rPr>
            </w:pPr>
          </w:p>
        </w:tc>
        <w:tc>
          <w:tcPr>
            <w:tcW w:w="120" w:type="dxa"/>
            <w:vAlign w:val="bottom"/>
            <w:tcBorders>
              <w:right w:val="single" w:sz="8" w:color="D9D9D9"/>
            </w:tcBorders>
            <w:shd w:val="clear" w:color="auto" w:fill="D9D9D9"/>
          </w:tcPr>
          <w:p>
            <w:pPr>
              <w:spacing w:after="0"/>
              <w:rPr>
                <w:sz w:val="14"/>
                <w:szCs w:val="14"/>
                <w:color w:val="auto"/>
              </w:rPr>
            </w:pPr>
          </w:p>
        </w:tc>
        <w:tc>
          <w:tcPr>
            <w:tcW w:w="440" w:type="dxa"/>
            <w:vAlign w:val="bottom"/>
            <w:shd w:val="clear" w:color="auto" w:fill="D9D9D9"/>
          </w:tcPr>
          <w:p>
            <w:pPr>
              <w:spacing w:after="0"/>
              <w:rPr>
                <w:sz w:val="14"/>
                <w:szCs w:val="14"/>
                <w:color w:val="auto"/>
              </w:rPr>
            </w:pPr>
          </w:p>
        </w:tc>
        <w:tc>
          <w:tcPr>
            <w:tcW w:w="300" w:type="dxa"/>
            <w:vAlign w:val="bottom"/>
            <w:shd w:val="clear" w:color="auto" w:fill="D9D9D9"/>
          </w:tcPr>
          <w:p>
            <w:pPr>
              <w:spacing w:after="0"/>
              <w:rPr>
                <w:sz w:val="14"/>
                <w:szCs w:val="14"/>
                <w:color w:val="auto"/>
              </w:rPr>
            </w:pPr>
          </w:p>
        </w:tc>
        <w:tc>
          <w:tcPr>
            <w:tcW w:w="820" w:type="dxa"/>
            <w:vAlign w:val="bottom"/>
            <w:tcBorders>
              <w:right w:val="single" w:sz="8" w:color="D9D9D9"/>
            </w:tcBorders>
            <w:shd w:val="clear" w:color="auto" w:fill="D9D9D9"/>
          </w:tcPr>
          <w:p>
            <w:pPr>
              <w:spacing w:after="0"/>
              <w:rPr>
                <w:sz w:val="14"/>
                <w:szCs w:val="14"/>
                <w:color w:val="auto"/>
              </w:rPr>
            </w:pPr>
          </w:p>
        </w:tc>
        <w:tc>
          <w:tcPr>
            <w:tcW w:w="960" w:type="dxa"/>
            <w:vAlign w:val="bottom"/>
            <w:shd w:val="clear" w:color="auto" w:fill="D9D9D9"/>
          </w:tcPr>
          <w:p>
            <w:pPr>
              <w:spacing w:after="0"/>
              <w:rPr>
                <w:sz w:val="14"/>
                <w:szCs w:val="14"/>
                <w:color w:val="auto"/>
              </w:rPr>
            </w:pPr>
          </w:p>
        </w:tc>
        <w:tc>
          <w:tcPr>
            <w:tcW w:w="760" w:type="dxa"/>
            <w:vAlign w:val="bottom"/>
            <w:tcBorders>
              <w:right w:val="single" w:sz="8" w:color="D9D9D9"/>
            </w:tcBorders>
            <w:shd w:val="clear" w:color="auto" w:fill="D9D9D9"/>
          </w:tcPr>
          <w:p>
            <w:pPr>
              <w:spacing w:after="0"/>
              <w:rPr>
                <w:sz w:val="14"/>
                <w:szCs w:val="14"/>
                <w:color w:val="auto"/>
              </w:rPr>
            </w:pPr>
          </w:p>
        </w:tc>
        <w:tc>
          <w:tcPr>
            <w:tcW w:w="86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444"/>
        </w:trPr>
        <w:tc>
          <w:tcPr>
            <w:tcW w:w="1540" w:type="dxa"/>
            <w:vAlign w:val="bottom"/>
            <w:gridSpan w:val="3"/>
          </w:tcPr>
          <w:p>
            <w:pPr>
              <w:spacing w:after="0"/>
              <w:rPr>
                <w:sz w:val="20"/>
                <w:szCs w:val="20"/>
                <w:color w:val="auto"/>
              </w:rPr>
            </w:pPr>
            <w:r>
              <w:rPr>
                <w:rFonts w:ascii="Arial" w:cs="Arial" w:eastAsia="Arial" w:hAnsi="Arial"/>
                <w:sz w:val="16"/>
                <w:szCs w:val="16"/>
                <w:b w:val="1"/>
                <w:bCs w:val="1"/>
                <w:color w:val="C00000"/>
              </w:rPr>
              <w:t xml:space="preserve">A: </w:t>
            </w:r>
            <w:r>
              <w:rPr>
                <w:rFonts w:ascii="Arial" w:cs="Arial" w:eastAsia="Arial" w:hAnsi="Arial"/>
                <w:sz w:val="16"/>
                <w:szCs w:val="16"/>
                <w:color w:val="000000"/>
              </w:rPr>
              <w:t>Audit</w:t>
            </w:r>
          </w:p>
        </w:tc>
        <w:tc>
          <w:tcPr>
            <w:tcW w:w="3160" w:type="dxa"/>
            <w:vAlign w:val="bottom"/>
            <w:gridSpan w:val="4"/>
          </w:tcPr>
          <w:p>
            <w:pPr>
              <w:ind w:left="360"/>
              <w:spacing w:after="0"/>
              <w:rPr>
                <w:sz w:val="20"/>
                <w:szCs w:val="20"/>
                <w:color w:val="auto"/>
              </w:rPr>
            </w:pPr>
            <w:r>
              <w:rPr>
                <w:rFonts w:ascii="Arial" w:cs="Arial" w:eastAsia="Arial" w:hAnsi="Arial"/>
                <w:sz w:val="16"/>
                <w:szCs w:val="16"/>
                <w:b w:val="1"/>
                <w:bCs w:val="1"/>
                <w:color w:val="C00000"/>
              </w:rPr>
              <w:t xml:space="preserve">N&amp;G: </w:t>
            </w:r>
            <w:r>
              <w:rPr>
                <w:rFonts w:ascii="Arial" w:cs="Arial" w:eastAsia="Arial" w:hAnsi="Arial"/>
                <w:sz w:val="16"/>
                <w:szCs w:val="16"/>
                <w:color w:val="000000"/>
              </w:rPr>
              <w:t>Nominating &amp; Governance</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ind w:left="200"/>
              <w:spacing w:after="0" w:line="184" w:lineRule="exact"/>
              <w:rPr>
                <w:sz w:val="20"/>
                <w:szCs w:val="20"/>
                <w:color w:val="auto"/>
              </w:rPr>
            </w:pPr>
            <w:r>
              <w:rPr>
                <w:rFonts w:ascii="MS PGothic" w:cs="MS PGothic" w:eastAsia="MS PGothic" w:hAnsi="MS PGothic"/>
                <w:sz w:val="16"/>
                <w:szCs w:val="16"/>
                <w:color w:val="000000"/>
                <w:w w:val="99"/>
                <w:shd w:val="clear" w:color="auto" w:fill="C00000"/>
              </w:rPr>
              <w:t>✓</w:t>
            </w:r>
            <w:r>
              <w:rPr>
                <w:rFonts w:ascii="Arial" w:cs="Arial" w:eastAsia="Arial" w:hAnsi="Arial"/>
                <w:sz w:val="16"/>
                <w:szCs w:val="16"/>
                <w:b w:val="1"/>
                <w:bCs w:val="1"/>
                <w:color w:val="C00000"/>
                <w:w w:val="99"/>
              </w:rPr>
              <w:t xml:space="preserve">: </w:t>
            </w:r>
            <w:r>
              <w:rPr>
                <w:rFonts w:ascii="Arial" w:cs="Arial" w:eastAsia="Arial" w:hAnsi="Arial"/>
                <w:sz w:val="16"/>
                <w:szCs w:val="16"/>
                <w:color w:val="000000"/>
                <w:w w:val="99"/>
              </w:rPr>
              <w:t>Member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40" w:type="dxa"/>
            <w:vAlign w:val="bottom"/>
            <w:gridSpan w:val="4"/>
          </w:tcPr>
          <w:p>
            <w:pPr>
              <w:jc w:val="right"/>
              <w:ind w:right="188"/>
              <w:spacing w:after="0"/>
              <w:rPr>
                <w:sz w:val="20"/>
                <w:szCs w:val="20"/>
                <w:color w:val="auto"/>
              </w:rPr>
            </w:pPr>
            <w:r>
              <w:rPr>
                <w:rFonts w:ascii="Arial" w:cs="Arial" w:eastAsia="Arial" w:hAnsi="Arial"/>
                <w:sz w:val="16"/>
                <w:szCs w:val="16"/>
                <w:b w:val="1"/>
                <w:bCs w:val="1"/>
                <w:color w:val="C00000"/>
              </w:rPr>
              <w:t>E:</w:t>
            </w:r>
            <w:r>
              <w:rPr>
                <w:rFonts w:ascii="Arial" w:cs="Arial" w:eastAsia="Arial" w:hAnsi="Arial"/>
                <w:sz w:val="16"/>
                <w:szCs w:val="16"/>
                <w:color w:val="000000"/>
              </w:rPr>
              <w:t>Audit Committee Financial Expert</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540" w:type="dxa"/>
            <w:vAlign w:val="bottom"/>
            <w:gridSpan w:val="3"/>
          </w:tcPr>
          <w:p>
            <w:pPr>
              <w:spacing w:after="0"/>
              <w:rPr>
                <w:sz w:val="20"/>
                <w:szCs w:val="20"/>
                <w:color w:val="auto"/>
              </w:rPr>
            </w:pPr>
            <w:r>
              <w:rPr>
                <w:rFonts w:ascii="Arial" w:cs="Arial" w:eastAsia="Arial" w:hAnsi="Arial"/>
                <w:sz w:val="16"/>
                <w:szCs w:val="16"/>
                <w:b w:val="1"/>
                <w:bCs w:val="1"/>
                <w:color w:val="C00000"/>
              </w:rPr>
              <w:t xml:space="preserve">F: </w:t>
            </w:r>
            <w:r>
              <w:rPr>
                <w:rFonts w:ascii="Arial" w:cs="Arial" w:eastAsia="Arial" w:hAnsi="Arial"/>
                <w:sz w:val="16"/>
                <w:szCs w:val="16"/>
                <w:color w:val="000000"/>
              </w:rPr>
              <w:t>Finance</w:t>
            </w:r>
          </w:p>
        </w:tc>
        <w:tc>
          <w:tcPr>
            <w:tcW w:w="4200" w:type="dxa"/>
            <w:vAlign w:val="bottom"/>
            <w:gridSpan w:val="5"/>
          </w:tcPr>
          <w:p>
            <w:pPr>
              <w:ind w:left="240"/>
              <w:spacing w:after="0"/>
              <w:rPr>
                <w:sz w:val="20"/>
                <w:szCs w:val="20"/>
                <w:color w:val="auto"/>
              </w:rPr>
            </w:pPr>
            <w:r>
              <w:rPr>
                <w:rFonts w:ascii="Arial" w:cs="Arial" w:eastAsia="Arial" w:hAnsi="Arial"/>
                <w:sz w:val="16"/>
                <w:szCs w:val="16"/>
                <w:b w:val="1"/>
                <w:bCs w:val="1"/>
                <w:color w:val="C00000"/>
              </w:rPr>
              <w:t xml:space="preserve">C&amp;HR: </w:t>
            </w:r>
            <w:r>
              <w:rPr>
                <w:rFonts w:ascii="Arial" w:cs="Arial" w:eastAsia="Arial" w:hAnsi="Arial"/>
                <w:sz w:val="16"/>
                <w:szCs w:val="16"/>
                <w:color w:val="000000"/>
              </w:rPr>
              <w:t>Compensation &amp; Human Resources</w:t>
            </w:r>
          </w:p>
        </w:tc>
        <w:tc>
          <w:tcPr>
            <w:tcW w:w="80" w:type="dxa"/>
            <w:vAlign w:val="bottom"/>
          </w:tcPr>
          <w:p>
            <w:pPr>
              <w:spacing w:after="0"/>
              <w:rPr>
                <w:sz w:val="22"/>
                <w:szCs w:val="22"/>
                <w:color w:val="auto"/>
              </w:rPr>
            </w:pPr>
          </w:p>
        </w:tc>
        <w:tc>
          <w:tcPr>
            <w:tcW w:w="1060" w:type="dxa"/>
            <w:vAlign w:val="bottom"/>
          </w:tcPr>
          <w:p>
            <w:pPr>
              <w:ind w:left="200"/>
              <w:spacing w:after="0"/>
              <w:rPr>
                <w:sz w:val="20"/>
                <w:szCs w:val="20"/>
                <w:color w:val="auto"/>
              </w:rPr>
            </w:pPr>
            <w:r>
              <w:rPr>
                <w:rFonts w:ascii="Arial" w:cs="Arial" w:eastAsia="Arial" w:hAnsi="Arial"/>
                <w:sz w:val="16"/>
                <w:szCs w:val="16"/>
                <w:b w:val="1"/>
                <w:bCs w:val="1"/>
                <w:color w:val="C00000"/>
              </w:rPr>
              <w:t xml:space="preserve">C: </w:t>
            </w:r>
            <w:r>
              <w:rPr>
                <w:rFonts w:ascii="Arial" w:cs="Arial" w:eastAsia="Arial" w:hAnsi="Arial"/>
                <w:sz w:val="16"/>
                <w:szCs w:val="16"/>
                <w:color w:val="000000"/>
              </w:rPr>
              <w:t>Chair</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-783590</wp:posOffset>
            </wp:positionV>
            <wp:extent cx="39090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90906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-3954780</wp:posOffset>
            </wp:positionV>
            <wp:extent cx="3771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-4615180</wp:posOffset>
            </wp:positionV>
            <wp:extent cx="16116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212" w:lineRule="exact"/>
        <w:rPr>
          <w:sz w:val="20"/>
          <w:szCs w:val="20"/>
          <w:color w:val="auto"/>
        </w:rPr>
      </w:pPr>
    </w:p>
    <w:p>
      <w:pPr>
        <w:ind w:left="200" w:right="200" w:hanging="192"/>
        <w:spacing w:after="0" w:line="243" w:lineRule="auto"/>
        <w:tabs>
          <w:tab w:leader="none" w:pos="2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While Katherine J. Harless is a current director, she attained the age of 70 during her current term and, in accordance with our Corporate Governance Guidelines, will retire from the Board at the expiration of her term at the annual meeting. Therefore, she is not included in these calculations. As of the date of this proxy statement, 33% of our directors are women. Ms. Harless has served as a director for 22 years. In light of her retirement from the Board, the Board intends to consider whether to seek additional directors and, in doing so, will continue to prioritize all diversity attributes, including gender and racial/ethnic diversity considerations.</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60"/>
          </w:cols>
          <w:pgMar w:left="320" w:top="108" w:right="31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74930</wp:posOffset>
            </wp:positionV>
            <wp:extent cx="6060440" cy="4718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60440" cy="471805"/>
                    </a:xfrm>
                    <a:prstGeom prst="rect">
                      <a:avLst/>
                    </a:prstGeom>
                    <a:noFill/>
                  </pic:spPr>
                </pic:pic>
              </a:graphicData>
            </a:graphic>
          </wp:anchor>
        </w:drawing>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C00000"/>
        </w:rPr>
        <w:t>Executive Compensation Program Philosophy</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Our executive compensation philosophy is to maintain a program that allows us to attract,</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retain, motivate and reward highly qualified and talented executive officers.</w:t>
      </w:r>
    </w:p>
    <w:p>
      <w:pPr>
        <w:spacing w:after="0" w:line="71" w:lineRule="exact"/>
        <w:rPr>
          <w:sz w:val="20"/>
          <w:szCs w:val="20"/>
          <w:color w:val="auto"/>
        </w:rPr>
      </w:pPr>
    </w:p>
    <w:tbl>
      <w:tblPr>
        <w:tblLayout w:type="fixed"/>
        <w:tblInd w:w="870" w:type="dxa"/>
        <w:tblCellMar>
          <w:top w:w="0" w:type="dxa"/>
          <w:left w:w="0" w:type="dxa"/>
          <w:bottom w:w="0" w:type="dxa"/>
          <w:right w:w="0" w:type="dxa"/>
        </w:tblCellMar>
      </w:tblPr>
      <w:tr>
        <w:trPr>
          <w:trHeight w:val="251"/>
        </w:trPr>
        <w:tc>
          <w:tcPr>
            <w:tcW w:w="370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C00000"/>
                <w:w w:val="99"/>
              </w:rPr>
              <w:t>Align interests of executive</w:t>
            </w:r>
          </w:p>
        </w:tc>
        <w:tc>
          <w:tcPr>
            <w:tcW w:w="140" w:type="dxa"/>
            <w:vAlign w:val="bottom"/>
            <w:tcBorders>
              <w:right w:val="single" w:sz="8" w:color="auto"/>
            </w:tcBorders>
          </w:tcPr>
          <w:p>
            <w:pPr>
              <w:spacing w:after="0"/>
              <w:rPr>
                <w:sz w:val="21"/>
                <w:szCs w:val="21"/>
                <w:color w:val="auto"/>
              </w:rPr>
            </w:pPr>
          </w:p>
        </w:tc>
        <w:tc>
          <w:tcPr>
            <w:tcW w:w="19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C00000"/>
              </w:rPr>
              <w:t>Link pay to</w:t>
            </w:r>
          </w:p>
        </w:tc>
        <w:tc>
          <w:tcPr>
            <w:tcW w:w="120" w:type="dxa"/>
            <w:vAlign w:val="bottom"/>
            <w:tcBorders>
              <w:right w:val="single" w:sz="8" w:color="auto"/>
            </w:tcBorders>
          </w:tcPr>
          <w:p>
            <w:pPr>
              <w:spacing w:after="0"/>
              <w:rPr>
                <w:sz w:val="21"/>
                <w:szCs w:val="21"/>
                <w:color w:val="auto"/>
              </w:rPr>
            </w:pPr>
          </w:p>
        </w:tc>
        <w:tc>
          <w:tcPr>
            <w:tcW w:w="36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C00000"/>
                <w:w w:val="99"/>
              </w:rPr>
              <w:t>Provide competitive target</w:t>
            </w:r>
          </w:p>
        </w:tc>
      </w:tr>
      <w:tr>
        <w:trPr>
          <w:trHeight w:val="203"/>
        </w:trPr>
        <w:tc>
          <w:tcPr>
            <w:tcW w:w="3700" w:type="dxa"/>
            <w:vAlign w:val="bottom"/>
            <w:tcBorders>
              <w:left w:val="single" w:sz="8" w:color="auto"/>
              <w:right w:val="single" w:sz="8" w:color="auto"/>
            </w:tcBorders>
            <w:shd w:val="clear" w:color="auto" w:fill="D9D9D9"/>
          </w:tcPr>
          <w:p>
            <w:pPr>
              <w:jc w:val="center"/>
              <w:spacing w:after="0" w:line="202" w:lineRule="exact"/>
              <w:rPr>
                <w:sz w:val="20"/>
                <w:szCs w:val="20"/>
                <w:color w:val="auto"/>
              </w:rPr>
            </w:pPr>
            <w:r>
              <w:rPr>
                <w:rFonts w:ascii="Arial" w:cs="Arial" w:eastAsia="Arial" w:hAnsi="Arial"/>
                <w:sz w:val="18"/>
                <w:szCs w:val="18"/>
                <w:b w:val="1"/>
                <w:bCs w:val="1"/>
                <w:color w:val="C00000"/>
                <w:w w:val="99"/>
              </w:rPr>
              <w:t>officers with shareholder</w:t>
            </w:r>
          </w:p>
        </w:tc>
        <w:tc>
          <w:tcPr>
            <w:tcW w:w="14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shd w:val="clear" w:color="auto" w:fill="D9D9D9"/>
          </w:tcPr>
          <w:p>
            <w:pPr>
              <w:jc w:val="center"/>
              <w:spacing w:after="0" w:line="202" w:lineRule="exact"/>
              <w:rPr>
                <w:sz w:val="20"/>
                <w:szCs w:val="20"/>
                <w:color w:val="auto"/>
              </w:rPr>
            </w:pPr>
            <w:r>
              <w:rPr>
                <w:rFonts w:ascii="Arial" w:cs="Arial" w:eastAsia="Arial" w:hAnsi="Arial"/>
                <w:sz w:val="18"/>
                <w:szCs w:val="18"/>
                <w:b w:val="1"/>
                <w:bCs w:val="1"/>
                <w:color w:val="C00000"/>
                <w:w w:val="99"/>
              </w:rPr>
              <w:t>performance</w:t>
            </w:r>
          </w:p>
        </w:tc>
        <w:tc>
          <w:tcPr>
            <w:tcW w:w="120" w:type="dxa"/>
            <w:vAlign w:val="bottom"/>
            <w:tcBorders>
              <w:right w:val="single" w:sz="8" w:color="auto"/>
            </w:tcBorders>
          </w:tcPr>
          <w:p>
            <w:pPr>
              <w:spacing w:after="0"/>
              <w:rPr>
                <w:sz w:val="17"/>
                <w:szCs w:val="17"/>
                <w:color w:val="auto"/>
              </w:rPr>
            </w:pPr>
          </w:p>
        </w:tc>
        <w:tc>
          <w:tcPr>
            <w:tcW w:w="3680" w:type="dxa"/>
            <w:vAlign w:val="bottom"/>
            <w:tcBorders>
              <w:right w:val="single" w:sz="8" w:color="auto"/>
            </w:tcBorders>
            <w:shd w:val="clear" w:color="auto" w:fill="D9D9D9"/>
          </w:tcPr>
          <w:p>
            <w:pPr>
              <w:jc w:val="center"/>
              <w:spacing w:after="0" w:line="202" w:lineRule="exact"/>
              <w:rPr>
                <w:sz w:val="20"/>
                <w:szCs w:val="20"/>
                <w:color w:val="auto"/>
              </w:rPr>
            </w:pPr>
            <w:r>
              <w:rPr>
                <w:rFonts w:ascii="Arial" w:cs="Arial" w:eastAsia="Arial" w:hAnsi="Arial"/>
                <w:sz w:val="18"/>
                <w:szCs w:val="18"/>
                <w:b w:val="1"/>
                <w:bCs w:val="1"/>
                <w:color w:val="C00000"/>
                <w:w w:val="99"/>
              </w:rPr>
              <w:t>total direct compensation</w:t>
            </w:r>
          </w:p>
        </w:tc>
      </w:tr>
      <w:tr>
        <w:trPr>
          <w:trHeight w:val="255"/>
        </w:trPr>
        <w:tc>
          <w:tcPr>
            <w:tcW w:w="3700" w:type="dxa"/>
            <w:vAlign w:val="bottom"/>
            <w:tcBorders>
              <w:left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C00000"/>
                <w:w w:val="98"/>
              </w:rPr>
              <w:t>interests</w:t>
            </w:r>
          </w:p>
        </w:tc>
        <w:tc>
          <w:tcPr>
            <w:tcW w:w="140" w:type="dxa"/>
            <w:vAlign w:val="bottom"/>
            <w:tcBorders>
              <w:right w:val="single" w:sz="8" w:color="auto"/>
            </w:tcBorders>
          </w:tcPr>
          <w:p>
            <w:pPr>
              <w:spacing w:after="0"/>
              <w:rPr>
                <w:sz w:val="22"/>
                <w:szCs w:val="22"/>
                <w:color w:val="auto"/>
              </w:rPr>
            </w:pPr>
          </w:p>
        </w:tc>
        <w:tc>
          <w:tcPr>
            <w:tcW w:w="1900" w:type="dxa"/>
            <w:vAlign w:val="bottom"/>
            <w:tcBorders>
              <w:bottom w:val="single" w:sz="8" w:color="D9D9D9"/>
              <w:right w:val="single" w:sz="8" w:color="auto"/>
            </w:tcBorders>
            <w:shd w:val="clear" w:color="auto" w:fill="D9D9D9"/>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36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C00000"/>
                <w:w w:val="99"/>
              </w:rPr>
              <w:t>opportunities</w:t>
            </w:r>
          </w:p>
        </w:tc>
      </w:tr>
      <w:tr>
        <w:trPr>
          <w:trHeight w:val="20"/>
        </w:trPr>
        <w:tc>
          <w:tcPr>
            <w:tcW w:w="37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9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80" w:type="dxa"/>
            <w:vAlign w:val="bottom"/>
            <w:tcBorders>
              <w:right w:val="single" w:sz="8" w:color="auto"/>
            </w:tcBorders>
            <w:shd w:val="clear" w:color="auto" w:fill="000000"/>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Fiscal 2022 Executive Compensation Summary</w:t>
      </w:r>
    </w:p>
    <w:p>
      <w:pPr>
        <w:spacing w:after="0" w:line="99" w:lineRule="exact"/>
        <w:rPr>
          <w:sz w:val="20"/>
          <w:szCs w:val="20"/>
          <w:color w:val="auto"/>
        </w:rPr>
      </w:pPr>
    </w:p>
    <w:p>
      <w:pPr>
        <w:ind w:right="420" w:firstLine="401"/>
        <w:spacing w:after="0" w:line="247" w:lineRule="auto"/>
        <w:rPr>
          <w:sz w:val="20"/>
          <w:szCs w:val="20"/>
          <w:color w:val="auto"/>
        </w:rPr>
      </w:pPr>
      <w:r>
        <w:rPr>
          <w:rFonts w:ascii="Arial" w:cs="Arial" w:eastAsia="Arial" w:hAnsi="Arial"/>
          <w:sz w:val="18"/>
          <w:szCs w:val="18"/>
          <w:color w:val="auto"/>
        </w:rPr>
        <w:t>A significant portion of our executive officers’ target total direct compensation is comprised of short- and long-term variable performance-based, or at risk, compensation to directly link their pay to performance. Short-term variable compensation is in the form of annual cash incentive awards. Long-term variable compensation is in the form of stock options that vest over three years and three-year performance share awards. For fiscal 2022:</w:t>
      </w:r>
    </w:p>
    <w:p>
      <w:pPr>
        <w:sectPr>
          <w:pgSz w:w="11900" w:h="16838" w:orient="portrait"/>
          <w:cols w:equalWidth="0" w:num="1">
            <w:col w:w="11240"/>
          </w:cols>
          <w:pgMar w:left="320" w:top="122" w:right="339" w:bottom="1440" w:gutter="0" w:footer="0" w:header="0"/>
        </w:sectPr>
      </w:pPr>
    </w:p>
    <w:p>
      <w:pPr>
        <w:spacing w:after="0" w:line="84"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C00000"/>
        </w:rPr>
        <w:t>Chairman and CEO</w:t>
      </w:r>
    </w:p>
    <w:p>
      <w:pPr>
        <w:spacing w:after="0" w:line="21" w:lineRule="exact"/>
        <w:rPr>
          <w:sz w:val="20"/>
          <w:szCs w:val="20"/>
          <w:color w:val="auto"/>
        </w:rPr>
      </w:pPr>
    </w:p>
    <w:p>
      <w:pPr>
        <w:jc w:val="center"/>
        <w:ind w:right="200"/>
        <w:spacing w:after="0"/>
        <w:rPr>
          <w:sz w:val="20"/>
          <w:szCs w:val="20"/>
          <w:color w:val="auto"/>
        </w:rPr>
      </w:pPr>
      <w:r>
        <w:rPr>
          <w:rFonts w:ascii="Arial" w:cs="Arial" w:eastAsia="Arial" w:hAnsi="Arial"/>
          <w:sz w:val="15"/>
          <w:szCs w:val="15"/>
          <w:b w:val="1"/>
          <w:bCs w:val="1"/>
          <w:color w:val="C00000"/>
        </w:rPr>
        <w:t>Target Total Direct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9525</wp:posOffset>
            </wp:positionV>
            <wp:extent cx="2562860" cy="19805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62860" cy="19805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jc w:val="center"/>
        <w:ind w:right="1500"/>
        <w:spacing w:after="0"/>
        <w:rPr>
          <w:sz w:val="20"/>
          <w:szCs w:val="20"/>
          <w:color w:val="auto"/>
        </w:rPr>
      </w:pPr>
      <w:r>
        <w:rPr>
          <w:rFonts w:ascii="Arial" w:cs="Arial" w:eastAsia="Arial" w:hAnsi="Arial"/>
          <w:sz w:val="16"/>
          <w:szCs w:val="16"/>
          <w:b w:val="1"/>
          <w:bCs w:val="1"/>
          <w:color w:val="C00000"/>
        </w:rPr>
        <w:t>Other Named Executive Officers</w:t>
      </w:r>
    </w:p>
    <w:p>
      <w:pPr>
        <w:spacing w:after="0" w:line="21" w:lineRule="exact"/>
        <w:rPr>
          <w:sz w:val="20"/>
          <w:szCs w:val="20"/>
          <w:color w:val="auto"/>
        </w:rPr>
      </w:pPr>
    </w:p>
    <w:p>
      <w:pPr>
        <w:jc w:val="center"/>
        <w:ind w:right="1500"/>
        <w:spacing w:after="0"/>
        <w:rPr>
          <w:sz w:val="20"/>
          <w:szCs w:val="20"/>
          <w:color w:val="auto"/>
        </w:rPr>
      </w:pPr>
      <w:r>
        <w:rPr>
          <w:rFonts w:ascii="Arial" w:cs="Arial" w:eastAsia="Arial" w:hAnsi="Arial"/>
          <w:sz w:val="16"/>
          <w:szCs w:val="16"/>
          <w:b w:val="1"/>
          <w:bCs w:val="1"/>
          <w:color w:val="C00000"/>
        </w:rPr>
        <w:t>Target Total Direct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1905</wp:posOffset>
            </wp:positionV>
            <wp:extent cx="2623185" cy="20148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23185" cy="20148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20" w:space="720"/>
            <w:col w:w="440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320" w:type="dxa"/>
        <w:tblCellMar>
          <w:top w:w="0" w:type="dxa"/>
          <w:left w:w="0" w:type="dxa"/>
          <w:bottom w:w="0" w:type="dxa"/>
          <w:right w:w="0" w:type="dxa"/>
        </w:tblCellMar>
      </w:tblPr>
      <w:tr>
        <w:trPr>
          <w:trHeight w:val="283"/>
        </w:trPr>
        <w:tc>
          <w:tcPr>
            <w:tcW w:w="1320" w:type="dxa"/>
            <w:vAlign w:val="bottom"/>
          </w:tcPr>
          <w:p>
            <w:pPr>
              <w:spacing w:after="0"/>
              <w:rPr>
                <w:sz w:val="24"/>
                <w:szCs w:val="24"/>
                <w:color w:val="auto"/>
              </w:rPr>
            </w:pPr>
          </w:p>
        </w:tc>
        <w:tc>
          <w:tcPr>
            <w:tcW w:w="9600" w:type="dxa"/>
            <w:vAlign w:val="bottom"/>
            <w:gridSpan w:val="2"/>
          </w:tcPr>
          <w:p>
            <w:pPr>
              <w:ind w:left="160"/>
              <w:spacing w:after="0" w:line="207" w:lineRule="exact"/>
              <w:rPr>
                <w:sz w:val="20"/>
                <w:szCs w:val="20"/>
                <w:color w:val="auto"/>
              </w:rPr>
            </w:pPr>
            <w:r>
              <w:rPr>
                <w:rFonts w:ascii="MS PGothic" w:cs="MS PGothic" w:eastAsia="MS PGothic" w:hAnsi="MS PGothic"/>
                <w:sz w:val="18"/>
                <w:szCs w:val="18"/>
                <w:color w:val="auto"/>
                <w:shd w:val="clear" w:color="auto" w:fill="C00000"/>
              </w:rPr>
              <w:t>✓</w:t>
            </w:r>
            <w:r>
              <w:rPr>
                <w:rFonts w:ascii="Arial" w:cs="Arial" w:eastAsia="Arial" w:hAnsi="Arial"/>
                <w:sz w:val="18"/>
                <w:szCs w:val="18"/>
                <w:color w:val="auto"/>
              </w:rPr>
              <w:t xml:space="preserve"> Emphasize long-term performance in our equity-based incentive awards</w:t>
            </w:r>
          </w:p>
        </w:tc>
        <w:tc>
          <w:tcPr>
            <w:tcW w:w="0" w:type="dxa"/>
            <w:vAlign w:val="bottom"/>
          </w:tcPr>
          <w:p>
            <w:pPr>
              <w:spacing w:after="0"/>
              <w:rPr>
                <w:sz w:val="1"/>
                <w:szCs w:val="1"/>
                <w:color w:val="auto"/>
              </w:rPr>
            </w:pPr>
          </w:p>
        </w:tc>
      </w:tr>
      <w:tr>
        <w:trPr>
          <w:trHeight w:val="284"/>
        </w:trPr>
        <w:tc>
          <w:tcPr>
            <w:tcW w:w="1320" w:type="dxa"/>
            <w:vAlign w:val="bottom"/>
            <w:vMerge w:val="restart"/>
          </w:tcPr>
          <w:p>
            <w:pPr>
              <w:jc w:val="center"/>
              <w:ind w:right="230"/>
              <w:spacing w:after="0"/>
              <w:rPr>
                <w:sz w:val="20"/>
                <w:szCs w:val="20"/>
                <w:color w:val="auto"/>
              </w:rPr>
            </w:pPr>
            <w:r>
              <w:rPr>
                <w:rFonts w:ascii="Arial" w:cs="Arial" w:eastAsia="Arial" w:hAnsi="Arial"/>
                <w:sz w:val="18"/>
                <w:szCs w:val="18"/>
                <w:b w:val="1"/>
                <w:bCs w:val="1"/>
                <w:color w:val="FFFFFF"/>
                <w:w w:val="99"/>
              </w:rPr>
              <w:t>What we do</w:t>
            </w:r>
          </w:p>
        </w:tc>
        <w:tc>
          <w:tcPr>
            <w:tcW w:w="4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9200" w:type="dxa"/>
            <w:vAlign w:val="bottom"/>
          </w:tcPr>
          <w:p>
            <w:pPr>
              <w:ind w:left="80"/>
              <w:spacing w:after="0"/>
              <w:rPr>
                <w:sz w:val="20"/>
                <w:szCs w:val="20"/>
                <w:color w:val="auto"/>
              </w:rPr>
            </w:pPr>
            <w:r>
              <w:rPr>
                <w:rFonts w:ascii="Arial" w:cs="Arial" w:eastAsia="Arial" w:hAnsi="Arial"/>
                <w:sz w:val="18"/>
                <w:szCs w:val="18"/>
                <w:color w:val="auto"/>
              </w:rPr>
              <w:t>Use a mix of performance measures in our incentive plans</w:t>
            </w:r>
          </w:p>
        </w:tc>
        <w:tc>
          <w:tcPr>
            <w:tcW w:w="0" w:type="dxa"/>
            <w:vAlign w:val="bottom"/>
          </w:tcPr>
          <w:p>
            <w:pPr>
              <w:spacing w:after="0"/>
              <w:rPr>
                <w:sz w:val="1"/>
                <w:szCs w:val="1"/>
                <w:color w:val="auto"/>
              </w:rPr>
            </w:pPr>
          </w:p>
        </w:tc>
      </w:tr>
      <w:tr>
        <w:trPr>
          <w:trHeight w:val="140"/>
        </w:trPr>
        <w:tc>
          <w:tcPr>
            <w:tcW w:w="1320" w:type="dxa"/>
            <w:vAlign w:val="bottom"/>
            <w:vMerge w:val="continue"/>
          </w:tcPr>
          <w:p>
            <w:pPr>
              <w:spacing w:after="0"/>
              <w:rPr>
                <w:sz w:val="12"/>
                <w:szCs w:val="12"/>
                <w:color w:val="auto"/>
              </w:rPr>
            </w:pPr>
          </w:p>
        </w:tc>
        <w:tc>
          <w:tcPr>
            <w:tcW w:w="40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9200" w:type="dxa"/>
            <w:vAlign w:val="bottom"/>
            <w:vMerge w:val="restart"/>
          </w:tcPr>
          <w:p>
            <w:pPr>
              <w:ind w:left="80"/>
              <w:spacing w:after="0"/>
              <w:rPr>
                <w:sz w:val="20"/>
                <w:szCs w:val="20"/>
                <w:color w:val="auto"/>
              </w:rPr>
            </w:pPr>
            <w:r>
              <w:rPr>
                <w:rFonts w:ascii="Arial" w:cs="Arial" w:eastAsia="Arial" w:hAnsi="Arial"/>
                <w:sz w:val="18"/>
                <w:szCs w:val="18"/>
                <w:color w:val="auto"/>
              </w:rPr>
              <w:t>Establish threshold levels of performance and caps on payouts</w:t>
            </w:r>
          </w:p>
        </w:tc>
        <w:tc>
          <w:tcPr>
            <w:tcW w:w="0" w:type="dxa"/>
            <w:vAlign w:val="bottom"/>
          </w:tcPr>
          <w:p>
            <w:pPr>
              <w:spacing w:after="0"/>
              <w:rPr>
                <w:sz w:val="1"/>
                <w:szCs w:val="1"/>
                <w:color w:val="auto"/>
              </w:rPr>
            </w:pPr>
          </w:p>
        </w:tc>
      </w:tr>
      <w:tr>
        <w:trPr>
          <w:trHeight w:val="143"/>
        </w:trPr>
        <w:tc>
          <w:tcPr>
            <w:tcW w:w="132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9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1320" w:type="dxa"/>
            <w:vAlign w:val="bottom"/>
          </w:tcPr>
          <w:p>
            <w:pPr>
              <w:spacing w:after="0"/>
              <w:rPr>
                <w:sz w:val="24"/>
                <w:szCs w:val="24"/>
                <w:color w:val="auto"/>
              </w:rPr>
            </w:pPr>
          </w:p>
        </w:tc>
        <w:tc>
          <w:tcPr>
            <w:tcW w:w="9600" w:type="dxa"/>
            <w:vAlign w:val="bottom"/>
            <w:tcBorders>
              <w:bottom w:val="single" w:sz="8" w:color="D9D9D9"/>
            </w:tcBorders>
            <w:gridSpan w:val="2"/>
          </w:tcPr>
          <w:p>
            <w:pPr>
              <w:ind w:left="160"/>
              <w:spacing w:after="0" w:line="207" w:lineRule="exact"/>
              <w:rPr>
                <w:sz w:val="20"/>
                <w:szCs w:val="20"/>
                <w:color w:val="auto"/>
              </w:rPr>
            </w:pPr>
            <w:r>
              <w:rPr>
                <w:rFonts w:ascii="MS PGothic" w:cs="MS PGothic" w:eastAsia="MS PGothic" w:hAnsi="MS PGothic"/>
                <w:sz w:val="18"/>
                <w:szCs w:val="18"/>
                <w:color w:val="auto"/>
                <w:shd w:val="clear" w:color="auto" w:fill="C00000"/>
              </w:rPr>
              <w:t>✓</w:t>
            </w:r>
            <w:r>
              <w:rPr>
                <w:rFonts w:ascii="Arial" w:cs="Arial" w:eastAsia="Arial" w:hAnsi="Arial"/>
                <w:sz w:val="18"/>
                <w:szCs w:val="18"/>
                <w:color w:val="auto"/>
              </w:rPr>
              <w:t xml:space="preserve"> Maintain a robust clawback policy and provisions</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0" w:type="dxa"/>
            <w:vAlign w:val="bottom"/>
          </w:tcPr>
          <w:p>
            <w:pPr>
              <w:ind w:left="80"/>
              <w:spacing w:after="0"/>
              <w:rPr>
                <w:sz w:val="20"/>
                <w:szCs w:val="20"/>
                <w:color w:val="auto"/>
              </w:rPr>
            </w:pPr>
            <w:r>
              <w:rPr>
                <w:rFonts w:ascii="Arial" w:cs="Arial" w:eastAsia="Arial" w:hAnsi="Arial"/>
                <w:sz w:val="18"/>
                <w:szCs w:val="18"/>
                <w:color w:val="auto"/>
              </w:rPr>
              <w:t>No guaranteed salary increases or bonuses</w:t>
            </w:r>
          </w:p>
        </w:tc>
        <w:tc>
          <w:tcPr>
            <w:tcW w:w="0" w:type="dxa"/>
            <w:vAlign w:val="bottom"/>
          </w:tcPr>
          <w:p>
            <w:pPr>
              <w:spacing w:after="0"/>
              <w:rPr>
                <w:sz w:val="1"/>
                <w:szCs w:val="1"/>
                <w:color w:val="auto"/>
              </w:rPr>
            </w:pPr>
          </w:p>
        </w:tc>
      </w:tr>
      <w:tr>
        <w:trPr>
          <w:trHeight w:val="301"/>
        </w:trPr>
        <w:tc>
          <w:tcPr>
            <w:tcW w:w="1320" w:type="dxa"/>
            <w:vAlign w:val="bottom"/>
          </w:tcPr>
          <w:p>
            <w:pPr>
              <w:jc w:val="center"/>
              <w:ind w:right="270"/>
              <w:spacing w:after="0"/>
              <w:rPr>
                <w:sz w:val="20"/>
                <w:szCs w:val="20"/>
                <w:color w:val="auto"/>
              </w:rPr>
            </w:pPr>
            <w:r>
              <w:rPr>
                <w:rFonts w:ascii="Arial" w:cs="Arial" w:eastAsia="Arial" w:hAnsi="Arial"/>
                <w:sz w:val="18"/>
                <w:szCs w:val="18"/>
                <w:b w:val="1"/>
                <w:bCs w:val="1"/>
                <w:color w:val="FFFFFF"/>
                <w:w w:val="98"/>
              </w:rPr>
              <w:t>What we</w:t>
            </w:r>
          </w:p>
        </w:tc>
        <w:tc>
          <w:tcPr>
            <w:tcW w:w="400" w:type="dxa"/>
            <w:vAlign w:val="bottom"/>
          </w:tcPr>
          <w:p>
            <w:pPr>
              <w:spacing w:after="0"/>
              <w:rPr>
                <w:sz w:val="24"/>
                <w:szCs w:val="24"/>
                <w:color w:val="auto"/>
              </w:rPr>
            </w:pPr>
          </w:p>
        </w:tc>
        <w:tc>
          <w:tcPr>
            <w:tcW w:w="9200" w:type="dxa"/>
            <w:vAlign w:val="bottom"/>
          </w:tcPr>
          <w:p>
            <w:pPr>
              <w:ind w:left="80"/>
              <w:spacing w:after="0"/>
              <w:rPr>
                <w:sz w:val="20"/>
                <w:szCs w:val="20"/>
                <w:color w:val="auto"/>
              </w:rPr>
            </w:pPr>
            <w:r>
              <w:rPr>
                <w:rFonts w:ascii="Arial" w:cs="Arial" w:eastAsia="Arial" w:hAnsi="Arial"/>
                <w:sz w:val="18"/>
                <w:szCs w:val="18"/>
                <w:color w:val="auto"/>
              </w:rPr>
              <w:t>No excessive perquisites</w:t>
            </w:r>
          </w:p>
        </w:tc>
        <w:tc>
          <w:tcPr>
            <w:tcW w:w="0" w:type="dxa"/>
            <w:vAlign w:val="bottom"/>
          </w:tcPr>
          <w:p>
            <w:pPr>
              <w:spacing w:after="0"/>
              <w:rPr>
                <w:sz w:val="1"/>
                <w:szCs w:val="1"/>
                <w:color w:val="auto"/>
              </w:rPr>
            </w:pPr>
          </w:p>
        </w:tc>
      </w:tr>
      <w:tr>
        <w:trPr>
          <w:trHeight w:val="279"/>
        </w:trPr>
        <w:tc>
          <w:tcPr>
            <w:tcW w:w="1320" w:type="dxa"/>
            <w:vAlign w:val="bottom"/>
          </w:tcPr>
          <w:p>
            <w:pPr>
              <w:jc w:val="center"/>
              <w:ind w:right="210"/>
              <w:spacing w:after="0"/>
              <w:rPr>
                <w:sz w:val="20"/>
                <w:szCs w:val="20"/>
                <w:color w:val="auto"/>
              </w:rPr>
            </w:pPr>
            <w:r>
              <w:rPr>
                <w:rFonts w:ascii="Arial" w:cs="Arial" w:eastAsia="Arial" w:hAnsi="Arial"/>
                <w:sz w:val="18"/>
                <w:szCs w:val="18"/>
                <w:b w:val="1"/>
                <w:bCs w:val="1"/>
                <w:color w:val="FFFFFF"/>
                <w:w w:val="98"/>
              </w:rPr>
              <w:t>don’t do</w:t>
            </w:r>
          </w:p>
        </w:tc>
        <w:tc>
          <w:tcPr>
            <w:tcW w:w="400" w:type="dxa"/>
            <w:vAlign w:val="bottom"/>
          </w:tcPr>
          <w:p>
            <w:pPr>
              <w:spacing w:after="0"/>
              <w:rPr>
                <w:sz w:val="24"/>
                <w:szCs w:val="24"/>
                <w:color w:val="auto"/>
              </w:rPr>
            </w:pPr>
          </w:p>
        </w:tc>
        <w:tc>
          <w:tcPr>
            <w:tcW w:w="9200" w:type="dxa"/>
            <w:vAlign w:val="bottom"/>
          </w:tcPr>
          <w:p>
            <w:pPr>
              <w:ind w:left="80"/>
              <w:spacing w:after="0"/>
              <w:rPr>
                <w:sz w:val="20"/>
                <w:szCs w:val="20"/>
                <w:color w:val="auto"/>
              </w:rPr>
            </w:pPr>
            <w:r>
              <w:rPr>
                <w:rFonts w:ascii="Arial" w:cs="Arial" w:eastAsia="Arial" w:hAnsi="Arial"/>
                <w:sz w:val="18"/>
                <w:szCs w:val="18"/>
                <w:color w:val="auto"/>
              </w:rPr>
              <w:t>No individual executive employment agreements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-1287780</wp:posOffset>
            </wp:positionV>
            <wp:extent cx="1036955" cy="14827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36955" cy="1482725"/>
                    </a:xfrm>
                    <a:prstGeom prst="rect">
                      <a:avLst/>
                    </a:prstGeom>
                    <a:noFill/>
                  </pic:spPr>
                </pic:pic>
              </a:graphicData>
            </a:graphic>
          </wp:anchor>
        </w:drawing>
      </w:r>
    </w:p>
    <w:p>
      <w:pPr>
        <w:spacing w:after="0" w:line="38"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No gross-up payments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fiscal 2022 financial performance resulted in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40575" cy="205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0575" cy="205740"/>
                    </a:xfrm>
                    <a:prstGeom prst="rect">
                      <a:avLst/>
                    </a:prstGeom>
                    <a:noFill/>
                  </pic:spPr>
                </pic:pic>
              </a:graphicData>
            </a:graphic>
          </wp:anchor>
        </w:drawing>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Annual cash incentives were paid at 69% of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4057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0575" cy="171450"/>
                    </a:xfrm>
                    <a:prstGeom prst="rect">
                      <a:avLst/>
                    </a:prstGeom>
                    <a:noFill/>
                  </pic:spPr>
                </pic:pic>
              </a:graphicData>
            </a:graphic>
          </wp:anchor>
        </w:drawing>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Three-year performance awards for the fiscal 2020 to fiscal 2022 performance period were paid at 72% of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C00000"/>
        </w:rPr>
        <w:t>THE TORO COMPANY</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8111 Lyndale Avenue South</w:t>
      </w:r>
    </w:p>
    <w:p>
      <w:pPr>
        <w:jc w:val="center"/>
        <w:ind w:right="20"/>
        <w:spacing w:after="0"/>
        <w:rPr>
          <w:sz w:val="20"/>
          <w:szCs w:val="20"/>
          <w:color w:val="auto"/>
        </w:rPr>
      </w:pPr>
      <w:r>
        <w:rPr>
          <w:rFonts w:ascii="Arial" w:cs="Arial" w:eastAsia="Arial" w:hAnsi="Arial"/>
          <w:sz w:val="18"/>
          <w:szCs w:val="18"/>
          <w:color w:val="auto"/>
        </w:rPr>
        <w:t>Bloomington, Minnesota 55420-1196</w:t>
      </w:r>
    </w:p>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C00000"/>
        </w:rPr>
        <w:t>PROXY STATEMENT</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2023 ANNUAL MEETING OF SHAREHOLDERS</w:t>
      </w:r>
    </w:p>
    <w:p>
      <w:pPr>
        <w:jc w:val="center"/>
        <w:ind w:right="20"/>
        <w:spacing w:after="0" w:line="234" w:lineRule="auto"/>
        <w:rPr>
          <w:sz w:val="20"/>
          <w:szCs w:val="20"/>
          <w:color w:val="auto"/>
        </w:rPr>
      </w:pPr>
      <w:r>
        <w:rPr>
          <w:rFonts w:ascii="Arial" w:cs="Arial" w:eastAsia="Arial" w:hAnsi="Arial"/>
          <w:sz w:val="18"/>
          <w:szCs w:val="18"/>
          <w:color w:val="auto"/>
        </w:rPr>
        <w:t>TUESDAY, MARCH 21, 2023</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2:00 p.m. Central Daylight Time</w:t>
      </w:r>
    </w:p>
    <w:p>
      <w:pPr>
        <w:spacing w:after="0" w:line="153" w:lineRule="exact"/>
        <w:rPr>
          <w:sz w:val="20"/>
          <w:szCs w:val="20"/>
          <w:color w:val="auto"/>
        </w:rPr>
      </w:pPr>
    </w:p>
    <w:p>
      <w:pPr>
        <w:ind w:right="80" w:firstLine="401"/>
        <w:spacing w:after="0" w:line="247" w:lineRule="auto"/>
        <w:rPr>
          <w:sz w:val="20"/>
          <w:szCs w:val="20"/>
          <w:color w:val="auto"/>
        </w:rPr>
      </w:pPr>
      <w:r>
        <w:rPr>
          <w:rFonts w:ascii="Arial" w:cs="Arial" w:eastAsia="Arial" w:hAnsi="Arial"/>
          <w:sz w:val="18"/>
          <w:szCs w:val="18"/>
          <w:color w:val="auto"/>
        </w:rPr>
        <w:t>The Toro Company Board of Directors is using this proxy statement to solicit your proxy for use at The Toro Company 2023 Annual Meeting of Shareholders. We intend to send a Notice Regarding the Availability of Proxy Materials for the annual meeting and make proxy materials available to shareholders (or for certain shareholders and for those who request, a paper copy of this proxy statement and the form of proxy) on or about February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205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FFFFFF"/>
        </w:rPr>
        <w:t>GENERAL INFORMATION ABOUT THE 2023 ANNUAL MEETING AND VOTING</w:t>
      </w:r>
    </w:p>
    <w:p>
      <w:pPr>
        <w:spacing w:after="0" w:line="251" w:lineRule="exact"/>
        <w:rPr>
          <w:sz w:val="20"/>
          <w:szCs w:val="20"/>
          <w:color w:val="auto"/>
        </w:rPr>
      </w:pPr>
    </w:p>
    <w:p>
      <w:pPr>
        <w:ind w:right="500"/>
        <w:spacing w:after="0" w:line="270" w:lineRule="auto"/>
        <w:rPr>
          <w:sz w:val="20"/>
          <w:szCs w:val="20"/>
          <w:color w:val="auto"/>
        </w:rPr>
      </w:pPr>
      <w:r>
        <w:rPr>
          <w:rFonts w:ascii="Arial" w:cs="Arial" w:eastAsia="Arial" w:hAnsi="Arial"/>
          <w:sz w:val="20"/>
          <w:szCs w:val="20"/>
          <w:b w:val="1"/>
          <w:bCs w:val="1"/>
          <w:color w:val="C00000"/>
        </w:rPr>
        <w:t>Important Notice Regarding the Availability of Proxy Materials for the Shareholder Meeting To Be Held on Tuesday, March 21, 2023.</w:t>
      </w:r>
    </w:p>
    <w:p>
      <w:pPr>
        <w:spacing w:after="0" w:line="27" w:lineRule="exact"/>
        <w:rPr>
          <w:sz w:val="20"/>
          <w:szCs w:val="20"/>
          <w:color w:val="auto"/>
        </w:rPr>
      </w:pPr>
    </w:p>
    <w:p>
      <w:pPr>
        <w:ind w:right="280" w:firstLine="401"/>
        <w:spacing w:after="0" w:line="271" w:lineRule="auto"/>
        <w:rPr>
          <w:sz w:val="20"/>
          <w:szCs w:val="20"/>
          <w:color w:val="auto"/>
        </w:rPr>
      </w:pPr>
      <w:r>
        <w:rPr>
          <w:rFonts w:ascii="Arial" w:cs="Arial" w:eastAsia="Arial" w:hAnsi="Arial"/>
          <w:sz w:val="18"/>
          <w:szCs w:val="18"/>
          <w:color w:val="auto"/>
        </w:rPr>
        <w:t>This proxy statement and our 2022 Annual Report, which includes our Annual Report on Form 10-K for the fiscal year ended October 31, 2022, or fiscal 2022, are available at www.thetorocompany.com/proxy.</w:t>
      </w:r>
    </w:p>
    <w:p>
      <w:pPr>
        <w:spacing w:after="0" w:line="46" w:lineRule="exact"/>
        <w:rPr>
          <w:sz w:val="20"/>
          <w:szCs w:val="20"/>
          <w:color w:val="auto"/>
        </w:rPr>
      </w:pPr>
    </w:p>
    <w:p>
      <w:pPr>
        <w:ind w:right="20" w:firstLine="401"/>
        <w:spacing w:after="0" w:line="242" w:lineRule="auto"/>
        <w:rPr>
          <w:sz w:val="20"/>
          <w:szCs w:val="20"/>
          <w:color w:val="auto"/>
        </w:rPr>
      </w:pPr>
      <w:r>
        <w:rPr>
          <w:rFonts w:ascii="Arial" w:cs="Arial" w:eastAsia="Arial" w:hAnsi="Arial"/>
          <w:sz w:val="18"/>
          <w:szCs w:val="18"/>
          <w:color w:val="auto"/>
        </w:rPr>
        <w:t>Pursuant to rules adopted by the SEC, we have elected to provide access to our proxy materials over the Internet. Accordingly, we are sending a Notice Regarding the Availability of Proxy Materials to some of our shareholders. Shareholders have the ability to access our proxy materials on the website referred to in the Notice Regarding the Availability of Proxy Materials (www.proxyvote.com) or request to receive a printed set of our proxy materials. Instructions on how to access our proxy materials over the Internet or request a printed copy of our proxy materials may be found in the Notice Regarding the Availability of Proxy Materials. In addition, shareholders may request to receive proxy materials in printed form by mail or electronically by e-mail on an ongoing basis.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When and Where Will the Annual Meeting Be Held?</w:t>
      </w:r>
    </w:p>
    <w:p>
      <w:pPr>
        <w:spacing w:after="0" w:line="99" w:lineRule="exact"/>
        <w:rPr>
          <w:sz w:val="20"/>
          <w:szCs w:val="20"/>
          <w:color w:val="auto"/>
        </w:rPr>
      </w:pPr>
    </w:p>
    <w:p>
      <w:pPr>
        <w:ind w:right="2460" w:firstLine="401"/>
        <w:spacing w:after="0" w:line="271" w:lineRule="auto"/>
        <w:rPr>
          <w:sz w:val="20"/>
          <w:szCs w:val="20"/>
          <w:color w:val="auto"/>
        </w:rPr>
      </w:pPr>
      <w:r>
        <w:rPr>
          <w:rFonts w:ascii="Arial" w:cs="Arial" w:eastAsia="Arial" w:hAnsi="Arial"/>
          <w:sz w:val="18"/>
          <w:szCs w:val="18"/>
          <w:color w:val="auto"/>
        </w:rPr>
        <w:t>The annual meeting will be held virtually on Tuesday, March 21, 2023 at 2:00 p.m. Central Daylight Time at www.virtualshareholdermeeting.com/TTC2023.</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How Can I Attend the Virtual Annual Meeting?</w:t>
      </w:r>
    </w:p>
    <w:p>
      <w:pPr>
        <w:spacing w:after="0" w:line="99" w:lineRule="exact"/>
        <w:rPr>
          <w:sz w:val="20"/>
          <w:szCs w:val="20"/>
          <w:color w:val="auto"/>
        </w:rPr>
      </w:pPr>
    </w:p>
    <w:p>
      <w:pPr>
        <w:ind w:right="80" w:firstLine="401"/>
        <w:spacing w:after="0"/>
        <w:rPr>
          <w:sz w:val="20"/>
          <w:szCs w:val="20"/>
          <w:color w:val="auto"/>
        </w:rPr>
      </w:pPr>
      <w:r>
        <w:rPr>
          <w:rFonts w:ascii="Arial" w:cs="Arial" w:eastAsia="Arial" w:hAnsi="Arial"/>
          <w:sz w:val="18"/>
          <w:szCs w:val="18"/>
          <w:color w:val="auto"/>
        </w:rPr>
        <w:t>Shareholders at the close of business on the record date may attend the annual meeting by visiting www.virtualshareholdermeeting.com/TTC2023 and logging in with the 16-digit control number included on your proxy card, voting instruction form or Notice Regarding the Availability of Proxy Materials. On the day of our annual meeting, we recommend that you log into our virtual meeting at least 15 minutes before the scheduled start time to ensure that you can access the meeting. If you encounter any difficulties while accessing the virtual meeting during the check-in or meeting time, a technical assistance phone number will be made available on the virtual meeting registration page 15 minutes prior to the start time of the meeting. Rules governing the conduct of the annual meeting will be posted on the virtual meeting platform along with an agenda.</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What Are the Purposes of the Annual Meeting?</w:t>
      </w:r>
    </w:p>
    <w:p>
      <w:pPr>
        <w:spacing w:after="0" w:line="9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purposes of the 2023 Annual Meeting of Shareholders are to vote on the following items described in this proxy statement: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500" w:type="dxa"/>
            <w:vAlign w:val="bottom"/>
            <w:shd w:val="clear" w:color="auto" w:fill="D9D9D9"/>
          </w:tcPr>
          <w:p>
            <w:pPr>
              <w:spacing w:after="0"/>
              <w:rPr>
                <w:sz w:val="20"/>
                <w:szCs w:val="20"/>
                <w:color w:val="auto"/>
              </w:rPr>
            </w:pPr>
            <w:r>
              <w:rPr>
                <w:rFonts w:ascii="Arial" w:cs="Arial" w:eastAsia="Arial" w:hAnsi="Arial"/>
                <w:sz w:val="18"/>
                <w:szCs w:val="18"/>
                <w:color w:val="auto"/>
              </w:rPr>
              <w:t>Proposal One</w:t>
            </w:r>
          </w:p>
        </w:tc>
        <w:tc>
          <w:tcPr>
            <w:tcW w:w="9740" w:type="dxa"/>
            <w:vAlign w:val="bottom"/>
            <w:shd w:val="clear" w:color="auto" w:fill="D9D9D9"/>
          </w:tcPr>
          <w:p>
            <w:pPr>
              <w:ind w:left="280"/>
              <w:spacing w:after="0"/>
              <w:rPr>
                <w:sz w:val="20"/>
                <w:szCs w:val="20"/>
                <w:color w:val="auto"/>
              </w:rPr>
            </w:pPr>
            <w:r>
              <w:rPr>
                <w:rFonts w:ascii="Arial" w:cs="Arial" w:eastAsia="Arial" w:hAnsi="Arial"/>
                <w:sz w:val="18"/>
                <w:szCs w:val="18"/>
                <w:color w:val="auto"/>
              </w:rPr>
              <w:t>Election of Directors</w:t>
            </w:r>
          </w:p>
        </w:tc>
        <w:tc>
          <w:tcPr>
            <w:tcW w:w="2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18"/>
                <w:szCs w:val="18"/>
                <w:color w:val="auto"/>
              </w:rPr>
              <w:t>Proposal Two</w:t>
            </w:r>
          </w:p>
        </w:tc>
        <w:tc>
          <w:tcPr>
            <w:tcW w:w="9740" w:type="dxa"/>
            <w:vAlign w:val="bottom"/>
          </w:tcPr>
          <w:p>
            <w:pPr>
              <w:ind w:left="280"/>
              <w:spacing w:after="0"/>
              <w:rPr>
                <w:sz w:val="20"/>
                <w:szCs w:val="20"/>
                <w:color w:val="auto"/>
              </w:rPr>
            </w:pPr>
            <w:r>
              <w:rPr>
                <w:rFonts w:ascii="Arial" w:cs="Arial" w:eastAsia="Arial" w:hAnsi="Arial"/>
                <w:sz w:val="18"/>
                <w:szCs w:val="18"/>
                <w:color w:val="auto"/>
              </w:rPr>
              <w:t>Ratification of Selection of Independent Registered Public Accounting Firm</w:t>
            </w:r>
          </w:p>
        </w:tc>
        <w:tc>
          <w:tcPr>
            <w:tcW w:w="20" w:type="dxa"/>
            <w:vAlign w:val="bottom"/>
          </w:tcPr>
          <w:p>
            <w:pPr>
              <w:spacing w:after="0"/>
              <w:rPr>
                <w:sz w:val="22"/>
                <w:szCs w:val="22"/>
                <w:color w:val="auto"/>
              </w:rPr>
            </w:pPr>
          </w:p>
        </w:tc>
      </w:tr>
      <w:tr>
        <w:trPr>
          <w:trHeight w:val="256"/>
        </w:trPr>
        <w:tc>
          <w:tcPr>
            <w:tcW w:w="1500" w:type="dxa"/>
            <w:vAlign w:val="bottom"/>
            <w:shd w:val="clear" w:color="auto" w:fill="D9D9D9"/>
          </w:tcPr>
          <w:p>
            <w:pPr>
              <w:spacing w:after="0"/>
              <w:rPr>
                <w:sz w:val="20"/>
                <w:szCs w:val="20"/>
                <w:color w:val="auto"/>
              </w:rPr>
            </w:pPr>
            <w:r>
              <w:rPr>
                <w:rFonts w:ascii="Arial" w:cs="Arial" w:eastAsia="Arial" w:hAnsi="Arial"/>
                <w:sz w:val="18"/>
                <w:szCs w:val="18"/>
                <w:color w:val="auto"/>
              </w:rPr>
              <w:t>Proposal Three</w:t>
            </w:r>
          </w:p>
        </w:tc>
        <w:tc>
          <w:tcPr>
            <w:tcW w:w="9740" w:type="dxa"/>
            <w:vAlign w:val="bottom"/>
            <w:shd w:val="clear" w:color="auto" w:fill="D9D9D9"/>
          </w:tcPr>
          <w:p>
            <w:pPr>
              <w:ind w:left="280"/>
              <w:spacing w:after="0"/>
              <w:rPr>
                <w:sz w:val="20"/>
                <w:szCs w:val="20"/>
                <w:color w:val="auto"/>
              </w:rPr>
            </w:pPr>
            <w:r>
              <w:rPr>
                <w:rFonts w:ascii="Arial" w:cs="Arial" w:eastAsia="Arial" w:hAnsi="Arial"/>
                <w:sz w:val="18"/>
                <w:szCs w:val="18"/>
                <w:color w:val="auto"/>
              </w:rPr>
              <w:t>Advisory Approval of our Executive Compensation</w:t>
            </w:r>
          </w:p>
        </w:tc>
        <w:tc>
          <w:tcPr>
            <w:tcW w:w="20" w:type="dxa"/>
            <w:vAlign w:val="bottom"/>
          </w:tcPr>
          <w:p>
            <w:pPr>
              <w:spacing w:after="0"/>
              <w:rPr>
                <w:sz w:val="22"/>
                <w:szCs w:val="22"/>
                <w:color w:val="auto"/>
              </w:rPr>
            </w:pPr>
          </w:p>
        </w:tc>
      </w:tr>
      <w:tr>
        <w:trPr>
          <w:trHeight w:val="247"/>
        </w:trPr>
        <w:tc>
          <w:tcPr>
            <w:tcW w:w="1500" w:type="dxa"/>
            <w:vAlign w:val="bottom"/>
          </w:tcPr>
          <w:p>
            <w:pPr>
              <w:spacing w:after="0"/>
              <w:rPr>
                <w:sz w:val="20"/>
                <w:szCs w:val="20"/>
                <w:color w:val="auto"/>
              </w:rPr>
            </w:pPr>
            <w:r>
              <w:rPr>
                <w:rFonts w:ascii="Arial" w:cs="Arial" w:eastAsia="Arial" w:hAnsi="Arial"/>
                <w:sz w:val="18"/>
                <w:szCs w:val="18"/>
                <w:color w:val="auto"/>
              </w:rPr>
              <w:t>Proposal Four</w:t>
            </w:r>
          </w:p>
        </w:tc>
        <w:tc>
          <w:tcPr>
            <w:tcW w:w="9740" w:type="dxa"/>
            <w:vAlign w:val="bottom"/>
          </w:tcPr>
          <w:p>
            <w:pPr>
              <w:ind w:left="280"/>
              <w:spacing w:after="0"/>
              <w:rPr>
                <w:sz w:val="20"/>
                <w:szCs w:val="20"/>
                <w:color w:val="auto"/>
              </w:rPr>
            </w:pPr>
            <w:r>
              <w:rPr>
                <w:rFonts w:ascii="Arial" w:cs="Arial" w:eastAsia="Arial" w:hAnsi="Arial"/>
                <w:sz w:val="18"/>
                <w:szCs w:val="18"/>
                <w:color w:val="auto"/>
              </w:rPr>
              <w:t>Advisory Approval of the Frequency of the Advisory Approval of our Executive Compensation</w:t>
            </w:r>
          </w:p>
        </w:tc>
        <w:tc>
          <w:tcPr>
            <w:tcW w:w="20" w:type="dxa"/>
            <w:vAlign w:val="bottom"/>
          </w:tcPr>
          <w:p>
            <w:pPr>
              <w:spacing w:after="0"/>
              <w:rPr>
                <w:sz w:val="21"/>
                <w:szCs w:val="21"/>
                <w:color w:val="auto"/>
              </w:rPr>
            </w:pPr>
          </w:p>
        </w:tc>
      </w:tr>
      <w:tr>
        <w:trPr>
          <w:trHeight w:val="445"/>
        </w:trPr>
        <w:tc>
          <w:tcPr>
            <w:tcW w:w="1500" w:type="dxa"/>
            <w:vAlign w:val="bottom"/>
          </w:tcPr>
          <w:p>
            <w:pPr>
              <w:spacing w:after="0"/>
              <w:rPr>
                <w:sz w:val="24"/>
                <w:szCs w:val="24"/>
                <w:color w:val="auto"/>
              </w:rPr>
            </w:pPr>
          </w:p>
        </w:tc>
        <w:tc>
          <w:tcPr>
            <w:tcW w:w="9740" w:type="dxa"/>
            <w:vAlign w:val="bottom"/>
          </w:tcPr>
          <w:p>
            <w:pPr>
              <w:ind w:left="408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r>
      <w:tr>
        <w:trPr>
          <w:trHeight w:val="98"/>
        </w:trPr>
        <w:tc>
          <w:tcPr>
            <w:tcW w:w="1500" w:type="dxa"/>
            <w:vAlign w:val="bottom"/>
            <w:tcBorders>
              <w:bottom w:val="single" w:sz="8" w:color="9A9A9A"/>
            </w:tcBorders>
          </w:tcPr>
          <w:p>
            <w:pPr>
              <w:spacing w:after="0"/>
              <w:rPr>
                <w:sz w:val="8"/>
                <w:szCs w:val="8"/>
                <w:color w:val="auto"/>
              </w:rPr>
            </w:pPr>
          </w:p>
        </w:tc>
        <w:tc>
          <w:tcPr>
            <w:tcW w:w="97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Are There Any Matters To Be Voted On at the Annual Meeting that Are Not Included in this Proxy Statement?</w:t>
      </w:r>
    </w:p>
    <w:p>
      <w:pPr>
        <w:spacing w:after="0" w:line="99" w:lineRule="exact"/>
        <w:rPr>
          <w:sz w:val="20"/>
          <w:szCs w:val="20"/>
          <w:color w:val="auto"/>
        </w:rPr>
      </w:pPr>
    </w:p>
    <w:p>
      <w:pPr>
        <w:ind w:right="140" w:firstLine="401"/>
        <w:spacing w:after="0" w:line="247" w:lineRule="auto"/>
        <w:rPr>
          <w:sz w:val="20"/>
          <w:szCs w:val="20"/>
          <w:color w:val="auto"/>
        </w:rPr>
      </w:pPr>
      <w:r>
        <w:rPr>
          <w:rFonts w:ascii="Arial" w:cs="Arial" w:eastAsia="Arial" w:hAnsi="Arial"/>
          <w:sz w:val="18"/>
          <w:szCs w:val="18"/>
          <w:color w:val="auto"/>
        </w:rPr>
        <w:t>We currently are not aware of any business to be acted upon at the annual meeting other than as described in this proxy statement. If, however, other matters are properly brought before the annual meeting, or any adjournment or postponement of the annual meeting, your proxy includes discretionary authority on the part of the individuals appointed to vote your shares or act on those matters according to their best judgment.</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Who Is Entitled to Vote and How Many Shares Must Be Present to Hold the Annual Meeting?</w:t>
      </w:r>
    </w:p>
    <w:p>
      <w:pPr>
        <w:spacing w:after="0" w:line="99" w:lineRule="exact"/>
        <w:rPr>
          <w:sz w:val="20"/>
          <w:szCs w:val="20"/>
          <w:color w:val="auto"/>
        </w:rPr>
      </w:pPr>
    </w:p>
    <w:p>
      <w:pPr>
        <w:ind w:right="160" w:firstLine="401"/>
        <w:spacing w:after="0" w:line="247" w:lineRule="auto"/>
        <w:rPr>
          <w:sz w:val="20"/>
          <w:szCs w:val="20"/>
          <w:color w:val="auto"/>
        </w:rPr>
      </w:pPr>
      <w:r>
        <w:rPr>
          <w:rFonts w:ascii="Arial" w:cs="Arial" w:eastAsia="Arial" w:hAnsi="Arial"/>
          <w:sz w:val="18"/>
          <w:szCs w:val="18"/>
          <w:color w:val="auto"/>
        </w:rPr>
        <w:t>Shareholders of record at the close of business on January 20, 2023, the record date, will be entitled to vote at the annual meeting or any adjournment or postponement of the annual meeting. As of January 20, 2023, there were 104,678,026 outstanding shares of our common stock. Each share of our common stock is entitled to one vote on each matter to be voted on at the annual meeting. Shares of our common stock that are held by us in our treasury are not counted as outstanding shares and will not be voted.</w:t>
      </w:r>
    </w:p>
    <w:p>
      <w:pPr>
        <w:spacing w:after="0" w:line="66" w:lineRule="exact"/>
        <w:rPr>
          <w:sz w:val="20"/>
          <w:szCs w:val="20"/>
          <w:color w:val="auto"/>
        </w:rPr>
      </w:pPr>
    </w:p>
    <w:p>
      <w:pPr>
        <w:ind w:firstLine="401"/>
        <w:spacing w:after="0" w:line="247" w:lineRule="auto"/>
        <w:rPr>
          <w:sz w:val="20"/>
          <w:szCs w:val="20"/>
          <w:color w:val="auto"/>
        </w:rPr>
      </w:pPr>
      <w:r>
        <w:rPr>
          <w:rFonts w:ascii="Arial" w:cs="Arial" w:eastAsia="Arial" w:hAnsi="Arial"/>
          <w:sz w:val="18"/>
          <w:szCs w:val="18"/>
          <w:color w:val="auto"/>
        </w:rPr>
        <w:t>Shareholders holding a majority of the voting power of the outstanding shares of our common stock must be present at the virtual annual meeting or by proxy in order for us to have a quorum for the transaction of business at the annual meeting. Your shares will be counted toward the quorum if you submit a proxy or vote at the annual meeting. Shares represented by proxies marked “abstain” and “broker non-votes” also are counted in determining whether a quorum is present.</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How Do I Vote My Shares?</w:t>
      </w:r>
    </w:p>
    <w:p>
      <w:pPr>
        <w:spacing w:after="0" w:line="9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If your shares are registered in your name, you may vote your shares by one of the five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660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66040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p>
      <w:pPr>
        <w:spacing w:after="0" w:line="324" w:lineRule="exact"/>
        <w:rPr>
          <w:sz w:val="20"/>
          <w:szCs w:val="20"/>
          <w:color w:val="auto"/>
        </w:rPr>
      </w:pPr>
    </w:p>
    <w:p>
      <w:pPr>
        <w:ind w:left="60"/>
        <w:spacing w:after="0"/>
        <w:rPr>
          <w:sz w:val="20"/>
          <w:szCs w:val="20"/>
          <w:color w:val="auto"/>
        </w:rPr>
      </w:pPr>
      <w:r>
        <w:rPr>
          <w:rFonts w:ascii="Arial" w:cs="Arial" w:eastAsia="Arial" w:hAnsi="Arial"/>
          <w:sz w:val="16"/>
          <w:szCs w:val="16"/>
          <w:color w:val="auto"/>
        </w:rPr>
        <w:t>Vote by Internet</w:t>
      </w:r>
    </w:p>
    <w:p>
      <w:pPr>
        <w:spacing w:after="0" w:line="3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Vote by Telephone</w:t>
      </w:r>
    </w:p>
    <w:p>
      <w:pPr>
        <w:spacing w:after="0" w:line="3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Vote by Mail</w:t>
      </w:r>
    </w:p>
    <w:p>
      <w:pPr>
        <w:spacing w:after="0" w:line="370" w:lineRule="exact"/>
        <w:rPr>
          <w:sz w:val="20"/>
          <w:szCs w:val="20"/>
          <w:color w:val="auto"/>
        </w:rPr>
      </w:pPr>
    </w:p>
    <w:p>
      <w:pPr>
        <w:ind w:left="60"/>
        <w:spacing w:after="0"/>
        <w:rPr>
          <w:sz w:val="20"/>
          <w:szCs w:val="20"/>
          <w:color w:val="auto"/>
        </w:rPr>
      </w:pPr>
      <w:r>
        <w:rPr>
          <w:rFonts w:ascii="Arial" w:cs="Arial" w:eastAsia="Arial" w:hAnsi="Arial"/>
          <w:sz w:val="16"/>
          <w:szCs w:val="16"/>
          <w:color w:val="auto"/>
        </w:rPr>
        <w:t>Vote by Mobile Device</w:t>
      </w: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16"/>
          <w:szCs w:val="16"/>
          <w:color w:val="auto"/>
        </w:rPr>
        <w:t>Vote at the Virtual Meeting</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right="1760"/>
        <w:spacing w:after="0" w:line="286" w:lineRule="auto"/>
        <w:rPr>
          <w:sz w:val="20"/>
          <w:szCs w:val="20"/>
          <w:color w:val="auto"/>
        </w:rPr>
      </w:pPr>
      <w:r>
        <w:rPr>
          <w:rFonts w:ascii="Arial" w:cs="Arial" w:eastAsia="Arial" w:hAnsi="Arial"/>
          <w:sz w:val="16"/>
          <w:szCs w:val="16"/>
          <w:color w:val="auto"/>
        </w:rPr>
        <w:t>Go to www.proxyvote.com and follow the instructions for Internet voting shown on your Notice Regarding the Availability of Proxy Materials or proxy card.</w:t>
      </w:r>
    </w:p>
    <w:p>
      <w:pPr>
        <w:spacing w:after="0" w:line="75" w:lineRule="exact"/>
        <w:rPr>
          <w:sz w:val="20"/>
          <w:szCs w:val="20"/>
          <w:color w:val="auto"/>
        </w:rPr>
      </w:pPr>
    </w:p>
    <w:p>
      <w:pPr>
        <w:ind w:right="1780"/>
        <w:spacing w:after="0" w:line="272" w:lineRule="auto"/>
        <w:rPr>
          <w:sz w:val="20"/>
          <w:szCs w:val="20"/>
          <w:color w:val="auto"/>
        </w:rPr>
      </w:pPr>
      <w:r>
        <w:rPr>
          <w:rFonts w:ascii="Arial" w:cs="Arial" w:eastAsia="Arial" w:hAnsi="Arial"/>
          <w:sz w:val="16"/>
          <w:szCs w:val="16"/>
          <w:color w:val="auto"/>
        </w:rPr>
        <w:t>Call 800-690-6903 and follow the instructions for telephone voting shown on your proxy card.</w:t>
      </w:r>
    </w:p>
    <w:p>
      <w:pPr>
        <w:spacing w:after="0" w:line="1" w:lineRule="exact"/>
        <w:rPr>
          <w:sz w:val="20"/>
          <w:szCs w:val="20"/>
          <w:color w:val="auto"/>
        </w:rPr>
      </w:pPr>
    </w:p>
    <w:p>
      <w:pPr>
        <w:ind w:right="1600"/>
        <w:spacing w:after="0" w:line="266" w:lineRule="auto"/>
        <w:rPr>
          <w:sz w:val="20"/>
          <w:szCs w:val="20"/>
          <w:color w:val="auto"/>
        </w:rPr>
      </w:pPr>
      <w:r>
        <w:rPr>
          <w:rFonts w:ascii="Arial" w:cs="Arial" w:eastAsia="Arial" w:hAnsi="Arial"/>
          <w:sz w:val="16"/>
          <w:szCs w:val="16"/>
          <w:color w:val="auto"/>
        </w:rPr>
        <w:t>Complete, sign, date and mail your proxy card in the envelope provided if you received a paper copy of these proxy materials. If you vote by Internet, telephone or mobile device, please do not mail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-379095</wp:posOffset>
            </wp:positionV>
            <wp:extent cx="7132320" cy="7029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16" w:lineRule="exact"/>
        <w:rPr>
          <w:sz w:val="20"/>
          <w:szCs w:val="20"/>
          <w:color w:val="auto"/>
        </w:rPr>
      </w:pPr>
    </w:p>
    <w:p>
      <w:pPr>
        <w:ind w:right="1780"/>
        <w:spacing w:after="0" w:line="286" w:lineRule="auto"/>
        <w:rPr>
          <w:sz w:val="20"/>
          <w:szCs w:val="20"/>
          <w:color w:val="auto"/>
        </w:rPr>
      </w:pPr>
      <w:r>
        <w:rPr>
          <w:rFonts w:ascii="Arial" w:cs="Arial" w:eastAsia="Arial" w:hAnsi="Arial"/>
          <w:sz w:val="16"/>
          <w:szCs w:val="16"/>
          <w:color w:val="auto"/>
        </w:rPr>
        <w:t>Scan the QR code on your Notice Regarding the Availability of Proxy Materials or proxy card and follow the links.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Attend our virtual meeting and vote your shares electronically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-107315</wp:posOffset>
            </wp:positionV>
            <wp:extent cx="7132320" cy="4800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1" w:lineRule="exact"/>
        <w:rPr>
          <w:sz w:val="20"/>
          <w:szCs w:val="20"/>
          <w:color w:val="auto"/>
        </w:rPr>
      </w:pPr>
    </w:p>
    <w:p>
      <w:pPr>
        <w:jc w:val="both"/>
        <w:ind w:right="60"/>
        <w:spacing w:after="0" w:line="256" w:lineRule="auto"/>
        <w:rPr>
          <w:sz w:val="20"/>
          <w:szCs w:val="20"/>
          <w:color w:val="auto"/>
        </w:rPr>
      </w:pPr>
      <w:r>
        <w:rPr>
          <w:rFonts w:ascii="Arial" w:cs="Arial" w:eastAsia="Arial" w:hAnsi="Arial"/>
          <w:sz w:val="16"/>
          <w:szCs w:val="16"/>
          <w:color w:val="auto"/>
        </w:rPr>
        <w:t>visiting www.virtualshareholdermeeting.com/TTC2023. You will need the 16-digit control number included on your proxy card voting instruction form or Notice Regarding the Availability of Proxy Materials to enter the annual meeting.</w:t>
      </w:r>
    </w:p>
    <w:p>
      <w:pPr>
        <w:spacing w:after="0" w:line="79" w:lineRule="exact"/>
        <w:rPr>
          <w:sz w:val="20"/>
          <w:szCs w:val="20"/>
          <w:color w:val="auto"/>
        </w:rPr>
      </w:pPr>
    </w:p>
    <w:p>
      <w:pPr>
        <w:sectPr>
          <w:pgSz w:w="11900" w:h="16838" w:orient="portrait"/>
          <w:cols w:equalWidth="0" w:num="2">
            <w:col w:w="2900" w:space="720"/>
            <w:col w:w="7580"/>
          </w:cols>
          <w:pgMar w:left="320" w:top="122" w:right="379" w:bottom="1440" w:gutter="0" w:footer="0" w:header="0"/>
          <w:type w:val="continuous"/>
        </w:sectPr>
      </w:pPr>
    </w:p>
    <w:p>
      <w:pPr>
        <w:ind w:left="400"/>
        <w:spacing w:after="0"/>
        <w:rPr>
          <w:sz w:val="20"/>
          <w:szCs w:val="20"/>
          <w:color w:val="auto"/>
        </w:rPr>
      </w:pPr>
      <w:r>
        <w:rPr>
          <w:rFonts w:ascii="Arial" w:cs="Arial" w:eastAsia="Arial" w:hAnsi="Arial"/>
          <w:sz w:val="18"/>
          <w:szCs w:val="18"/>
          <w:color w:val="auto"/>
        </w:rPr>
        <w:t>If you hold shares as a participant in certain TTC employee benefit plans, you may vote your shares by one</w:t>
      </w:r>
    </w:p>
    <w:p>
      <w:pPr>
        <w:spacing w:after="0" w:line="1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of the five methods noted above. If your shares are held in “street name,” you may receive a separate voting instruction form with this proxy statement or you may need to contact your broker, bank or other nominee to determine whether you will be able to vote electronically using the Internet, telephone or mobile device. On the day of the annual meeting, you may go to www.virtualshareholdermeeting.com/TTC2023, and log in by entering the 16-digit control number found on your voting instruction form. If you do not have your control number, you will be able register as a guest; however, you will not be able to vote or submit questions during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How Does the Board Recommend that I Vote and What Vote is Required for Each Proposal?</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760" w:type="dxa"/>
            <w:vAlign w:val="bottom"/>
            <w:shd w:val="clear" w:color="auto" w:fill="C00000"/>
          </w:tcPr>
          <w:p>
            <w:pPr>
              <w:spacing w:after="0"/>
              <w:rPr>
                <w:sz w:val="16"/>
                <w:szCs w:val="16"/>
                <w:color w:val="auto"/>
              </w:rPr>
            </w:pPr>
          </w:p>
        </w:tc>
        <w:tc>
          <w:tcPr>
            <w:tcW w:w="2520" w:type="dxa"/>
            <w:vAlign w:val="bottom"/>
            <w:vMerge w:val="restart"/>
            <w:shd w:val="clear" w:color="auto" w:fill="C00000"/>
          </w:tcPr>
          <w:p>
            <w:pPr>
              <w:ind w:left="1120"/>
              <w:spacing w:after="0"/>
              <w:rPr>
                <w:sz w:val="20"/>
                <w:szCs w:val="20"/>
                <w:color w:val="auto"/>
              </w:rPr>
            </w:pPr>
            <w:r>
              <w:rPr>
                <w:rFonts w:ascii="Arial" w:cs="Arial" w:eastAsia="Arial" w:hAnsi="Arial"/>
                <w:sz w:val="14"/>
                <w:szCs w:val="14"/>
                <w:b w:val="1"/>
                <w:bCs w:val="1"/>
                <w:color w:val="FFFFFF"/>
              </w:rPr>
              <w:t>Board</w:t>
            </w:r>
          </w:p>
        </w:tc>
        <w:tc>
          <w:tcPr>
            <w:tcW w:w="1820" w:type="dxa"/>
            <w:vAlign w:val="bottom"/>
            <w:vMerge w:val="restart"/>
            <w:shd w:val="clear" w:color="auto" w:fill="C00000"/>
          </w:tcPr>
          <w:p>
            <w:pPr>
              <w:ind w:left="200"/>
              <w:spacing w:after="0"/>
              <w:rPr>
                <w:sz w:val="20"/>
                <w:szCs w:val="20"/>
                <w:color w:val="auto"/>
              </w:rPr>
            </w:pPr>
            <w:r>
              <w:rPr>
                <w:rFonts w:ascii="Arial" w:cs="Arial" w:eastAsia="Arial" w:hAnsi="Arial"/>
                <w:sz w:val="14"/>
                <w:szCs w:val="14"/>
                <w:b w:val="1"/>
                <w:bCs w:val="1"/>
                <w:color w:val="FFFFFF"/>
              </w:rPr>
              <w:t>Available Voting</w:t>
            </w:r>
          </w:p>
        </w:tc>
        <w:tc>
          <w:tcPr>
            <w:tcW w:w="2080" w:type="dxa"/>
            <w:vAlign w:val="bottom"/>
            <w:vMerge w:val="restart"/>
            <w:shd w:val="clear" w:color="auto" w:fill="C00000"/>
          </w:tcPr>
          <w:p>
            <w:pPr>
              <w:ind w:left="500"/>
              <w:spacing w:after="0"/>
              <w:rPr>
                <w:sz w:val="20"/>
                <w:szCs w:val="20"/>
                <w:color w:val="auto"/>
              </w:rPr>
            </w:pPr>
            <w:r>
              <w:rPr>
                <w:rFonts w:ascii="Arial" w:cs="Arial" w:eastAsia="Arial" w:hAnsi="Arial"/>
                <w:sz w:val="14"/>
                <w:szCs w:val="14"/>
                <w:b w:val="1"/>
                <w:bCs w:val="1"/>
                <w:color w:val="FFFFFF"/>
              </w:rPr>
              <w:t>Voting Approval</w:t>
            </w:r>
          </w:p>
        </w:tc>
        <w:tc>
          <w:tcPr>
            <w:tcW w:w="1560" w:type="dxa"/>
            <w:vAlign w:val="bottom"/>
            <w:shd w:val="clear" w:color="auto" w:fill="C00000"/>
          </w:tcPr>
          <w:p>
            <w:pPr>
              <w:ind w:left="480"/>
              <w:spacing w:after="0"/>
              <w:rPr>
                <w:sz w:val="20"/>
                <w:szCs w:val="20"/>
                <w:color w:val="auto"/>
              </w:rPr>
            </w:pPr>
            <w:r>
              <w:rPr>
                <w:rFonts w:ascii="Arial" w:cs="Arial" w:eastAsia="Arial" w:hAnsi="Arial"/>
                <w:sz w:val="14"/>
                <w:szCs w:val="14"/>
                <w:b w:val="1"/>
                <w:bCs w:val="1"/>
                <w:color w:val="FFFFFF"/>
              </w:rPr>
              <w:t>Effect of</w:t>
            </w:r>
          </w:p>
        </w:tc>
        <w:tc>
          <w:tcPr>
            <w:tcW w:w="1500" w:type="dxa"/>
            <w:vAlign w:val="bottom"/>
            <w:shd w:val="clear" w:color="auto" w:fill="C00000"/>
          </w:tcPr>
          <w:p>
            <w:pPr>
              <w:ind w:left="280"/>
              <w:spacing w:after="0"/>
              <w:rPr>
                <w:sz w:val="20"/>
                <w:szCs w:val="20"/>
                <w:color w:val="auto"/>
              </w:rPr>
            </w:pPr>
            <w:r>
              <w:rPr>
                <w:rFonts w:ascii="Arial" w:cs="Arial" w:eastAsia="Arial" w:hAnsi="Arial"/>
                <w:sz w:val="14"/>
                <w:szCs w:val="14"/>
                <w:b w:val="1"/>
                <w:bCs w:val="1"/>
                <w:color w:val="FFFFFF"/>
              </w:rPr>
              <w:t>Effect of</w:t>
            </w:r>
          </w:p>
        </w:tc>
        <w:tc>
          <w:tcPr>
            <w:tcW w:w="0" w:type="dxa"/>
            <w:vAlign w:val="bottom"/>
          </w:tcPr>
          <w:p>
            <w:pPr>
              <w:spacing w:after="0"/>
              <w:rPr>
                <w:sz w:val="1"/>
                <w:szCs w:val="1"/>
                <w:color w:val="auto"/>
              </w:rPr>
            </w:pPr>
          </w:p>
        </w:tc>
      </w:tr>
      <w:tr>
        <w:trPr>
          <w:trHeight w:val="176"/>
        </w:trPr>
        <w:tc>
          <w:tcPr>
            <w:tcW w:w="1760" w:type="dxa"/>
            <w:vAlign w:val="bottom"/>
            <w:vMerge w:val="restart"/>
            <w:shd w:val="clear" w:color="auto" w:fill="C00000"/>
          </w:tcPr>
          <w:p>
            <w:pPr>
              <w:spacing w:after="0"/>
              <w:rPr>
                <w:sz w:val="20"/>
                <w:szCs w:val="20"/>
                <w:color w:val="auto"/>
              </w:rPr>
            </w:pPr>
            <w:r>
              <w:rPr>
                <w:rFonts w:ascii="Arial" w:cs="Arial" w:eastAsia="Arial" w:hAnsi="Arial"/>
                <w:sz w:val="14"/>
                <w:szCs w:val="14"/>
                <w:b w:val="1"/>
                <w:bCs w:val="1"/>
                <w:color w:val="FFFFFF"/>
              </w:rPr>
              <w:t>Proposal</w:t>
            </w:r>
          </w:p>
        </w:tc>
        <w:tc>
          <w:tcPr>
            <w:tcW w:w="2520" w:type="dxa"/>
            <w:vAlign w:val="bottom"/>
            <w:vMerge w:val="continue"/>
            <w:shd w:val="clear" w:color="auto" w:fill="C00000"/>
          </w:tcPr>
          <w:p>
            <w:pPr>
              <w:spacing w:after="0"/>
              <w:rPr>
                <w:sz w:val="15"/>
                <w:szCs w:val="15"/>
                <w:color w:val="auto"/>
              </w:rPr>
            </w:pPr>
          </w:p>
        </w:tc>
        <w:tc>
          <w:tcPr>
            <w:tcW w:w="1820" w:type="dxa"/>
            <w:vAlign w:val="bottom"/>
            <w:vMerge w:val="continue"/>
            <w:shd w:val="clear" w:color="auto" w:fill="C00000"/>
          </w:tcPr>
          <w:p>
            <w:pPr>
              <w:spacing w:after="0"/>
              <w:rPr>
                <w:sz w:val="15"/>
                <w:szCs w:val="15"/>
                <w:color w:val="auto"/>
              </w:rPr>
            </w:pPr>
          </w:p>
        </w:tc>
        <w:tc>
          <w:tcPr>
            <w:tcW w:w="2080" w:type="dxa"/>
            <w:vAlign w:val="bottom"/>
            <w:vMerge w:val="continue"/>
            <w:shd w:val="clear" w:color="auto" w:fill="C00000"/>
          </w:tcPr>
          <w:p>
            <w:pPr>
              <w:spacing w:after="0"/>
              <w:rPr>
                <w:sz w:val="15"/>
                <w:szCs w:val="15"/>
                <w:color w:val="auto"/>
              </w:rPr>
            </w:pPr>
          </w:p>
        </w:tc>
        <w:tc>
          <w:tcPr>
            <w:tcW w:w="1560" w:type="dxa"/>
            <w:vAlign w:val="bottom"/>
            <w:shd w:val="clear" w:color="auto" w:fill="C00000"/>
          </w:tcPr>
          <w:p>
            <w:pPr>
              <w:ind w:left="480"/>
              <w:spacing w:after="0"/>
              <w:rPr>
                <w:sz w:val="20"/>
                <w:szCs w:val="20"/>
                <w:color w:val="auto"/>
              </w:rPr>
            </w:pPr>
            <w:r>
              <w:rPr>
                <w:rFonts w:ascii="Arial" w:cs="Arial" w:eastAsia="Arial" w:hAnsi="Arial"/>
                <w:sz w:val="14"/>
                <w:szCs w:val="14"/>
                <w:b w:val="1"/>
                <w:bCs w:val="1"/>
                <w:color w:val="FFFFFF"/>
              </w:rPr>
              <w:t>Withhold or</w:t>
            </w:r>
          </w:p>
        </w:tc>
        <w:tc>
          <w:tcPr>
            <w:tcW w:w="1500" w:type="dxa"/>
            <w:vAlign w:val="bottom"/>
            <w:shd w:val="clear" w:color="auto" w:fill="C00000"/>
          </w:tcPr>
          <w:p>
            <w:pPr>
              <w:ind w:left="280"/>
              <w:spacing w:after="0"/>
              <w:rPr>
                <w:sz w:val="20"/>
                <w:szCs w:val="20"/>
                <w:color w:val="auto"/>
              </w:rPr>
            </w:pPr>
            <w:r>
              <w:rPr>
                <w:rFonts w:ascii="Arial" w:cs="Arial" w:eastAsia="Arial" w:hAnsi="Arial"/>
                <w:sz w:val="14"/>
                <w:szCs w:val="14"/>
                <w:b w:val="1"/>
                <w:bCs w:val="1"/>
                <w:color w:val="FFFFFF"/>
              </w:rPr>
              <w:t>Broker Non-</w:t>
            </w:r>
          </w:p>
        </w:tc>
        <w:tc>
          <w:tcPr>
            <w:tcW w:w="0" w:type="dxa"/>
            <w:vAlign w:val="bottom"/>
          </w:tcPr>
          <w:p>
            <w:pPr>
              <w:spacing w:after="0"/>
              <w:rPr>
                <w:sz w:val="1"/>
                <w:szCs w:val="1"/>
                <w:color w:val="auto"/>
              </w:rPr>
            </w:pPr>
          </w:p>
        </w:tc>
      </w:tr>
      <w:tr>
        <w:trPr>
          <w:trHeight w:val="185"/>
        </w:trPr>
        <w:tc>
          <w:tcPr>
            <w:tcW w:w="1760" w:type="dxa"/>
            <w:vAlign w:val="bottom"/>
            <w:vMerge w:val="continue"/>
            <w:shd w:val="clear" w:color="auto" w:fill="C00000"/>
          </w:tcPr>
          <w:p>
            <w:pPr>
              <w:spacing w:after="0"/>
              <w:rPr>
                <w:sz w:val="16"/>
                <w:szCs w:val="16"/>
                <w:color w:val="auto"/>
              </w:rPr>
            </w:pPr>
          </w:p>
        </w:tc>
        <w:tc>
          <w:tcPr>
            <w:tcW w:w="2520" w:type="dxa"/>
            <w:vAlign w:val="bottom"/>
            <w:shd w:val="clear" w:color="auto" w:fill="C00000"/>
          </w:tcPr>
          <w:p>
            <w:pPr>
              <w:ind w:left="1120"/>
              <w:spacing w:after="0"/>
              <w:rPr>
                <w:sz w:val="20"/>
                <w:szCs w:val="20"/>
                <w:color w:val="auto"/>
              </w:rPr>
            </w:pPr>
            <w:r>
              <w:rPr>
                <w:rFonts w:ascii="Arial" w:cs="Arial" w:eastAsia="Arial" w:hAnsi="Arial"/>
                <w:sz w:val="14"/>
                <w:szCs w:val="14"/>
                <w:b w:val="1"/>
                <w:bCs w:val="1"/>
                <w:color w:val="FFFFFF"/>
              </w:rPr>
              <w:t>Recommendation</w:t>
            </w:r>
          </w:p>
        </w:tc>
        <w:tc>
          <w:tcPr>
            <w:tcW w:w="1820" w:type="dxa"/>
            <w:vAlign w:val="bottom"/>
            <w:shd w:val="clear" w:color="auto" w:fill="C00000"/>
          </w:tcPr>
          <w:p>
            <w:pPr>
              <w:ind w:left="200"/>
              <w:spacing w:after="0"/>
              <w:rPr>
                <w:sz w:val="20"/>
                <w:szCs w:val="20"/>
                <w:color w:val="auto"/>
              </w:rPr>
            </w:pPr>
            <w:r>
              <w:rPr>
                <w:rFonts w:ascii="Arial" w:cs="Arial" w:eastAsia="Arial" w:hAnsi="Arial"/>
                <w:sz w:val="14"/>
                <w:szCs w:val="14"/>
                <w:b w:val="1"/>
                <w:bCs w:val="1"/>
                <w:color w:val="FFFFFF"/>
              </w:rPr>
              <w:t>Selections</w:t>
            </w:r>
          </w:p>
        </w:tc>
        <w:tc>
          <w:tcPr>
            <w:tcW w:w="2080" w:type="dxa"/>
            <w:vAlign w:val="bottom"/>
            <w:shd w:val="clear" w:color="auto" w:fill="C00000"/>
          </w:tcPr>
          <w:p>
            <w:pPr>
              <w:ind w:left="500"/>
              <w:spacing w:after="0"/>
              <w:rPr>
                <w:sz w:val="20"/>
                <w:szCs w:val="20"/>
                <w:color w:val="auto"/>
              </w:rPr>
            </w:pPr>
            <w:r>
              <w:rPr>
                <w:rFonts w:ascii="Arial" w:cs="Arial" w:eastAsia="Arial" w:hAnsi="Arial"/>
                <w:sz w:val="14"/>
                <w:szCs w:val="14"/>
                <w:b w:val="1"/>
                <w:bCs w:val="1"/>
                <w:color w:val="FFFFFF"/>
              </w:rPr>
              <w:t>Standard</w:t>
            </w:r>
          </w:p>
        </w:tc>
        <w:tc>
          <w:tcPr>
            <w:tcW w:w="1560" w:type="dxa"/>
            <w:vAlign w:val="bottom"/>
            <w:shd w:val="clear" w:color="auto" w:fill="C00000"/>
          </w:tcPr>
          <w:p>
            <w:pPr>
              <w:ind w:left="480"/>
              <w:spacing w:after="0"/>
              <w:rPr>
                <w:sz w:val="20"/>
                <w:szCs w:val="20"/>
                <w:color w:val="auto"/>
              </w:rPr>
            </w:pPr>
            <w:r>
              <w:rPr>
                <w:rFonts w:ascii="Arial" w:cs="Arial" w:eastAsia="Arial" w:hAnsi="Arial"/>
                <w:sz w:val="14"/>
                <w:szCs w:val="14"/>
                <w:b w:val="1"/>
                <w:bCs w:val="1"/>
                <w:color w:val="FFFFFF"/>
              </w:rPr>
              <w:t>Abstention</w:t>
            </w:r>
          </w:p>
        </w:tc>
        <w:tc>
          <w:tcPr>
            <w:tcW w:w="1500" w:type="dxa"/>
            <w:vAlign w:val="bottom"/>
            <w:shd w:val="clear" w:color="auto" w:fill="C00000"/>
          </w:tcPr>
          <w:p>
            <w:pPr>
              <w:ind w:left="280"/>
              <w:spacing w:after="0"/>
              <w:rPr>
                <w:sz w:val="20"/>
                <w:szCs w:val="20"/>
                <w:color w:val="auto"/>
              </w:rPr>
            </w:pPr>
            <w:r>
              <w:rPr>
                <w:rFonts w:ascii="Arial" w:cs="Arial" w:eastAsia="Arial" w:hAnsi="Arial"/>
                <w:sz w:val="14"/>
                <w:szCs w:val="14"/>
                <w:b w:val="1"/>
                <w:bCs w:val="1"/>
                <w:color w:val="FFFFFF"/>
              </w:rPr>
              <w:t>Vote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2" w:right="339" w:bottom="1440" w:gutter="0" w:footer="0" w:header="0"/>
        </w:sectPr>
      </w:pPr>
    </w:p>
    <w:tbl>
      <w:tblPr>
        <w:tblLayout w:type="fixed"/>
        <w:tblInd w:w="0" w:type="dxa"/>
        <w:tblCellMar>
          <w:top w:w="0" w:type="dxa"/>
          <w:left w:w="0" w:type="dxa"/>
          <w:bottom w:w="0" w:type="dxa"/>
          <w:right w:w="0" w:type="dxa"/>
        </w:tblCellMar>
      </w:tblPr>
      <w:tr>
        <w:trPr>
          <w:trHeight w:val="188"/>
        </w:trPr>
        <w:tc>
          <w:tcPr>
            <w:tcW w:w="240" w:type="dxa"/>
            <w:vAlign w:val="bottom"/>
          </w:tcPr>
          <w:p>
            <w:pPr>
              <w:jc w:val="right"/>
              <w:ind w:right="19"/>
              <w:spacing w:after="0"/>
              <w:rPr>
                <w:sz w:val="20"/>
                <w:szCs w:val="20"/>
                <w:color w:val="auto"/>
              </w:rPr>
            </w:pPr>
            <w:r>
              <w:rPr>
                <w:rFonts w:ascii="Arial" w:cs="Arial" w:eastAsia="Arial" w:hAnsi="Arial"/>
                <w:sz w:val="16"/>
                <w:szCs w:val="16"/>
                <w:color w:val="auto"/>
                <w:w w:val="89"/>
              </w:rPr>
              <w:t>1.</w:t>
            </w:r>
          </w:p>
        </w:tc>
        <w:tc>
          <w:tcPr>
            <w:tcW w:w="2420" w:type="dxa"/>
            <w:vAlign w:val="bottom"/>
          </w:tcPr>
          <w:p>
            <w:pPr>
              <w:ind w:left="80"/>
              <w:spacing w:after="0"/>
              <w:rPr>
                <w:sz w:val="20"/>
                <w:szCs w:val="20"/>
                <w:color w:val="auto"/>
              </w:rPr>
            </w:pPr>
            <w:r>
              <w:rPr>
                <w:rFonts w:ascii="Arial" w:cs="Arial" w:eastAsia="Arial" w:hAnsi="Arial"/>
                <w:sz w:val="16"/>
                <w:szCs w:val="16"/>
                <w:color w:val="auto"/>
              </w:rPr>
              <w:t>Election of three</w:t>
            </w:r>
          </w:p>
        </w:tc>
        <w:tc>
          <w:tcPr>
            <w:tcW w:w="1180" w:type="dxa"/>
            <w:vAlign w:val="bottom"/>
          </w:tcPr>
          <w:p>
            <w:pPr>
              <w:ind w:left="220"/>
              <w:spacing w:after="0"/>
              <w:rPr>
                <w:sz w:val="20"/>
                <w:szCs w:val="20"/>
                <w:color w:val="auto"/>
              </w:rPr>
            </w:pPr>
            <w:r>
              <w:rPr>
                <w:rFonts w:ascii="Arial" w:cs="Arial" w:eastAsia="Arial" w:hAnsi="Arial"/>
                <w:sz w:val="16"/>
                <w:szCs w:val="16"/>
                <w:b w:val="1"/>
                <w:bCs w:val="1"/>
                <w:color w:val="auto"/>
                <w:w w:val="98"/>
              </w:rPr>
              <w:t xml:space="preserve">FOR </w:t>
            </w:r>
            <w:r>
              <w:rPr>
                <w:rFonts w:ascii="Arial" w:cs="Arial" w:eastAsia="Arial" w:hAnsi="Arial"/>
                <w:sz w:val="16"/>
                <w:szCs w:val="16"/>
                <w:color w:val="auto"/>
                <w:w w:val="98"/>
              </w:rPr>
              <w:t>all three</w:t>
            </w:r>
          </w:p>
        </w:tc>
      </w:tr>
      <w:tr>
        <w:trPr>
          <w:trHeight w:val="242"/>
        </w:trPr>
        <w:tc>
          <w:tcPr>
            <w:tcW w:w="240" w:type="dxa"/>
            <w:vAlign w:val="bottom"/>
          </w:tcPr>
          <w:p>
            <w:pPr>
              <w:spacing w:after="0"/>
              <w:rPr>
                <w:sz w:val="21"/>
                <w:szCs w:val="21"/>
                <w:color w:val="auto"/>
              </w:rPr>
            </w:pPr>
          </w:p>
        </w:tc>
        <w:tc>
          <w:tcPr>
            <w:tcW w:w="2420" w:type="dxa"/>
            <w:vAlign w:val="bottom"/>
          </w:tcPr>
          <w:p>
            <w:pPr>
              <w:ind w:left="100"/>
              <w:spacing w:after="0"/>
              <w:rPr>
                <w:sz w:val="20"/>
                <w:szCs w:val="20"/>
                <w:color w:val="auto"/>
              </w:rPr>
            </w:pPr>
            <w:r>
              <w:rPr>
                <w:rFonts w:ascii="Arial" w:cs="Arial" w:eastAsia="Arial" w:hAnsi="Arial"/>
                <w:sz w:val="16"/>
                <w:szCs w:val="16"/>
                <w:color w:val="auto"/>
              </w:rPr>
              <w:t>directors</w:t>
            </w:r>
          </w:p>
        </w:tc>
        <w:tc>
          <w:tcPr>
            <w:tcW w:w="1180" w:type="dxa"/>
            <w:vAlign w:val="bottom"/>
          </w:tcPr>
          <w:p>
            <w:pPr>
              <w:ind w:left="220"/>
              <w:spacing w:after="0"/>
              <w:rPr>
                <w:sz w:val="20"/>
                <w:szCs w:val="20"/>
                <w:color w:val="auto"/>
              </w:rPr>
            </w:pPr>
            <w:r>
              <w:rPr>
                <w:rFonts w:ascii="Arial" w:cs="Arial" w:eastAsia="Arial" w:hAnsi="Arial"/>
                <w:sz w:val="16"/>
                <w:szCs w:val="16"/>
                <w:color w:val="auto"/>
              </w:rPr>
              <w:t>nominees</w:t>
            </w:r>
          </w:p>
        </w:tc>
      </w:tr>
      <w:tr>
        <w:trPr>
          <w:trHeight w:val="571"/>
        </w:trPr>
        <w:tc>
          <w:tcPr>
            <w:tcW w:w="240" w:type="dxa"/>
            <w:vAlign w:val="bottom"/>
          </w:tcPr>
          <w:p>
            <w:pPr>
              <w:jc w:val="right"/>
              <w:ind w:right="19"/>
              <w:spacing w:after="0"/>
              <w:rPr>
                <w:sz w:val="20"/>
                <w:szCs w:val="20"/>
                <w:color w:val="auto"/>
              </w:rPr>
            </w:pPr>
            <w:r>
              <w:rPr>
                <w:rFonts w:ascii="Arial" w:cs="Arial" w:eastAsia="Arial" w:hAnsi="Arial"/>
                <w:sz w:val="16"/>
                <w:szCs w:val="16"/>
                <w:color w:val="auto"/>
                <w:w w:val="89"/>
              </w:rPr>
              <w:t>2.</w:t>
            </w:r>
          </w:p>
        </w:tc>
        <w:tc>
          <w:tcPr>
            <w:tcW w:w="2420" w:type="dxa"/>
            <w:vAlign w:val="bottom"/>
          </w:tcPr>
          <w:p>
            <w:pPr>
              <w:ind w:left="80"/>
              <w:spacing w:after="0"/>
              <w:rPr>
                <w:sz w:val="20"/>
                <w:szCs w:val="20"/>
                <w:color w:val="auto"/>
              </w:rPr>
            </w:pPr>
            <w:r>
              <w:rPr>
                <w:rFonts w:ascii="Arial" w:cs="Arial" w:eastAsia="Arial" w:hAnsi="Arial"/>
                <w:sz w:val="16"/>
                <w:szCs w:val="16"/>
                <w:color w:val="auto"/>
              </w:rPr>
              <w:t>Ratification of the selection of</w:t>
            </w:r>
          </w:p>
        </w:tc>
        <w:tc>
          <w:tcPr>
            <w:tcW w:w="1180" w:type="dxa"/>
            <w:vAlign w:val="bottom"/>
          </w:tcPr>
          <w:p>
            <w:pPr>
              <w:ind w:left="220"/>
              <w:spacing w:after="0"/>
              <w:rPr>
                <w:sz w:val="20"/>
                <w:szCs w:val="20"/>
                <w:color w:val="auto"/>
              </w:rPr>
            </w:pPr>
            <w:r>
              <w:rPr>
                <w:rFonts w:ascii="Arial" w:cs="Arial" w:eastAsia="Arial" w:hAnsi="Arial"/>
                <w:sz w:val="16"/>
                <w:szCs w:val="16"/>
                <w:b w:val="1"/>
                <w:bCs w:val="1"/>
                <w:color w:val="auto"/>
              </w:rPr>
              <w:t>FOR</w:t>
            </w:r>
          </w:p>
        </w:tc>
      </w:tr>
    </w:tbl>
    <w:p>
      <w:pPr>
        <w:ind w:left="340" w:right="1120"/>
        <w:spacing w:after="0" w:line="252" w:lineRule="auto"/>
        <w:rPr>
          <w:sz w:val="20"/>
          <w:szCs w:val="20"/>
          <w:color w:val="auto"/>
        </w:rPr>
      </w:pPr>
      <w:r>
        <w:rPr>
          <w:rFonts w:ascii="Arial" w:cs="Arial" w:eastAsia="Arial" w:hAnsi="Arial"/>
          <w:sz w:val="16"/>
          <w:szCs w:val="16"/>
          <w:color w:val="auto"/>
        </w:rPr>
        <w:t>KPMG LLP as our independent registered public accounting firm for our fiscal year ending October 31, 2023</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6"/>
          <w:szCs w:val="16"/>
          <w:color w:val="auto"/>
        </w:rPr>
        <w:t>FOR all nominees; WITHHOLD from all nominees; or WITHHOLD from one or more nominees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FOR; 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-115570</wp:posOffset>
            </wp:positionV>
            <wp:extent cx="7132320" cy="6261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62611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or ABSTAIN</w:t>
      </w:r>
    </w:p>
    <w:p>
      <w:pPr>
        <w:spacing w:after="0" w:line="20" w:lineRule="exact"/>
        <w:rPr>
          <w:sz w:val="20"/>
          <w:szCs w:val="20"/>
          <w:color w:val="auto"/>
        </w:rPr>
      </w:pPr>
      <w:r>
        <w:rPr>
          <w:sz w:val="20"/>
          <w:szCs w:val="20"/>
          <w:color w:val="auto"/>
        </w:rPr>
        <w:br w:type="column"/>
      </w:r>
    </w:p>
    <w:p>
      <w:pPr>
        <w:spacing w:after="0" w:line="242" w:lineRule="auto"/>
        <w:rPr>
          <w:sz w:val="20"/>
          <w:szCs w:val="20"/>
          <w:color w:val="auto"/>
        </w:rPr>
      </w:pPr>
      <w:r>
        <w:rPr>
          <w:rFonts w:ascii="Arial" w:cs="Arial" w:eastAsia="Arial" w:hAnsi="Arial"/>
          <w:sz w:val="15"/>
          <w:szCs w:val="15"/>
          <w:color w:val="auto"/>
        </w:rPr>
        <w:t>Plurality: the individuals who receive the greatest number of votes cast “for” are elected as directors</w:t>
      </w:r>
      <w:r>
        <w:rPr>
          <w:rFonts w:ascii="Arial" w:cs="Arial" w:eastAsia="Arial" w:hAnsi="Arial"/>
          <w:sz w:val="25"/>
          <w:szCs w:val="25"/>
          <w:color w:val="auto"/>
          <w:vertAlign w:val="superscript"/>
        </w:rPr>
        <w:t>(1)</w:t>
      </w:r>
    </w:p>
    <w:p>
      <w:pPr>
        <w:jc w:val="both"/>
        <w:spacing w:after="0" w:line="265" w:lineRule="auto"/>
        <w:rPr>
          <w:sz w:val="20"/>
          <w:szCs w:val="20"/>
          <w:color w:val="auto"/>
        </w:rPr>
      </w:pPr>
      <w:r>
        <w:rPr>
          <w:rFonts w:ascii="Arial" w:cs="Arial" w:eastAsia="Arial" w:hAnsi="Arial"/>
          <w:sz w:val="16"/>
          <w:szCs w:val="16"/>
          <w:color w:val="auto"/>
        </w:rPr>
        <w:t>Majority of shares present and entitled to vote</w:t>
      </w:r>
    </w:p>
    <w:p>
      <w:pPr>
        <w:spacing w:after="0" w:line="20" w:lineRule="exact"/>
        <w:rPr>
          <w:sz w:val="20"/>
          <w:szCs w:val="20"/>
          <w:color w:val="auto"/>
        </w:rPr>
      </w:pPr>
      <w:r>
        <w:rPr>
          <w:sz w:val="20"/>
          <w:szCs w:val="20"/>
          <w:color w:val="auto"/>
        </w:rPr>
        <w:br w:type="column"/>
      </w:r>
    </w:p>
    <w:p>
      <w:pPr>
        <w:spacing w:after="0"/>
        <w:tabs>
          <w:tab w:leader="none" w:pos="1340" w:val="left"/>
        </w:tabs>
        <w:rPr>
          <w:sz w:val="20"/>
          <w:szCs w:val="20"/>
          <w:color w:val="auto"/>
        </w:rPr>
      </w:pPr>
      <w:r>
        <w:rPr>
          <w:rFonts w:ascii="Arial" w:cs="Arial" w:eastAsia="Arial" w:hAnsi="Arial"/>
          <w:sz w:val="16"/>
          <w:szCs w:val="16"/>
          <w:color w:val="auto"/>
        </w:rPr>
        <w:t>No effect</w:t>
      </w:r>
      <w:r>
        <w:rPr>
          <w:sz w:val="20"/>
          <w:szCs w:val="20"/>
          <w:color w:val="auto"/>
        </w:rPr>
        <w:tab/>
      </w:r>
      <w:r>
        <w:rPr>
          <w:rFonts w:ascii="Arial" w:cs="Arial" w:eastAsia="Arial" w:hAnsi="Arial"/>
          <w:sz w:val="15"/>
          <w:szCs w:val="15"/>
          <w:color w:val="auto"/>
        </w:rPr>
        <w:t>No effect</w:t>
      </w:r>
    </w:p>
    <w:p>
      <w:pPr>
        <w:spacing w:after="0" w:line="200" w:lineRule="exact"/>
        <w:rPr>
          <w:sz w:val="20"/>
          <w:szCs w:val="20"/>
          <w:color w:val="auto"/>
        </w:rPr>
      </w:pPr>
    </w:p>
    <w:p>
      <w:pPr>
        <w:spacing w:after="0" w:line="356" w:lineRule="exact"/>
        <w:rPr>
          <w:sz w:val="20"/>
          <w:szCs w:val="20"/>
          <w:color w:val="auto"/>
        </w:rPr>
      </w:pPr>
    </w:p>
    <w:p>
      <w:pPr>
        <w:spacing w:after="0"/>
        <w:tabs>
          <w:tab w:leader="none" w:pos="1340" w:val="left"/>
        </w:tabs>
        <w:rPr>
          <w:sz w:val="20"/>
          <w:szCs w:val="20"/>
          <w:color w:val="auto"/>
        </w:rPr>
      </w:pPr>
      <w:r>
        <w:rPr>
          <w:rFonts w:ascii="Arial" w:cs="Arial" w:eastAsia="Arial" w:hAnsi="Arial"/>
          <w:sz w:val="16"/>
          <w:szCs w:val="16"/>
          <w:color w:val="auto"/>
        </w:rPr>
        <w:t>Counted as a</w:t>
      </w:r>
      <w:r>
        <w:rPr>
          <w:sz w:val="20"/>
          <w:szCs w:val="20"/>
          <w:color w:val="auto"/>
        </w:rPr>
        <w:tab/>
      </w:r>
      <w:r>
        <w:rPr>
          <w:rFonts w:ascii="Arial" w:cs="Arial" w:eastAsia="Arial" w:hAnsi="Arial"/>
          <w:sz w:val="15"/>
          <w:szCs w:val="15"/>
          <w:color w:val="auto"/>
        </w:rPr>
        <w:t>Not applicable</w:t>
      </w:r>
      <w:r>
        <w:rPr>
          <w:rFonts w:ascii="Arial" w:cs="Arial" w:eastAsia="Arial" w:hAnsi="Arial"/>
          <w:sz w:val="25"/>
          <w:szCs w:val="25"/>
          <w:color w:val="auto"/>
          <w:vertAlign w:val="superscript"/>
        </w:rPr>
        <w:t>(2)</w:t>
      </w:r>
    </w:p>
    <w:p>
      <w:pPr>
        <w:spacing w:after="0"/>
        <w:rPr>
          <w:sz w:val="20"/>
          <w:szCs w:val="20"/>
          <w:color w:val="auto"/>
        </w:rPr>
      </w:pPr>
      <w:r>
        <w:rPr>
          <w:rFonts w:ascii="Arial" w:cs="Arial" w:eastAsia="Arial" w:hAnsi="Arial"/>
          <w:sz w:val="16"/>
          <w:szCs w:val="16"/>
          <w:color w:val="auto"/>
        </w:rPr>
        <w:t>vote against</w:t>
      </w:r>
    </w:p>
    <w:p>
      <w:pPr>
        <w:spacing w:after="0" w:line="569" w:lineRule="exact"/>
        <w:rPr>
          <w:sz w:val="20"/>
          <w:szCs w:val="20"/>
          <w:color w:val="auto"/>
        </w:rPr>
      </w:pPr>
    </w:p>
    <w:p>
      <w:pPr>
        <w:sectPr>
          <w:pgSz w:w="11900" w:h="16838" w:orient="portrait"/>
          <w:cols w:equalWidth="0" w:num="4">
            <w:col w:w="3840" w:space="640"/>
            <w:col w:w="1980" w:space="140"/>
            <w:col w:w="1860" w:space="200"/>
            <w:col w:w="258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20" w:type="dxa"/>
            <w:vAlign w:val="bottom"/>
          </w:tcPr>
          <w:p>
            <w:pPr>
              <w:jc w:val="right"/>
              <w:spacing w:after="0"/>
              <w:rPr>
                <w:sz w:val="20"/>
                <w:szCs w:val="20"/>
                <w:color w:val="auto"/>
              </w:rPr>
            </w:pPr>
            <w:r>
              <w:rPr>
                <w:rFonts w:ascii="Arial" w:cs="Arial" w:eastAsia="Arial" w:hAnsi="Arial"/>
                <w:sz w:val="16"/>
                <w:szCs w:val="16"/>
                <w:color w:val="auto"/>
                <w:w w:val="89"/>
              </w:rPr>
              <w:t>3.</w:t>
            </w:r>
          </w:p>
        </w:tc>
        <w:tc>
          <w:tcPr>
            <w:tcW w:w="2600" w:type="dxa"/>
            <w:vAlign w:val="bottom"/>
          </w:tcPr>
          <w:p>
            <w:pPr>
              <w:ind w:left="100"/>
              <w:spacing w:after="0"/>
              <w:rPr>
                <w:sz w:val="20"/>
                <w:szCs w:val="20"/>
                <w:color w:val="auto"/>
              </w:rPr>
            </w:pPr>
            <w:r>
              <w:rPr>
                <w:rFonts w:ascii="Arial" w:cs="Arial" w:eastAsia="Arial" w:hAnsi="Arial"/>
                <w:sz w:val="16"/>
                <w:szCs w:val="16"/>
                <w:color w:val="auto"/>
              </w:rPr>
              <w:t>Approval of, on an advisory basis,</w:t>
            </w:r>
          </w:p>
        </w:tc>
        <w:tc>
          <w:tcPr>
            <w:tcW w:w="960" w:type="dxa"/>
            <w:vAlign w:val="bottom"/>
          </w:tcPr>
          <w:p>
            <w:pPr>
              <w:ind w:left="60"/>
              <w:spacing w:after="0"/>
              <w:rPr>
                <w:sz w:val="20"/>
                <w:szCs w:val="20"/>
                <w:color w:val="auto"/>
              </w:rPr>
            </w:pPr>
            <w:r>
              <w:rPr>
                <w:rFonts w:ascii="Arial" w:cs="Arial" w:eastAsia="Arial" w:hAnsi="Arial"/>
                <w:sz w:val="16"/>
                <w:szCs w:val="16"/>
                <w:b w:val="1"/>
                <w:bCs w:val="1"/>
                <w:color w:val="auto"/>
              </w:rPr>
              <w:t>FOR</w:t>
            </w:r>
          </w:p>
        </w:tc>
        <w:tc>
          <w:tcPr>
            <w:tcW w:w="2740" w:type="dxa"/>
            <w:vAlign w:val="bottom"/>
          </w:tcPr>
          <w:p>
            <w:pPr>
              <w:ind w:left="700"/>
              <w:spacing w:after="0"/>
              <w:rPr>
                <w:sz w:val="20"/>
                <w:szCs w:val="20"/>
                <w:color w:val="auto"/>
              </w:rPr>
            </w:pPr>
            <w:r>
              <w:rPr>
                <w:rFonts w:ascii="Arial" w:cs="Arial" w:eastAsia="Arial" w:hAnsi="Arial"/>
                <w:sz w:val="16"/>
                <w:szCs w:val="16"/>
                <w:color w:val="auto"/>
              </w:rPr>
              <w:t>FOR; AGAINST;</w:t>
            </w:r>
          </w:p>
        </w:tc>
        <w:tc>
          <w:tcPr>
            <w:tcW w:w="2040" w:type="dxa"/>
            <w:vAlign w:val="bottom"/>
          </w:tcPr>
          <w:p>
            <w:pPr>
              <w:ind w:left="80"/>
              <w:spacing w:after="0"/>
              <w:rPr>
                <w:sz w:val="20"/>
                <w:szCs w:val="20"/>
                <w:color w:val="auto"/>
              </w:rPr>
            </w:pPr>
            <w:r>
              <w:rPr>
                <w:rFonts w:ascii="Arial" w:cs="Arial" w:eastAsia="Arial" w:hAnsi="Arial"/>
                <w:sz w:val="16"/>
                <w:szCs w:val="16"/>
                <w:color w:val="auto"/>
              </w:rPr>
              <w:t>Majority of shares present</w:t>
            </w:r>
          </w:p>
        </w:tc>
        <w:tc>
          <w:tcPr>
            <w:tcW w:w="1260" w:type="dxa"/>
            <w:vAlign w:val="bottom"/>
          </w:tcPr>
          <w:p>
            <w:pPr>
              <w:ind w:left="100"/>
              <w:spacing w:after="0"/>
              <w:rPr>
                <w:sz w:val="20"/>
                <w:szCs w:val="20"/>
                <w:color w:val="auto"/>
              </w:rPr>
            </w:pPr>
            <w:r>
              <w:rPr>
                <w:rFonts w:ascii="Arial" w:cs="Arial" w:eastAsia="Arial" w:hAnsi="Arial"/>
                <w:sz w:val="16"/>
                <w:szCs w:val="16"/>
                <w:color w:val="auto"/>
              </w:rPr>
              <w:t>Counted as a</w:t>
            </w:r>
          </w:p>
        </w:tc>
        <w:tc>
          <w:tcPr>
            <w:tcW w:w="1420" w:type="dxa"/>
            <w:vAlign w:val="bottom"/>
          </w:tcPr>
          <w:p>
            <w:pPr>
              <w:ind w:left="200"/>
              <w:spacing w:after="0"/>
              <w:rPr>
                <w:sz w:val="20"/>
                <w:szCs w:val="20"/>
                <w:color w:val="auto"/>
              </w:rPr>
            </w:pPr>
            <w:r>
              <w:rPr>
                <w:rFonts w:ascii="Arial" w:cs="Arial" w:eastAsia="Arial" w:hAnsi="Arial"/>
                <w:sz w:val="16"/>
                <w:szCs w:val="16"/>
                <w:color w:val="auto"/>
              </w:rPr>
              <w:t>No effect</w:t>
            </w:r>
          </w:p>
        </w:tc>
      </w:tr>
      <w:tr>
        <w:trPr>
          <w:trHeight w:val="245"/>
        </w:trPr>
        <w:tc>
          <w:tcPr>
            <w:tcW w:w="220" w:type="dxa"/>
            <w:vAlign w:val="bottom"/>
          </w:tcPr>
          <w:p>
            <w:pPr>
              <w:spacing w:after="0"/>
              <w:rPr>
                <w:sz w:val="21"/>
                <w:szCs w:val="21"/>
                <w:color w:val="auto"/>
              </w:rPr>
            </w:pPr>
          </w:p>
        </w:tc>
        <w:tc>
          <w:tcPr>
            <w:tcW w:w="2600" w:type="dxa"/>
            <w:vAlign w:val="bottom"/>
          </w:tcPr>
          <w:p>
            <w:pPr>
              <w:ind w:left="120"/>
              <w:spacing w:after="0" w:line="245" w:lineRule="exact"/>
              <w:rPr>
                <w:sz w:val="20"/>
                <w:szCs w:val="20"/>
                <w:color w:val="auto"/>
              </w:rPr>
            </w:pPr>
            <w:r>
              <w:rPr>
                <w:rFonts w:ascii="Arial" w:cs="Arial" w:eastAsia="Arial" w:hAnsi="Arial"/>
                <w:sz w:val="16"/>
                <w:szCs w:val="16"/>
                <w:color w:val="auto"/>
              </w:rPr>
              <w:t>our executive compensation</w:t>
            </w:r>
            <w:r>
              <w:rPr>
                <w:rFonts w:ascii="Arial" w:cs="Arial" w:eastAsia="Arial" w:hAnsi="Arial"/>
                <w:sz w:val="27"/>
                <w:szCs w:val="27"/>
                <w:color w:val="auto"/>
                <w:vertAlign w:val="superscript"/>
              </w:rPr>
              <w:t>(3)</w:t>
            </w:r>
          </w:p>
        </w:tc>
        <w:tc>
          <w:tcPr>
            <w:tcW w:w="960" w:type="dxa"/>
            <w:vAlign w:val="bottom"/>
          </w:tcPr>
          <w:p>
            <w:pPr>
              <w:spacing w:after="0"/>
              <w:rPr>
                <w:sz w:val="21"/>
                <w:szCs w:val="21"/>
                <w:color w:val="auto"/>
              </w:rPr>
            </w:pPr>
          </w:p>
        </w:tc>
        <w:tc>
          <w:tcPr>
            <w:tcW w:w="2740" w:type="dxa"/>
            <w:vAlign w:val="bottom"/>
          </w:tcPr>
          <w:p>
            <w:pPr>
              <w:ind w:left="700"/>
              <w:spacing w:after="0"/>
              <w:rPr>
                <w:sz w:val="20"/>
                <w:szCs w:val="20"/>
                <w:color w:val="auto"/>
              </w:rPr>
            </w:pPr>
            <w:r>
              <w:rPr>
                <w:rFonts w:ascii="Arial" w:cs="Arial" w:eastAsia="Arial" w:hAnsi="Arial"/>
                <w:sz w:val="16"/>
                <w:szCs w:val="16"/>
                <w:color w:val="auto"/>
              </w:rPr>
              <w:t>or ABSTAIN</w:t>
            </w:r>
          </w:p>
        </w:tc>
        <w:tc>
          <w:tcPr>
            <w:tcW w:w="2040" w:type="dxa"/>
            <w:vAlign w:val="bottom"/>
          </w:tcPr>
          <w:p>
            <w:pPr>
              <w:ind w:left="80"/>
              <w:spacing w:after="0"/>
              <w:rPr>
                <w:sz w:val="20"/>
                <w:szCs w:val="20"/>
                <w:color w:val="auto"/>
              </w:rPr>
            </w:pPr>
            <w:r>
              <w:rPr>
                <w:rFonts w:ascii="Arial" w:cs="Arial" w:eastAsia="Arial" w:hAnsi="Arial"/>
                <w:sz w:val="16"/>
                <w:szCs w:val="16"/>
                <w:color w:val="auto"/>
              </w:rPr>
              <w:t>and entitled to vote</w:t>
            </w:r>
          </w:p>
        </w:tc>
        <w:tc>
          <w:tcPr>
            <w:tcW w:w="1260" w:type="dxa"/>
            <w:vAlign w:val="bottom"/>
          </w:tcPr>
          <w:p>
            <w:pPr>
              <w:ind w:left="100"/>
              <w:spacing w:after="0"/>
              <w:rPr>
                <w:sz w:val="20"/>
                <w:szCs w:val="20"/>
                <w:color w:val="auto"/>
              </w:rPr>
            </w:pPr>
            <w:r>
              <w:rPr>
                <w:rFonts w:ascii="Arial" w:cs="Arial" w:eastAsia="Arial" w:hAnsi="Arial"/>
                <w:sz w:val="16"/>
                <w:szCs w:val="16"/>
                <w:color w:val="auto"/>
              </w:rPr>
              <w:t>vote against</w:t>
            </w:r>
          </w:p>
        </w:tc>
        <w:tc>
          <w:tcPr>
            <w:tcW w:w="1420" w:type="dxa"/>
            <w:vAlign w:val="bottom"/>
          </w:tcPr>
          <w:p>
            <w:pPr>
              <w:spacing w:after="0"/>
              <w:rPr>
                <w:sz w:val="21"/>
                <w:szCs w:val="21"/>
                <w:color w:val="auto"/>
              </w:rPr>
            </w:pPr>
          </w:p>
        </w:tc>
      </w:tr>
      <w:tr>
        <w:trPr>
          <w:trHeight w:val="187"/>
        </w:trPr>
        <w:tc>
          <w:tcPr>
            <w:tcW w:w="220" w:type="dxa"/>
            <w:vAlign w:val="bottom"/>
            <w:shd w:val="clear" w:color="auto" w:fill="D9D9D9"/>
          </w:tcPr>
          <w:p>
            <w:pPr>
              <w:jc w:val="right"/>
              <w:spacing w:after="0"/>
              <w:rPr>
                <w:sz w:val="20"/>
                <w:szCs w:val="20"/>
                <w:color w:val="auto"/>
              </w:rPr>
            </w:pPr>
            <w:r>
              <w:rPr>
                <w:rFonts w:ascii="Arial" w:cs="Arial" w:eastAsia="Arial" w:hAnsi="Arial"/>
                <w:sz w:val="16"/>
                <w:szCs w:val="16"/>
                <w:color w:val="auto"/>
                <w:w w:val="89"/>
              </w:rPr>
              <w:t>4.</w:t>
            </w:r>
          </w:p>
        </w:tc>
        <w:tc>
          <w:tcPr>
            <w:tcW w:w="2600" w:type="dxa"/>
            <w:vAlign w:val="bottom"/>
            <w:shd w:val="clear" w:color="auto" w:fill="D9D9D9"/>
          </w:tcPr>
          <w:p>
            <w:pPr>
              <w:ind w:left="100"/>
              <w:spacing w:after="0"/>
              <w:rPr>
                <w:sz w:val="20"/>
                <w:szCs w:val="20"/>
                <w:color w:val="auto"/>
              </w:rPr>
            </w:pPr>
            <w:r>
              <w:rPr>
                <w:rFonts w:ascii="Arial" w:cs="Arial" w:eastAsia="Arial" w:hAnsi="Arial"/>
                <w:sz w:val="16"/>
                <w:szCs w:val="16"/>
                <w:color w:val="auto"/>
              </w:rPr>
              <w:t>Approval of, on an advisory basis,</w:t>
            </w:r>
          </w:p>
        </w:tc>
        <w:tc>
          <w:tcPr>
            <w:tcW w:w="960" w:type="dxa"/>
            <w:vAlign w:val="bottom"/>
            <w:shd w:val="clear" w:color="auto" w:fill="D9D9D9"/>
          </w:tcPr>
          <w:p>
            <w:pPr>
              <w:ind w:left="60"/>
              <w:spacing w:after="0"/>
              <w:rPr>
                <w:sz w:val="20"/>
                <w:szCs w:val="20"/>
                <w:color w:val="auto"/>
              </w:rPr>
            </w:pPr>
            <w:r>
              <w:rPr>
                <w:rFonts w:ascii="Arial" w:cs="Arial" w:eastAsia="Arial" w:hAnsi="Arial"/>
                <w:sz w:val="16"/>
                <w:szCs w:val="16"/>
                <w:b w:val="1"/>
                <w:bCs w:val="1"/>
                <w:color w:val="auto"/>
              </w:rPr>
              <w:t>ONE YEAR</w:t>
            </w:r>
          </w:p>
        </w:tc>
        <w:tc>
          <w:tcPr>
            <w:tcW w:w="2740" w:type="dxa"/>
            <w:vAlign w:val="bottom"/>
            <w:shd w:val="clear" w:color="auto" w:fill="D9D9D9"/>
          </w:tcPr>
          <w:p>
            <w:pPr>
              <w:ind w:left="700"/>
              <w:spacing w:after="0"/>
              <w:rPr>
                <w:sz w:val="20"/>
                <w:szCs w:val="20"/>
                <w:color w:val="auto"/>
              </w:rPr>
            </w:pPr>
            <w:r>
              <w:rPr>
                <w:rFonts w:ascii="Arial" w:cs="Arial" w:eastAsia="Arial" w:hAnsi="Arial"/>
                <w:sz w:val="16"/>
                <w:szCs w:val="16"/>
                <w:color w:val="auto"/>
              </w:rPr>
              <w:t>ONE YEAR; TWO YEARS;</w:t>
            </w:r>
          </w:p>
        </w:tc>
        <w:tc>
          <w:tcPr>
            <w:tcW w:w="2040" w:type="dxa"/>
            <w:vAlign w:val="bottom"/>
            <w:shd w:val="clear" w:color="auto" w:fill="D9D9D9"/>
          </w:tcPr>
          <w:p>
            <w:pPr>
              <w:ind w:left="80"/>
              <w:spacing w:after="0"/>
              <w:rPr>
                <w:sz w:val="20"/>
                <w:szCs w:val="20"/>
                <w:color w:val="auto"/>
              </w:rPr>
            </w:pPr>
            <w:r>
              <w:rPr>
                <w:rFonts w:ascii="Arial" w:cs="Arial" w:eastAsia="Arial" w:hAnsi="Arial"/>
                <w:sz w:val="16"/>
                <w:szCs w:val="16"/>
                <w:color w:val="auto"/>
              </w:rPr>
              <w:t>Majority of shares present</w:t>
            </w:r>
          </w:p>
        </w:tc>
        <w:tc>
          <w:tcPr>
            <w:tcW w:w="1260" w:type="dxa"/>
            <w:vAlign w:val="bottom"/>
            <w:shd w:val="clear" w:color="auto" w:fill="D9D9D9"/>
          </w:tcPr>
          <w:p>
            <w:pPr>
              <w:ind w:left="100"/>
              <w:spacing w:after="0"/>
              <w:rPr>
                <w:sz w:val="20"/>
                <w:szCs w:val="20"/>
                <w:color w:val="auto"/>
              </w:rPr>
            </w:pPr>
            <w:r>
              <w:rPr>
                <w:rFonts w:ascii="Arial" w:cs="Arial" w:eastAsia="Arial" w:hAnsi="Arial"/>
                <w:sz w:val="16"/>
                <w:szCs w:val="16"/>
                <w:color w:val="auto"/>
              </w:rPr>
              <w:t>Counted as a</w:t>
            </w:r>
          </w:p>
        </w:tc>
        <w:tc>
          <w:tcPr>
            <w:tcW w:w="1420" w:type="dxa"/>
            <w:vAlign w:val="bottom"/>
            <w:shd w:val="clear" w:color="auto" w:fill="D9D9D9"/>
          </w:tcPr>
          <w:p>
            <w:pPr>
              <w:ind w:left="200"/>
              <w:spacing w:after="0"/>
              <w:rPr>
                <w:sz w:val="20"/>
                <w:szCs w:val="20"/>
                <w:color w:val="auto"/>
              </w:rPr>
            </w:pPr>
            <w:r>
              <w:rPr>
                <w:rFonts w:ascii="Arial" w:cs="Arial" w:eastAsia="Arial" w:hAnsi="Arial"/>
                <w:sz w:val="16"/>
                <w:szCs w:val="16"/>
                <w:color w:val="auto"/>
              </w:rPr>
              <w:t>No effect</w:t>
            </w:r>
          </w:p>
        </w:tc>
      </w:tr>
      <w:tr>
        <w:trPr>
          <w:trHeight w:val="190"/>
        </w:trPr>
        <w:tc>
          <w:tcPr>
            <w:tcW w:w="220" w:type="dxa"/>
            <w:vAlign w:val="bottom"/>
            <w:shd w:val="clear" w:color="auto" w:fill="D9D9D9"/>
          </w:tcPr>
          <w:p>
            <w:pPr>
              <w:spacing w:after="0"/>
              <w:rPr>
                <w:sz w:val="16"/>
                <w:szCs w:val="16"/>
                <w:color w:val="auto"/>
              </w:rPr>
            </w:pPr>
          </w:p>
        </w:tc>
        <w:tc>
          <w:tcPr>
            <w:tcW w:w="2600" w:type="dxa"/>
            <w:vAlign w:val="bottom"/>
            <w:shd w:val="clear" w:color="auto" w:fill="D9D9D9"/>
          </w:tcPr>
          <w:p>
            <w:pPr>
              <w:ind w:left="120"/>
              <w:spacing w:after="0"/>
              <w:rPr>
                <w:sz w:val="20"/>
                <w:szCs w:val="20"/>
                <w:color w:val="auto"/>
              </w:rPr>
            </w:pPr>
            <w:r>
              <w:rPr>
                <w:rFonts w:ascii="Arial" w:cs="Arial" w:eastAsia="Arial" w:hAnsi="Arial"/>
                <w:sz w:val="16"/>
                <w:szCs w:val="16"/>
                <w:color w:val="auto"/>
              </w:rPr>
              <w:t>the frequency of the advisory</w:t>
            </w:r>
          </w:p>
        </w:tc>
        <w:tc>
          <w:tcPr>
            <w:tcW w:w="960" w:type="dxa"/>
            <w:vAlign w:val="bottom"/>
            <w:shd w:val="clear" w:color="auto" w:fill="D9D9D9"/>
          </w:tcPr>
          <w:p>
            <w:pPr>
              <w:spacing w:after="0"/>
              <w:rPr>
                <w:sz w:val="16"/>
                <w:szCs w:val="16"/>
                <w:color w:val="auto"/>
              </w:rPr>
            </w:pPr>
          </w:p>
        </w:tc>
        <w:tc>
          <w:tcPr>
            <w:tcW w:w="2740" w:type="dxa"/>
            <w:vAlign w:val="bottom"/>
            <w:shd w:val="clear" w:color="auto" w:fill="D9D9D9"/>
          </w:tcPr>
          <w:p>
            <w:pPr>
              <w:ind w:left="700"/>
              <w:spacing w:after="0"/>
              <w:rPr>
                <w:sz w:val="20"/>
                <w:szCs w:val="20"/>
                <w:color w:val="auto"/>
              </w:rPr>
            </w:pPr>
            <w:r>
              <w:rPr>
                <w:rFonts w:ascii="Arial" w:cs="Arial" w:eastAsia="Arial" w:hAnsi="Arial"/>
                <w:sz w:val="16"/>
                <w:szCs w:val="16"/>
                <w:color w:val="auto"/>
              </w:rPr>
              <w:t>THREE YEARS; or</w:t>
            </w:r>
          </w:p>
        </w:tc>
        <w:tc>
          <w:tcPr>
            <w:tcW w:w="2040" w:type="dxa"/>
            <w:vAlign w:val="bottom"/>
            <w:shd w:val="clear" w:color="auto" w:fill="D9D9D9"/>
          </w:tcPr>
          <w:p>
            <w:pPr>
              <w:ind w:left="80"/>
              <w:spacing w:after="0" w:line="190" w:lineRule="exact"/>
              <w:rPr>
                <w:sz w:val="20"/>
                <w:szCs w:val="20"/>
                <w:color w:val="auto"/>
              </w:rPr>
            </w:pPr>
            <w:r>
              <w:rPr>
                <w:rFonts w:ascii="Arial" w:cs="Arial" w:eastAsia="Arial" w:hAnsi="Arial"/>
                <w:sz w:val="14"/>
                <w:szCs w:val="14"/>
                <w:color w:val="auto"/>
              </w:rPr>
              <w:t>and entitled to vote</w:t>
            </w:r>
            <w:r>
              <w:rPr>
                <w:rFonts w:ascii="Arial" w:cs="Arial" w:eastAsia="Arial" w:hAnsi="Arial"/>
                <w:sz w:val="22"/>
                <w:szCs w:val="22"/>
                <w:color w:val="auto"/>
                <w:vertAlign w:val="superscript"/>
              </w:rPr>
              <w:t>(4)</w:t>
            </w:r>
          </w:p>
        </w:tc>
        <w:tc>
          <w:tcPr>
            <w:tcW w:w="1260" w:type="dxa"/>
            <w:vAlign w:val="bottom"/>
            <w:shd w:val="clear" w:color="auto" w:fill="D9D9D9"/>
          </w:tcPr>
          <w:p>
            <w:pPr>
              <w:ind w:left="100"/>
              <w:spacing w:after="0"/>
              <w:rPr>
                <w:sz w:val="20"/>
                <w:szCs w:val="20"/>
                <w:color w:val="auto"/>
              </w:rPr>
            </w:pPr>
            <w:r>
              <w:rPr>
                <w:rFonts w:ascii="Arial" w:cs="Arial" w:eastAsia="Arial" w:hAnsi="Arial"/>
                <w:sz w:val="16"/>
                <w:szCs w:val="16"/>
                <w:color w:val="auto"/>
              </w:rPr>
              <w:t>vote against</w:t>
            </w:r>
          </w:p>
        </w:tc>
        <w:tc>
          <w:tcPr>
            <w:tcW w:w="1420" w:type="dxa"/>
            <w:vAlign w:val="bottom"/>
            <w:shd w:val="clear" w:color="auto" w:fill="D9D9D9"/>
          </w:tcPr>
          <w:p>
            <w:pPr>
              <w:spacing w:after="0"/>
              <w:rPr>
                <w:sz w:val="16"/>
                <w:szCs w:val="16"/>
                <w:color w:val="auto"/>
              </w:rPr>
            </w:pPr>
          </w:p>
        </w:tc>
      </w:tr>
      <w:tr>
        <w:trPr>
          <w:trHeight w:val="188"/>
        </w:trPr>
        <w:tc>
          <w:tcPr>
            <w:tcW w:w="220" w:type="dxa"/>
            <w:vAlign w:val="bottom"/>
            <w:shd w:val="clear" w:color="auto" w:fill="D9D9D9"/>
          </w:tcPr>
          <w:p>
            <w:pPr>
              <w:spacing w:after="0"/>
              <w:rPr>
                <w:sz w:val="16"/>
                <w:szCs w:val="16"/>
                <w:color w:val="auto"/>
              </w:rPr>
            </w:pPr>
          </w:p>
        </w:tc>
        <w:tc>
          <w:tcPr>
            <w:tcW w:w="2600" w:type="dxa"/>
            <w:vAlign w:val="bottom"/>
            <w:shd w:val="clear" w:color="auto" w:fill="D9D9D9"/>
          </w:tcPr>
          <w:p>
            <w:pPr>
              <w:ind w:left="120"/>
              <w:spacing w:after="0"/>
              <w:rPr>
                <w:sz w:val="20"/>
                <w:szCs w:val="20"/>
                <w:color w:val="auto"/>
              </w:rPr>
            </w:pPr>
            <w:r>
              <w:rPr>
                <w:rFonts w:ascii="Arial" w:cs="Arial" w:eastAsia="Arial" w:hAnsi="Arial"/>
                <w:sz w:val="16"/>
                <w:szCs w:val="16"/>
                <w:color w:val="auto"/>
              </w:rPr>
              <w:t>approval of our executive</w:t>
            </w:r>
          </w:p>
        </w:tc>
        <w:tc>
          <w:tcPr>
            <w:tcW w:w="960" w:type="dxa"/>
            <w:vAlign w:val="bottom"/>
            <w:shd w:val="clear" w:color="auto" w:fill="D9D9D9"/>
          </w:tcPr>
          <w:p>
            <w:pPr>
              <w:spacing w:after="0"/>
              <w:rPr>
                <w:sz w:val="16"/>
                <w:szCs w:val="16"/>
                <w:color w:val="auto"/>
              </w:rPr>
            </w:pPr>
          </w:p>
        </w:tc>
        <w:tc>
          <w:tcPr>
            <w:tcW w:w="2740" w:type="dxa"/>
            <w:vAlign w:val="bottom"/>
            <w:shd w:val="clear" w:color="auto" w:fill="D9D9D9"/>
          </w:tcPr>
          <w:p>
            <w:pPr>
              <w:ind w:left="700"/>
              <w:spacing w:after="0"/>
              <w:rPr>
                <w:sz w:val="20"/>
                <w:szCs w:val="20"/>
                <w:color w:val="auto"/>
              </w:rPr>
            </w:pPr>
            <w:r>
              <w:rPr>
                <w:rFonts w:ascii="Arial" w:cs="Arial" w:eastAsia="Arial" w:hAnsi="Arial"/>
                <w:sz w:val="16"/>
                <w:szCs w:val="16"/>
                <w:color w:val="auto"/>
              </w:rPr>
              <w:t>ABSTAIN</w:t>
            </w:r>
          </w:p>
        </w:tc>
        <w:tc>
          <w:tcPr>
            <w:tcW w:w="2040" w:type="dxa"/>
            <w:vAlign w:val="bottom"/>
            <w:shd w:val="clear" w:color="auto" w:fill="D9D9D9"/>
          </w:tcPr>
          <w:p>
            <w:pPr>
              <w:spacing w:after="0"/>
              <w:rPr>
                <w:sz w:val="16"/>
                <w:szCs w:val="16"/>
                <w:color w:val="auto"/>
              </w:rPr>
            </w:pPr>
          </w:p>
        </w:tc>
        <w:tc>
          <w:tcPr>
            <w:tcW w:w="1260" w:type="dxa"/>
            <w:vAlign w:val="bottom"/>
            <w:shd w:val="clear" w:color="auto" w:fill="D9D9D9"/>
          </w:tcPr>
          <w:p>
            <w:pPr>
              <w:spacing w:after="0"/>
              <w:rPr>
                <w:sz w:val="16"/>
                <w:szCs w:val="16"/>
                <w:color w:val="auto"/>
              </w:rPr>
            </w:pPr>
          </w:p>
        </w:tc>
        <w:tc>
          <w:tcPr>
            <w:tcW w:w="1420" w:type="dxa"/>
            <w:vAlign w:val="bottom"/>
            <w:shd w:val="clear" w:color="auto" w:fill="D9D9D9"/>
          </w:tcPr>
          <w:p>
            <w:pPr>
              <w:spacing w:after="0"/>
              <w:rPr>
                <w:sz w:val="16"/>
                <w:szCs w:val="16"/>
                <w:color w:val="auto"/>
              </w:rPr>
            </w:pPr>
          </w:p>
        </w:tc>
      </w:tr>
      <w:tr>
        <w:trPr>
          <w:trHeight w:val="231"/>
        </w:trPr>
        <w:tc>
          <w:tcPr>
            <w:tcW w:w="220" w:type="dxa"/>
            <w:vAlign w:val="bottom"/>
            <w:shd w:val="clear" w:color="auto" w:fill="D9D9D9"/>
          </w:tcPr>
          <w:p>
            <w:pPr>
              <w:spacing w:after="0"/>
              <w:rPr>
                <w:sz w:val="20"/>
                <w:szCs w:val="20"/>
                <w:color w:val="auto"/>
              </w:rPr>
            </w:pPr>
          </w:p>
        </w:tc>
        <w:tc>
          <w:tcPr>
            <w:tcW w:w="2600" w:type="dxa"/>
            <w:vAlign w:val="bottom"/>
            <w:shd w:val="clear" w:color="auto" w:fill="D9D9D9"/>
          </w:tcPr>
          <w:p>
            <w:pPr>
              <w:ind w:left="120"/>
              <w:spacing w:after="0" w:line="231" w:lineRule="exact"/>
              <w:rPr>
                <w:sz w:val="20"/>
                <w:szCs w:val="20"/>
                <w:color w:val="auto"/>
              </w:rPr>
            </w:pPr>
            <w:r>
              <w:rPr>
                <w:rFonts w:ascii="Arial" w:cs="Arial" w:eastAsia="Arial" w:hAnsi="Arial"/>
                <w:sz w:val="16"/>
                <w:szCs w:val="16"/>
                <w:color w:val="auto"/>
              </w:rPr>
              <w:t>compensation</w:t>
            </w:r>
            <w:r>
              <w:rPr>
                <w:rFonts w:ascii="Arial" w:cs="Arial" w:eastAsia="Arial" w:hAnsi="Arial"/>
                <w:sz w:val="26"/>
                <w:szCs w:val="26"/>
                <w:color w:val="auto"/>
                <w:vertAlign w:val="superscript"/>
              </w:rPr>
              <w:t>(3)</w:t>
            </w:r>
          </w:p>
        </w:tc>
        <w:tc>
          <w:tcPr>
            <w:tcW w:w="960" w:type="dxa"/>
            <w:vAlign w:val="bottom"/>
            <w:shd w:val="clear" w:color="auto" w:fill="D9D9D9"/>
          </w:tcPr>
          <w:p>
            <w:pPr>
              <w:spacing w:after="0"/>
              <w:rPr>
                <w:sz w:val="20"/>
                <w:szCs w:val="20"/>
                <w:color w:val="auto"/>
              </w:rPr>
            </w:pPr>
          </w:p>
        </w:tc>
        <w:tc>
          <w:tcPr>
            <w:tcW w:w="2740" w:type="dxa"/>
            <w:vAlign w:val="bottom"/>
            <w:shd w:val="clear" w:color="auto" w:fill="D9D9D9"/>
          </w:tcPr>
          <w:p>
            <w:pPr>
              <w:spacing w:after="0"/>
              <w:rPr>
                <w:sz w:val="20"/>
                <w:szCs w:val="20"/>
                <w:color w:val="auto"/>
              </w:rPr>
            </w:pPr>
          </w:p>
        </w:tc>
        <w:tc>
          <w:tcPr>
            <w:tcW w:w="2040" w:type="dxa"/>
            <w:vAlign w:val="bottom"/>
            <w:shd w:val="clear" w:color="auto" w:fill="D9D9D9"/>
          </w:tcPr>
          <w:p>
            <w:pPr>
              <w:spacing w:after="0"/>
              <w:rPr>
                <w:sz w:val="20"/>
                <w:szCs w:val="20"/>
                <w:color w:val="auto"/>
              </w:rPr>
            </w:pPr>
          </w:p>
        </w:tc>
        <w:tc>
          <w:tcPr>
            <w:tcW w:w="1260" w:type="dxa"/>
            <w:vAlign w:val="bottom"/>
            <w:shd w:val="clear" w:color="auto" w:fill="D9D9D9"/>
          </w:tcPr>
          <w:p>
            <w:pPr>
              <w:spacing w:after="0"/>
              <w:rPr>
                <w:sz w:val="20"/>
                <w:szCs w:val="20"/>
                <w:color w:val="auto"/>
              </w:rPr>
            </w:pPr>
          </w:p>
        </w:tc>
        <w:tc>
          <w:tcPr>
            <w:tcW w:w="1420" w:type="dxa"/>
            <w:vAlign w:val="bottom"/>
            <w:shd w:val="clear" w:color="auto" w:fill="D9D9D9"/>
          </w:tcPr>
          <w:p>
            <w:pPr>
              <w:spacing w:after="0"/>
              <w:rPr>
                <w:sz w:val="20"/>
                <w:szCs w:val="20"/>
                <w:color w:val="auto"/>
              </w:rPr>
            </w:pPr>
          </w:p>
        </w:tc>
      </w:tr>
      <w:tr>
        <w:trPr>
          <w:trHeight w:val="94"/>
        </w:trPr>
        <w:tc>
          <w:tcPr>
            <w:tcW w:w="220" w:type="dxa"/>
            <w:vAlign w:val="bottom"/>
            <w:tcBorders>
              <w:bottom w:val="single" w:sz="8" w:color="C00000"/>
            </w:tcBorders>
          </w:tcPr>
          <w:p>
            <w:pPr>
              <w:spacing w:after="0"/>
              <w:rPr>
                <w:sz w:val="8"/>
                <w:szCs w:val="8"/>
                <w:color w:val="auto"/>
              </w:rPr>
            </w:pPr>
          </w:p>
        </w:tc>
        <w:tc>
          <w:tcPr>
            <w:tcW w:w="2600" w:type="dxa"/>
            <w:vAlign w:val="bottom"/>
            <w:tcBorders>
              <w:bottom w:val="single" w:sz="8" w:color="C00000"/>
            </w:tcBorders>
          </w:tcPr>
          <w:p>
            <w:pPr>
              <w:spacing w:after="0"/>
              <w:rPr>
                <w:sz w:val="8"/>
                <w:szCs w:val="8"/>
                <w:color w:val="auto"/>
              </w:rPr>
            </w:pPr>
          </w:p>
        </w:tc>
        <w:tc>
          <w:tcPr>
            <w:tcW w:w="960" w:type="dxa"/>
            <w:vAlign w:val="bottom"/>
            <w:tcBorders>
              <w:bottom w:val="single" w:sz="8" w:color="C00000"/>
            </w:tcBorders>
          </w:tcPr>
          <w:p>
            <w:pPr>
              <w:spacing w:after="0"/>
              <w:rPr>
                <w:sz w:val="8"/>
                <w:szCs w:val="8"/>
                <w:color w:val="auto"/>
              </w:rPr>
            </w:pPr>
          </w:p>
        </w:tc>
        <w:tc>
          <w:tcPr>
            <w:tcW w:w="27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20" w:type="dxa"/>
            <w:vAlign w:val="bottom"/>
          </w:tcPr>
          <w:p>
            <w:pPr>
              <w:spacing w:after="0"/>
              <w:rPr>
                <w:sz w:val="8"/>
                <w:szCs w:val="8"/>
                <w:color w:val="auto"/>
              </w:rPr>
            </w:pPr>
          </w:p>
        </w:tc>
      </w:tr>
    </w:tbl>
    <w:p>
      <w:pPr>
        <w:spacing w:after="0" w:line="35" w:lineRule="exact"/>
        <w:rPr>
          <w:sz w:val="20"/>
          <w:szCs w:val="20"/>
          <w:color w:val="auto"/>
        </w:rPr>
      </w:pPr>
    </w:p>
    <w:p>
      <w:pPr>
        <w:ind w:left="400" w:hanging="392"/>
        <w:spacing w:after="0" w:line="244"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Under our Amended and Restated Bylaws, if any nominee for director in an uncontested election as to whom a majority of the votes of the shares present at the virtual meeting or represented by proxy at the annual meeting and entitled to vote on the election of directors are designated to be “withheld” or are voted “against,” that director must tender his or her resignation for consideration by our Nominating &amp; Governance Committee. Our Nominating &amp; Governance Committee then must evaluate the best interests of our Company and shareholders and recommend the action to be taken by the Board with respect to such tendered resignation.</w:t>
      </w:r>
    </w:p>
    <w:p>
      <w:pPr>
        <w:spacing w:after="0" w:line="14" w:lineRule="exact"/>
        <w:rPr>
          <w:rFonts w:ascii="Arial" w:cs="Arial" w:eastAsia="Arial" w:hAnsi="Arial"/>
          <w:sz w:val="18"/>
          <w:szCs w:val="18"/>
          <w:color w:val="auto"/>
        </w:rPr>
      </w:pPr>
    </w:p>
    <w:p>
      <w:pPr>
        <w:jc w:val="both"/>
        <w:ind w:left="400" w:right="180" w:hanging="392"/>
        <w:spacing w:after="0" w:line="253"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Under applicable New York Stock Exchange, or NYSE, rules, brokers and custodians may vote on the ratification of KPMG LLP as our independent registered public accounting firm for fiscal 2023 in their discretion, and, therefore, we do not expect any broker non-votes on this matter.</w:t>
      </w:r>
    </w:p>
    <w:p>
      <w:pPr>
        <w:spacing w:after="0" w:line="6" w:lineRule="exact"/>
        <w:rPr>
          <w:rFonts w:ascii="Arial" w:cs="Arial" w:eastAsia="Arial" w:hAnsi="Arial"/>
          <w:sz w:val="18"/>
          <w:szCs w:val="18"/>
          <w:color w:val="auto"/>
        </w:rPr>
      </w:pPr>
    </w:p>
    <w:p>
      <w:pPr>
        <w:ind w:left="400" w:right="40" w:hanging="392"/>
        <w:spacing w:after="0" w:line="253"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While an advisory vote, our Compensation &amp; Human Resources Committee and Board expect to take into account the outcome of this vote when considering future executive compensation or the frequency of future advisory votes on executive compensation, as the case may be.</w:t>
      </w:r>
    </w:p>
    <w:p>
      <w:pPr>
        <w:spacing w:after="0" w:line="6" w:lineRule="exact"/>
        <w:rPr>
          <w:rFonts w:ascii="Arial" w:cs="Arial" w:eastAsia="Arial" w:hAnsi="Arial"/>
          <w:sz w:val="18"/>
          <w:szCs w:val="18"/>
          <w:color w:val="auto"/>
        </w:rPr>
      </w:pPr>
    </w:p>
    <w:p>
      <w:pPr>
        <w:ind w:left="400" w:right="20" w:hanging="392"/>
        <w:spacing w:after="0" w:line="271"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event that no option receives a majority, we will use a plurality standard and consider the option that receives the most votes to be the option selected by shareholders and in such case, abstentions will have no effect on the outcome.</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How Will My Shares Be Voted?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840" w:type="dxa"/>
            <w:vAlign w:val="bottom"/>
            <w:shd w:val="clear" w:color="auto" w:fill="C00000"/>
          </w:tcPr>
          <w:p>
            <w:pPr>
              <w:spacing w:after="0"/>
              <w:rPr>
                <w:sz w:val="14"/>
                <w:szCs w:val="14"/>
                <w:color w:val="auto"/>
              </w:rPr>
            </w:pPr>
          </w:p>
        </w:tc>
        <w:tc>
          <w:tcPr>
            <w:tcW w:w="5180" w:type="dxa"/>
            <w:vAlign w:val="bottom"/>
            <w:vMerge w:val="restart"/>
            <w:shd w:val="clear" w:color="auto" w:fill="C00000"/>
          </w:tcPr>
          <w:p>
            <w:pPr>
              <w:ind w:left="1580"/>
              <w:spacing w:after="0"/>
              <w:rPr>
                <w:sz w:val="20"/>
                <w:szCs w:val="20"/>
                <w:color w:val="auto"/>
              </w:rPr>
            </w:pPr>
            <w:r>
              <w:rPr>
                <w:rFonts w:ascii="Arial" w:cs="Arial" w:eastAsia="Arial" w:hAnsi="Arial"/>
                <w:sz w:val="14"/>
                <w:szCs w:val="14"/>
                <w:b w:val="1"/>
                <w:bCs w:val="1"/>
                <w:color w:val="FFFFFF"/>
              </w:rPr>
              <w:t>How Your Shares will be Voted If You</w:t>
            </w:r>
          </w:p>
        </w:tc>
        <w:tc>
          <w:tcPr>
            <w:tcW w:w="2220" w:type="dxa"/>
            <w:vAlign w:val="bottom"/>
            <w:shd w:val="clear" w:color="auto" w:fill="C00000"/>
          </w:tcPr>
          <w:p>
            <w:pPr>
              <w:ind w:left="180"/>
              <w:spacing w:after="0"/>
              <w:rPr>
                <w:sz w:val="20"/>
                <w:szCs w:val="20"/>
                <w:color w:val="auto"/>
              </w:rPr>
            </w:pPr>
            <w:r>
              <w:rPr>
                <w:rFonts w:ascii="Arial" w:cs="Arial" w:eastAsia="Arial" w:hAnsi="Arial"/>
                <w:sz w:val="14"/>
                <w:szCs w:val="14"/>
                <w:b w:val="1"/>
                <w:bCs w:val="1"/>
                <w:color w:val="FFFFFF"/>
              </w:rPr>
              <w:t>How Your Shares will be</w:t>
            </w:r>
          </w:p>
        </w:tc>
        <w:tc>
          <w:tcPr>
            <w:tcW w:w="0" w:type="dxa"/>
            <w:vAlign w:val="bottom"/>
          </w:tcPr>
          <w:p>
            <w:pPr>
              <w:spacing w:after="0"/>
              <w:rPr>
                <w:sz w:val="1"/>
                <w:szCs w:val="1"/>
                <w:color w:val="auto"/>
              </w:rPr>
            </w:pPr>
          </w:p>
        </w:tc>
      </w:tr>
      <w:tr>
        <w:trPr>
          <w:trHeight w:val="81"/>
        </w:trPr>
        <w:tc>
          <w:tcPr>
            <w:tcW w:w="3840" w:type="dxa"/>
            <w:vAlign w:val="bottom"/>
            <w:shd w:val="clear" w:color="auto" w:fill="C00000"/>
          </w:tcPr>
          <w:p>
            <w:pPr>
              <w:spacing w:after="0"/>
              <w:rPr>
                <w:sz w:val="7"/>
                <w:szCs w:val="7"/>
                <w:color w:val="auto"/>
              </w:rPr>
            </w:pPr>
          </w:p>
        </w:tc>
        <w:tc>
          <w:tcPr>
            <w:tcW w:w="5180" w:type="dxa"/>
            <w:vAlign w:val="bottom"/>
            <w:vMerge w:val="continue"/>
            <w:shd w:val="clear" w:color="auto" w:fill="C00000"/>
          </w:tcPr>
          <w:p>
            <w:pPr>
              <w:spacing w:after="0"/>
              <w:rPr>
                <w:sz w:val="7"/>
                <w:szCs w:val="7"/>
                <w:color w:val="auto"/>
              </w:rPr>
            </w:pPr>
          </w:p>
        </w:tc>
        <w:tc>
          <w:tcPr>
            <w:tcW w:w="2220" w:type="dxa"/>
            <w:vAlign w:val="bottom"/>
            <w:vMerge w:val="restart"/>
            <w:shd w:val="clear" w:color="auto" w:fill="C00000"/>
          </w:tcPr>
          <w:p>
            <w:pPr>
              <w:ind w:left="180"/>
              <w:spacing w:after="0"/>
              <w:rPr>
                <w:sz w:val="20"/>
                <w:szCs w:val="20"/>
                <w:color w:val="auto"/>
              </w:rPr>
            </w:pPr>
            <w:r>
              <w:rPr>
                <w:rFonts w:ascii="Arial" w:cs="Arial" w:eastAsia="Arial" w:hAnsi="Arial"/>
                <w:sz w:val="14"/>
                <w:szCs w:val="14"/>
                <w:b w:val="1"/>
                <w:bCs w:val="1"/>
                <w:color w:val="FFFFFF"/>
              </w:rPr>
              <w:t>Voted If You</w:t>
            </w:r>
          </w:p>
        </w:tc>
        <w:tc>
          <w:tcPr>
            <w:tcW w:w="0" w:type="dxa"/>
            <w:vAlign w:val="bottom"/>
          </w:tcPr>
          <w:p>
            <w:pPr>
              <w:spacing w:after="0"/>
              <w:rPr>
                <w:sz w:val="1"/>
                <w:szCs w:val="1"/>
                <w:color w:val="auto"/>
              </w:rPr>
            </w:pPr>
          </w:p>
        </w:tc>
      </w:tr>
      <w:tr>
        <w:trPr>
          <w:trHeight w:val="81"/>
        </w:trPr>
        <w:tc>
          <w:tcPr>
            <w:tcW w:w="3840" w:type="dxa"/>
            <w:vAlign w:val="bottom"/>
            <w:vMerge w:val="restart"/>
            <w:shd w:val="clear" w:color="auto" w:fill="C00000"/>
          </w:tcPr>
          <w:p>
            <w:pPr>
              <w:spacing w:after="0"/>
              <w:rPr>
                <w:sz w:val="20"/>
                <w:szCs w:val="20"/>
                <w:color w:val="auto"/>
              </w:rPr>
            </w:pPr>
            <w:r>
              <w:rPr>
                <w:rFonts w:ascii="Arial" w:cs="Arial" w:eastAsia="Arial" w:hAnsi="Arial"/>
                <w:sz w:val="14"/>
                <w:szCs w:val="14"/>
                <w:b w:val="1"/>
                <w:bCs w:val="1"/>
                <w:color w:val="FFFFFF"/>
              </w:rPr>
              <w:t>How Your Shares are Held</w:t>
            </w:r>
          </w:p>
        </w:tc>
        <w:tc>
          <w:tcPr>
            <w:tcW w:w="5180" w:type="dxa"/>
            <w:vAlign w:val="bottom"/>
            <w:vMerge w:val="restart"/>
            <w:shd w:val="clear" w:color="auto" w:fill="C00000"/>
          </w:tcPr>
          <w:p>
            <w:pPr>
              <w:ind w:left="1580"/>
              <w:spacing w:after="0"/>
              <w:rPr>
                <w:sz w:val="20"/>
                <w:szCs w:val="20"/>
                <w:color w:val="auto"/>
              </w:rPr>
            </w:pPr>
            <w:r>
              <w:rPr>
                <w:rFonts w:ascii="Arial" w:cs="Arial" w:eastAsia="Arial" w:hAnsi="Arial"/>
                <w:sz w:val="14"/>
                <w:szCs w:val="14"/>
                <w:b w:val="1"/>
                <w:bCs w:val="1"/>
                <w:color w:val="FFFFFF"/>
              </w:rPr>
              <w:t>Specify How to Vote</w:t>
            </w:r>
          </w:p>
        </w:tc>
        <w:tc>
          <w:tcPr>
            <w:tcW w:w="2220" w:type="dxa"/>
            <w:vAlign w:val="bottom"/>
            <w:vMerge w:val="continue"/>
            <w:shd w:val="clear" w:color="auto" w:fill="C00000"/>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3840" w:type="dxa"/>
            <w:vAlign w:val="bottom"/>
            <w:vMerge w:val="continue"/>
            <w:shd w:val="clear" w:color="auto" w:fill="C00000"/>
          </w:tcPr>
          <w:p>
            <w:pPr>
              <w:spacing w:after="0"/>
              <w:rPr>
                <w:sz w:val="11"/>
                <w:szCs w:val="11"/>
                <w:color w:val="auto"/>
              </w:rPr>
            </w:pPr>
          </w:p>
        </w:tc>
        <w:tc>
          <w:tcPr>
            <w:tcW w:w="5180" w:type="dxa"/>
            <w:vAlign w:val="bottom"/>
            <w:vMerge w:val="continue"/>
            <w:shd w:val="clear" w:color="auto" w:fill="C00000"/>
          </w:tcPr>
          <w:p>
            <w:pPr>
              <w:spacing w:after="0"/>
              <w:rPr>
                <w:sz w:val="11"/>
                <w:szCs w:val="11"/>
                <w:color w:val="auto"/>
              </w:rPr>
            </w:pPr>
          </w:p>
        </w:tc>
        <w:tc>
          <w:tcPr>
            <w:tcW w:w="2220" w:type="dxa"/>
            <w:vAlign w:val="bottom"/>
            <w:vMerge w:val="restart"/>
            <w:shd w:val="clear" w:color="auto" w:fill="C00000"/>
          </w:tcPr>
          <w:p>
            <w:pPr>
              <w:ind w:left="180"/>
              <w:spacing w:after="0"/>
              <w:rPr>
                <w:sz w:val="20"/>
                <w:szCs w:val="20"/>
                <w:color w:val="auto"/>
              </w:rPr>
            </w:pPr>
            <w:r>
              <w:rPr>
                <w:rFonts w:ascii="Arial" w:cs="Arial" w:eastAsia="Arial" w:hAnsi="Arial"/>
                <w:sz w:val="14"/>
                <w:szCs w:val="14"/>
                <w:b w:val="1"/>
                <w:bCs w:val="1"/>
                <w:color w:val="FFFFFF"/>
              </w:rPr>
              <w:t>Do Not Specify How to Vote</w:t>
            </w:r>
          </w:p>
        </w:tc>
        <w:tc>
          <w:tcPr>
            <w:tcW w:w="0" w:type="dxa"/>
            <w:vAlign w:val="bottom"/>
          </w:tcPr>
          <w:p>
            <w:pPr>
              <w:spacing w:after="0"/>
              <w:rPr>
                <w:sz w:val="1"/>
                <w:szCs w:val="1"/>
                <w:color w:val="auto"/>
              </w:rPr>
            </w:pPr>
          </w:p>
        </w:tc>
      </w:tr>
      <w:tr>
        <w:trPr>
          <w:trHeight w:val="69"/>
        </w:trPr>
        <w:tc>
          <w:tcPr>
            <w:tcW w:w="3840" w:type="dxa"/>
            <w:vAlign w:val="bottom"/>
            <w:shd w:val="clear" w:color="auto" w:fill="C00000"/>
          </w:tcPr>
          <w:p>
            <w:pPr>
              <w:spacing w:after="0"/>
              <w:rPr>
                <w:sz w:val="6"/>
                <w:szCs w:val="6"/>
                <w:color w:val="auto"/>
              </w:rPr>
            </w:pPr>
          </w:p>
        </w:tc>
        <w:tc>
          <w:tcPr>
            <w:tcW w:w="5180" w:type="dxa"/>
            <w:vAlign w:val="bottom"/>
            <w:shd w:val="clear" w:color="auto" w:fill="C00000"/>
          </w:tcPr>
          <w:p>
            <w:pPr>
              <w:spacing w:after="0"/>
              <w:rPr>
                <w:sz w:val="6"/>
                <w:szCs w:val="6"/>
                <w:color w:val="auto"/>
              </w:rPr>
            </w:pPr>
          </w:p>
        </w:tc>
        <w:tc>
          <w:tcPr>
            <w:tcW w:w="2220" w:type="dxa"/>
            <w:vAlign w:val="bottom"/>
            <w:vMerge w:val="continue"/>
            <w:shd w:val="clear" w:color="auto" w:fill="C00000"/>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3840" w:type="dxa"/>
            <w:vAlign w:val="bottom"/>
          </w:tcPr>
          <w:p>
            <w:pPr>
              <w:spacing w:after="0"/>
              <w:rPr>
                <w:sz w:val="20"/>
                <w:szCs w:val="20"/>
                <w:color w:val="auto"/>
              </w:rPr>
            </w:pPr>
            <w:r>
              <w:rPr>
                <w:rFonts w:ascii="Arial" w:cs="Arial" w:eastAsia="Arial" w:hAnsi="Arial"/>
                <w:sz w:val="16"/>
                <w:szCs w:val="16"/>
                <w:color w:val="auto"/>
              </w:rPr>
              <w:t>Shares registered in your name</w:t>
            </w:r>
          </w:p>
        </w:tc>
        <w:tc>
          <w:tcPr>
            <w:tcW w:w="5180" w:type="dxa"/>
            <w:vAlign w:val="bottom"/>
          </w:tcPr>
          <w:p>
            <w:pPr>
              <w:ind w:left="1580"/>
              <w:spacing w:after="0"/>
              <w:rPr>
                <w:sz w:val="20"/>
                <w:szCs w:val="20"/>
                <w:color w:val="auto"/>
              </w:rPr>
            </w:pPr>
            <w:r>
              <w:rPr>
                <w:rFonts w:ascii="Arial" w:cs="Arial" w:eastAsia="Arial" w:hAnsi="Arial"/>
                <w:sz w:val="16"/>
                <w:szCs w:val="16"/>
                <w:color w:val="auto"/>
              </w:rPr>
              <w:t>The named proxies will vote your shares as you</w:t>
            </w:r>
          </w:p>
        </w:tc>
        <w:tc>
          <w:tcPr>
            <w:tcW w:w="2220" w:type="dxa"/>
            <w:vAlign w:val="bottom"/>
          </w:tcPr>
          <w:p>
            <w:pPr>
              <w:ind w:left="180"/>
              <w:spacing w:after="0"/>
              <w:rPr>
                <w:sz w:val="20"/>
                <w:szCs w:val="20"/>
                <w:color w:val="auto"/>
              </w:rPr>
            </w:pPr>
            <w:r>
              <w:rPr>
                <w:rFonts w:ascii="Arial" w:cs="Arial" w:eastAsia="Arial" w:hAnsi="Arial"/>
                <w:sz w:val="16"/>
                <w:szCs w:val="16"/>
                <w:color w:val="auto"/>
              </w:rPr>
              <w:t>The named proxies will vote</w:t>
            </w:r>
          </w:p>
        </w:tc>
        <w:tc>
          <w:tcPr>
            <w:tcW w:w="0" w:type="dxa"/>
            <w:vAlign w:val="bottom"/>
          </w:tcPr>
          <w:p>
            <w:pPr>
              <w:spacing w:after="0"/>
              <w:rPr>
                <w:sz w:val="1"/>
                <w:szCs w:val="1"/>
                <w:color w:val="auto"/>
              </w:rPr>
            </w:pPr>
          </w:p>
        </w:tc>
      </w:tr>
      <w:tr>
        <w:trPr>
          <w:trHeight w:val="226"/>
        </w:trPr>
        <w:tc>
          <w:tcPr>
            <w:tcW w:w="3840" w:type="dxa"/>
            <w:vAlign w:val="bottom"/>
          </w:tcPr>
          <w:p>
            <w:pPr>
              <w:spacing w:after="0"/>
              <w:rPr>
                <w:sz w:val="19"/>
                <w:szCs w:val="19"/>
                <w:color w:val="auto"/>
              </w:rPr>
            </w:pPr>
          </w:p>
        </w:tc>
        <w:tc>
          <w:tcPr>
            <w:tcW w:w="5180" w:type="dxa"/>
            <w:vAlign w:val="bottom"/>
          </w:tcPr>
          <w:p>
            <w:pPr>
              <w:ind w:left="1580"/>
              <w:spacing w:after="0"/>
              <w:rPr>
                <w:sz w:val="20"/>
                <w:szCs w:val="20"/>
                <w:color w:val="auto"/>
              </w:rPr>
            </w:pPr>
            <w:r>
              <w:rPr>
                <w:rFonts w:ascii="Arial" w:cs="Arial" w:eastAsia="Arial" w:hAnsi="Arial"/>
                <w:sz w:val="16"/>
                <w:szCs w:val="16"/>
                <w:color w:val="auto"/>
              </w:rPr>
              <w:t>direct</w:t>
            </w:r>
          </w:p>
        </w:tc>
        <w:tc>
          <w:tcPr>
            <w:tcW w:w="2220" w:type="dxa"/>
            <w:vAlign w:val="bottom"/>
          </w:tcPr>
          <w:p>
            <w:pPr>
              <w:ind w:left="18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all proposals</w:t>
            </w:r>
          </w:p>
        </w:tc>
        <w:tc>
          <w:tcPr>
            <w:tcW w:w="0" w:type="dxa"/>
            <w:vAlign w:val="bottom"/>
          </w:tcPr>
          <w:p>
            <w:pPr>
              <w:spacing w:after="0"/>
              <w:rPr>
                <w:sz w:val="1"/>
                <w:szCs w:val="1"/>
                <w:color w:val="auto"/>
              </w:rPr>
            </w:pPr>
          </w:p>
        </w:tc>
      </w:tr>
      <w:tr>
        <w:trPr>
          <w:trHeight w:val="192"/>
        </w:trPr>
        <w:tc>
          <w:tcPr>
            <w:tcW w:w="3840" w:type="dxa"/>
            <w:vAlign w:val="bottom"/>
            <w:shd w:val="clear" w:color="auto" w:fill="D9D9D9"/>
          </w:tcPr>
          <w:p>
            <w:pPr>
              <w:spacing w:after="0"/>
              <w:rPr>
                <w:sz w:val="20"/>
                <w:szCs w:val="20"/>
                <w:color w:val="auto"/>
              </w:rPr>
            </w:pPr>
            <w:r>
              <w:rPr>
                <w:rFonts w:ascii="Arial" w:cs="Arial" w:eastAsia="Arial" w:hAnsi="Arial"/>
                <w:sz w:val="16"/>
                <w:szCs w:val="16"/>
                <w:color w:val="auto"/>
              </w:rPr>
              <w:t>Shares held in street name</w:t>
            </w:r>
          </w:p>
        </w:tc>
        <w:tc>
          <w:tcPr>
            <w:tcW w:w="5180" w:type="dxa"/>
            <w:vAlign w:val="bottom"/>
            <w:shd w:val="clear" w:color="auto" w:fill="D9D9D9"/>
          </w:tcPr>
          <w:p>
            <w:pPr>
              <w:ind w:left="1580"/>
              <w:spacing w:after="0"/>
              <w:rPr>
                <w:sz w:val="20"/>
                <w:szCs w:val="20"/>
                <w:color w:val="auto"/>
              </w:rPr>
            </w:pPr>
            <w:r>
              <w:rPr>
                <w:rFonts w:ascii="Arial" w:cs="Arial" w:eastAsia="Arial" w:hAnsi="Arial"/>
                <w:sz w:val="16"/>
                <w:szCs w:val="16"/>
                <w:color w:val="auto"/>
              </w:rPr>
              <w:t>Your broker will vote your shares as you direct</w:t>
            </w:r>
          </w:p>
        </w:tc>
        <w:tc>
          <w:tcPr>
            <w:tcW w:w="2220" w:type="dxa"/>
            <w:vAlign w:val="bottom"/>
            <w:shd w:val="clear" w:color="auto" w:fill="D9D9D9"/>
          </w:tcPr>
          <w:p>
            <w:pPr>
              <w:ind w:left="180"/>
              <w:spacing w:after="0"/>
              <w:rPr>
                <w:sz w:val="20"/>
                <w:szCs w:val="20"/>
                <w:color w:val="auto"/>
              </w:rPr>
            </w:pPr>
            <w:r>
              <w:rPr>
                <w:rFonts w:ascii="Arial" w:cs="Arial" w:eastAsia="Arial" w:hAnsi="Arial"/>
                <w:sz w:val="16"/>
                <w:szCs w:val="16"/>
                <w:color w:val="auto"/>
              </w:rPr>
              <w:t>Your broker may vote only</w:t>
            </w:r>
          </w:p>
        </w:tc>
        <w:tc>
          <w:tcPr>
            <w:tcW w:w="0" w:type="dxa"/>
            <w:vAlign w:val="bottom"/>
          </w:tcPr>
          <w:p>
            <w:pPr>
              <w:spacing w:after="0"/>
              <w:rPr>
                <w:sz w:val="1"/>
                <w:szCs w:val="1"/>
                <w:color w:val="auto"/>
              </w:rPr>
            </w:pPr>
          </w:p>
        </w:tc>
      </w:tr>
      <w:tr>
        <w:trPr>
          <w:trHeight w:val="189"/>
        </w:trPr>
        <w:tc>
          <w:tcPr>
            <w:tcW w:w="3840" w:type="dxa"/>
            <w:vAlign w:val="bottom"/>
            <w:shd w:val="clear" w:color="auto" w:fill="D9D9D9"/>
          </w:tcPr>
          <w:p>
            <w:pPr>
              <w:spacing w:after="0"/>
              <w:rPr>
                <w:sz w:val="16"/>
                <w:szCs w:val="16"/>
                <w:color w:val="auto"/>
              </w:rPr>
            </w:pPr>
          </w:p>
        </w:tc>
        <w:tc>
          <w:tcPr>
            <w:tcW w:w="5180" w:type="dxa"/>
            <w:vAlign w:val="bottom"/>
            <w:shd w:val="clear" w:color="auto" w:fill="D9D9D9"/>
          </w:tcPr>
          <w:p>
            <w:pPr>
              <w:spacing w:after="0"/>
              <w:rPr>
                <w:sz w:val="16"/>
                <w:szCs w:val="16"/>
                <w:color w:val="auto"/>
              </w:rPr>
            </w:pPr>
          </w:p>
        </w:tc>
        <w:tc>
          <w:tcPr>
            <w:tcW w:w="2220" w:type="dxa"/>
            <w:vAlign w:val="bottom"/>
            <w:shd w:val="clear" w:color="auto" w:fill="D9D9D9"/>
          </w:tcPr>
          <w:p>
            <w:pPr>
              <w:ind w:left="180"/>
              <w:spacing w:after="0"/>
              <w:rPr>
                <w:sz w:val="20"/>
                <w:szCs w:val="20"/>
                <w:color w:val="auto"/>
              </w:rPr>
            </w:pPr>
            <w:r>
              <w:rPr>
                <w:rFonts w:ascii="Arial" w:cs="Arial" w:eastAsia="Arial" w:hAnsi="Arial"/>
                <w:sz w:val="16"/>
                <w:szCs w:val="16"/>
                <w:color w:val="auto"/>
              </w:rPr>
              <w:t>on routine items in the</w:t>
            </w:r>
          </w:p>
        </w:tc>
        <w:tc>
          <w:tcPr>
            <w:tcW w:w="0" w:type="dxa"/>
            <w:vAlign w:val="bottom"/>
          </w:tcPr>
          <w:p>
            <w:pPr>
              <w:spacing w:after="0"/>
              <w:rPr>
                <w:sz w:val="1"/>
                <w:szCs w:val="1"/>
                <w:color w:val="auto"/>
              </w:rPr>
            </w:pPr>
          </w:p>
        </w:tc>
      </w:tr>
      <w:tr>
        <w:trPr>
          <w:trHeight w:val="188"/>
        </w:trPr>
        <w:tc>
          <w:tcPr>
            <w:tcW w:w="3840" w:type="dxa"/>
            <w:vAlign w:val="bottom"/>
            <w:shd w:val="clear" w:color="auto" w:fill="D9D9D9"/>
          </w:tcPr>
          <w:p>
            <w:pPr>
              <w:spacing w:after="0"/>
              <w:rPr>
                <w:sz w:val="16"/>
                <w:szCs w:val="16"/>
                <w:color w:val="auto"/>
              </w:rPr>
            </w:pPr>
          </w:p>
        </w:tc>
        <w:tc>
          <w:tcPr>
            <w:tcW w:w="5180" w:type="dxa"/>
            <w:vAlign w:val="bottom"/>
            <w:shd w:val="clear" w:color="auto" w:fill="D9D9D9"/>
          </w:tcPr>
          <w:p>
            <w:pPr>
              <w:spacing w:after="0"/>
              <w:rPr>
                <w:sz w:val="16"/>
                <w:szCs w:val="16"/>
                <w:color w:val="auto"/>
              </w:rPr>
            </w:pPr>
          </w:p>
        </w:tc>
        <w:tc>
          <w:tcPr>
            <w:tcW w:w="2220" w:type="dxa"/>
            <w:vAlign w:val="bottom"/>
            <w:shd w:val="clear" w:color="auto" w:fill="D9D9D9"/>
          </w:tcPr>
          <w:p>
            <w:pPr>
              <w:ind w:left="180"/>
              <w:spacing w:after="0"/>
              <w:rPr>
                <w:sz w:val="20"/>
                <w:szCs w:val="20"/>
                <w:color w:val="auto"/>
              </w:rPr>
            </w:pPr>
            <w:r>
              <w:rPr>
                <w:rFonts w:ascii="Arial" w:cs="Arial" w:eastAsia="Arial" w:hAnsi="Arial"/>
                <w:sz w:val="16"/>
                <w:szCs w:val="16"/>
                <w:color w:val="auto"/>
              </w:rPr>
              <w:t>absence of your instruction</w:t>
            </w:r>
          </w:p>
        </w:tc>
        <w:tc>
          <w:tcPr>
            <w:tcW w:w="0" w:type="dxa"/>
            <w:vAlign w:val="bottom"/>
          </w:tcPr>
          <w:p>
            <w:pPr>
              <w:spacing w:after="0"/>
              <w:rPr>
                <w:sz w:val="1"/>
                <w:szCs w:val="1"/>
                <w:color w:val="auto"/>
              </w:rPr>
            </w:pPr>
          </w:p>
        </w:tc>
      </w:tr>
      <w:tr>
        <w:trPr>
          <w:trHeight w:val="231"/>
        </w:trPr>
        <w:tc>
          <w:tcPr>
            <w:tcW w:w="3840" w:type="dxa"/>
            <w:vAlign w:val="bottom"/>
            <w:shd w:val="clear" w:color="auto" w:fill="D9D9D9"/>
          </w:tcPr>
          <w:p>
            <w:pPr>
              <w:spacing w:after="0"/>
              <w:rPr>
                <w:sz w:val="20"/>
                <w:szCs w:val="20"/>
                <w:color w:val="auto"/>
              </w:rPr>
            </w:pPr>
          </w:p>
        </w:tc>
        <w:tc>
          <w:tcPr>
            <w:tcW w:w="5180" w:type="dxa"/>
            <w:vAlign w:val="bottom"/>
            <w:shd w:val="clear" w:color="auto" w:fill="D9D9D9"/>
          </w:tcPr>
          <w:p>
            <w:pPr>
              <w:spacing w:after="0"/>
              <w:rPr>
                <w:sz w:val="20"/>
                <w:szCs w:val="20"/>
                <w:color w:val="auto"/>
              </w:rPr>
            </w:pPr>
          </w:p>
        </w:tc>
        <w:tc>
          <w:tcPr>
            <w:tcW w:w="2220" w:type="dxa"/>
            <w:vAlign w:val="bottom"/>
            <w:shd w:val="clear" w:color="auto" w:fill="D9D9D9"/>
          </w:tcPr>
          <w:p>
            <w:pPr>
              <w:ind w:left="180"/>
              <w:spacing w:after="0" w:line="231" w:lineRule="exact"/>
              <w:rPr>
                <w:sz w:val="20"/>
                <w:szCs w:val="20"/>
                <w:color w:val="auto"/>
              </w:rPr>
            </w:pPr>
            <w:r>
              <w:rPr>
                <w:rFonts w:ascii="Arial" w:cs="Arial" w:eastAsia="Arial" w:hAnsi="Arial"/>
                <w:sz w:val="16"/>
                <w:szCs w:val="16"/>
                <w:color w:val="auto"/>
              </w:rPr>
              <w:t>how to vote</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2" w:right="339" w:bottom="1440" w:gutter="0" w:footer="0" w:header="0"/>
          <w:type w:val="continuous"/>
        </w:sectPr>
      </w:pPr>
    </w:p>
    <w:p>
      <w:pPr>
        <w:spacing w:after="0"/>
        <w:tabs>
          <w:tab w:leader="none" w:pos="5400" w:val="left"/>
        </w:tabs>
        <w:rPr>
          <w:sz w:val="20"/>
          <w:szCs w:val="20"/>
          <w:color w:val="auto"/>
        </w:rPr>
      </w:pPr>
      <w:r>
        <w:rPr>
          <w:rFonts w:ascii="Arial" w:cs="Arial" w:eastAsia="Arial" w:hAnsi="Arial"/>
          <w:sz w:val="16"/>
          <w:szCs w:val="16"/>
          <w:color w:val="auto"/>
        </w:rPr>
        <w:t>Shares held in certain TTC employee benefit plans</w:t>
      </w:r>
      <w:r>
        <w:rPr>
          <w:sz w:val="20"/>
          <w:szCs w:val="20"/>
          <w:color w:val="auto"/>
        </w:rPr>
        <w:tab/>
      </w:r>
      <w:r>
        <w:rPr>
          <w:rFonts w:ascii="Arial" w:cs="Arial" w:eastAsia="Arial" w:hAnsi="Arial"/>
          <w:sz w:val="16"/>
          <w:szCs w:val="16"/>
          <w:color w:val="auto"/>
        </w:rPr>
        <w:t>The plan trustee will vote your shares confidentially</w:t>
      </w:r>
    </w:p>
    <w:p>
      <w:pPr>
        <w:spacing w:after="0" w:line="20"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as you direct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22371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59" w:lineRule="auto"/>
        <w:rPr>
          <w:sz w:val="20"/>
          <w:szCs w:val="20"/>
          <w:color w:val="auto"/>
        </w:rPr>
      </w:pPr>
      <w:r>
        <w:rPr>
          <w:rFonts w:ascii="Arial" w:cs="Arial" w:eastAsia="Arial" w:hAnsi="Arial"/>
          <w:sz w:val="16"/>
          <w:szCs w:val="16"/>
          <w:color w:val="auto"/>
        </w:rPr>
        <w:t>The plan trustee will vote your shares in the same proportion as the votes actually cast by participants</w:t>
      </w:r>
    </w:p>
    <w:p>
      <w:pPr>
        <w:spacing w:after="0" w:line="172" w:lineRule="exact"/>
        <w:rPr>
          <w:sz w:val="20"/>
          <w:szCs w:val="20"/>
          <w:color w:val="auto"/>
        </w:rPr>
      </w:pPr>
    </w:p>
    <w:p>
      <w:pPr>
        <w:sectPr>
          <w:pgSz w:w="11900" w:h="16838" w:orient="portrait"/>
          <w:cols w:equalWidth="0" w:num="2">
            <w:col w:w="9080" w:space="120"/>
            <w:col w:w="2040"/>
          </w:cols>
          <w:pgMar w:left="320" w:top="122" w:right="339" w:bottom="1440" w:gutter="0" w:footer="0" w:header="0"/>
          <w:type w:val="continuous"/>
        </w:sectPr>
      </w:pPr>
    </w:p>
    <w:p>
      <w:pPr>
        <w:ind w:left="400" w:right="20" w:hanging="392"/>
        <w:spacing w:after="0" w:line="266" w:lineRule="auto"/>
        <w:tabs>
          <w:tab w:leader="none" w:pos="4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your shares are held in “street name” and you do not indicate how you wish to vote, under NYSE rules your broker is permitted to exercise its discretion to vote your shares only on certain “routine” matters. Proposal One—Election of Directors, Proposal Three— Advisory Approval of our Executive Compensation, and Proposal Four—Advisory Approval of the Frequency of the Advisory Approval of our Executive Compensation are not “routine” matters. Accordingly, if you do not direct your broker how to vote on those proposals, your</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49" w:lineRule="exact"/>
        <w:rPr>
          <w:sz w:val="20"/>
          <w:szCs w:val="20"/>
          <w:color w:val="auto"/>
        </w:rPr>
      </w:pPr>
    </w:p>
    <w:p>
      <w:pPr>
        <w:ind w:left="400" w:right="60"/>
        <w:spacing w:after="0" w:line="242" w:lineRule="auto"/>
        <w:rPr>
          <w:sz w:val="20"/>
          <w:szCs w:val="20"/>
          <w:color w:val="auto"/>
        </w:rPr>
      </w:pPr>
      <w:r>
        <w:rPr>
          <w:rFonts w:ascii="Arial" w:cs="Arial" w:eastAsia="Arial" w:hAnsi="Arial"/>
          <w:sz w:val="18"/>
          <w:szCs w:val="18"/>
          <w:color w:val="auto"/>
        </w:rPr>
        <w:t>broker may not exercise discretionary voting authority and may not vote your shares on these proposals. This is called a “broker non-vote” and although your shares will be considered to be represented by proxy at the annual meeting for purposes of establishing quorum, as discussed on page 2, they are not considered to be shares “entitled to vote” at the annual meeting and will not be counted as having been voted on the applicable proposal. Proposal Two—Ratification of Selection of Independent Registered Public Accounting Firm is a “routine” matter, and your broker is permitted to exercise discretionary voting authority to vote your shares “for” or “against” the proposal in the absence of your instruction.</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What Does It Mean If I Receive More Than One Notice or Set of Proxy Materials?</w:t>
      </w:r>
    </w:p>
    <w:p>
      <w:pPr>
        <w:spacing w:after="0" w:line="99" w:lineRule="exact"/>
        <w:rPr>
          <w:sz w:val="20"/>
          <w:szCs w:val="20"/>
          <w:color w:val="auto"/>
        </w:rPr>
      </w:pPr>
    </w:p>
    <w:p>
      <w:pPr>
        <w:ind w:right="20" w:firstLine="401"/>
        <w:spacing w:after="0"/>
        <w:rPr>
          <w:sz w:val="20"/>
          <w:szCs w:val="20"/>
          <w:color w:val="auto"/>
        </w:rPr>
      </w:pPr>
      <w:r>
        <w:rPr>
          <w:rFonts w:ascii="Arial" w:cs="Arial" w:eastAsia="Arial" w:hAnsi="Arial"/>
          <w:sz w:val="18"/>
          <w:szCs w:val="18"/>
          <w:color w:val="auto"/>
        </w:rPr>
        <w:t>If you hold your shares in more than one account, you may receive multiple copies of the Notice Regarding the Availability of Proxy Materials and/or electronic or paper copies of our proxy materials. If you are a participant in the dividend reinvestment feature of our Direct Stock Purchase Plan, shares registered in your name are combined with shares you hold in that plan. Similarly, where possible, shares registered in your name are combined with shares you hold, if any, as a participant in certain TTC employee benefit plans. However, shares you hold in “street name” (through a broker, bank or other nominee) are not combined with shares registered in your name or held as a participant in TTC employee benefit plans. If you receive more than one Notice Regarding the Availability of Proxy Materials and/or electronic or paper copies of our proxy materials, you must vote separately for each notice, e-mail notification or proxy and/or voting instruction card having a unique control number to ensure that all of your shares are voted.</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How Can I Revoke or Change My Vote?</w:t>
      </w:r>
    </w:p>
    <w:p>
      <w:pPr>
        <w:spacing w:after="0" w:line="99" w:lineRule="exact"/>
        <w:rPr>
          <w:sz w:val="20"/>
          <w:szCs w:val="20"/>
          <w:color w:val="auto"/>
        </w:rPr>
      </w:pPr>
    </w:p>
    <w:p>
      <w:pPr>
        <w:ind w:right="120" w:firstLine="401"/>
        <w:spacing w:after="0" w:line="271" w:lineRule="auto"/>
        <w:rPr>
          <w:sz w:val="20"/>
          <w:szCs w:val="20"/>
          <w:color w:val="auto"/>
        </w:rPr>
      </w:pPr>
      <w:r>
        <w:rPr>
          <w:rFonts w:ascii="Arial" w:cs="Arial" w:eastAsia="Arial" w:hAnsi="Arial"/>
          <w:sz w:val="18"/>
          <w:szCs w:val="18"/>
          <w:color w:val="auto"/>
        </w:rPr>
        <w:t>You may revoke your proxy or change your vote at any time before your shares are voted at the annual meeting by one of the following methods: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740" w:type="dxa"/>
            <w:vAlign w:val="bottom"/>
            <w:tcBorders>
              <w:bottom w:val="single" w:sz="8" w:color="C00000"/>
            </w:tcBorders>
            <w:shd w:val="clear" w:color="auto" w:fill="C00000"/>
          </w:tcPr>
          <w:p>
            <w:pPr>
              <w:spacing w:after="0"/>
              <w:rPr>
                <w:sz w:val="20"/>
                <w:szCs w:val="20"/>
                <w:color w:val="auto"/>
              </w:rPr>
            </w:pPr>
            <w:r>
              <w:rPr>
                <w:rFonts w:ascii="Arial" w:cs="Arial" w:eastAsia="Arial" w:hAnsi="Arial"/>
                <w:sz w:val="14"/>
                <w:szCs w:val="14"/>
                <w:b w:val="1"/>
                <w:bCs w:val="1"/>
                <w:color w:val="FFFFFF"/>
              </w:rPr>
              <w:t>How Your Shares are Held</w:t>
            </w:r>
          </w:p>
        </w:tc>
        <w:tc>
          <w:tcPr>
            <w:tcW w:w="8500" w:type="dxa"/>
            <w:vAlign w:val="bottom"/>
            <w:tcBorders>
              <w:bottom w:val="single" w:sz="8" w:color="C00000"/>
            </w:tcBorders>
            <w:gridSpan w:val="2"/>
            <w:shd w:val="clear" w:color="auto" w:fill="C00000"/>
          </w:tcPr>
          <w:p>
            <w:pPr>
              <w:ind w:left="80"/>
              <w:spacing w:after="0"/>
              <w:rPr>
                <w:sz w:val="20"/>
                <w:szCs w:val="20"/>
                <w:color w:val="auto"/>
              </w:rPr>
            </w:pPr>
            <w:r>
              <w:rPr>
                <w:rFonts w:ascii="Arial" w:cs="Arial" w:eastAsia="Arial" w:hAnsi="Arial"/>
                <w:sz w:val="14"/>
                <w:szCs w:val="14"/>
                <w:b w:val="1"/>
                <w:bCs w:val="1"/>
                <w:color w:val="FFFFFF"/>
              </w:rPr>
              <w:t>Method to Revoke or Change Your Vote</w:t>
            </w:r>
          </w:p>
        </w:tc>
        <w:tc>
          <w:tcPr>
            <w:tcW w:w="0" w:type="dxa"/>
            <w:vAlign w:val="bottom"/>
          </w:tcPr>
          <w:p>
            <w:pPr>
              <w:spacing w:after="0"/>
              <w:rPr>
                <w:sz w:val="1"/>
                <w:szCs w:val="1"/>
                <w:color w:val="auto"/>
              </w:rPr>
            </w:pPr>
          </w:p>
        </w:tc>
      </w:tr>
      <w:tr>
        <w:trPr>
          <w:trHeight w:val="202"/>
        </w:trPr>
        <w:tc>
          <w:tcPr>
            <w:tcW w:w="2740" w:type="dxa"/>
            <w:vAlign w:val="bottom"/>
          </w:tcPr>
          <w:p>
            <w:pPr>
              <w:spacing w:after="0"/>
              <w:rPr>
                <w:sz w:val="20"/>
                <w:szCs w:val="20"/>
                <w:color w:val="auto"/>
              </w:rPr>
            </w:pPr>
            <w:r>
              <w:rPr>
                <w:rFonts w:ascii="Arial" w:cs="Arial" w:eastAsia="Arial" w:hAnsi="Arial"/>
                <w:sz w:val="16"/>
                <w:szCs w:val="16"/>
                <w:color w:val="auto"/>
              </w:rPr>
              <w:t>Shares registered in your name</w:t>
            </w:r>
          </w:p>
        </w:tc>
        <w:tc>
          <w:tcPr>
            <w:tcW w:w="85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Submit another proper proxy with a more recent date than that of the proxy first given by following the Internet,</w:t>
            </w:r>
          </w:p>
        </w:tc>
        <w:tc>
          <w:tcPr>
            <w:tcW w:w="0" w:type="dxa"/>
            <w:vAlign w:val="bottom"/>
          </w:tcPr>
          <w:p>
            <w:pPr>
              <w:spacing w:after="0"/>
              <w:rPr>
                <w:sz w:val="1"/>
                <w:szCs w:val="1"/>
                <w:color w:val="auto"/>
              </w:rPr>
            </w:pPr>
          </w:p>
        </w:tc>
      </w:tr>
      <w:tr>
        <w:trPr>
          <w:trHeight w:val="215"/>
        </w:trPr>
        <w:tc>
          <w:tcPr>
            <w:tcW w:w="2740" w:type="dxa"/>
            <w:vAlign w:val="bottom"/>
          </w:tcPr>
          <w:p>
            <w:pPr>
              <w:spacing w:after="0"/>
              <w:rPr>
                <w:sz w:val="18"/>
                <w:szCs w:val="18"/>
                <w:color w:val="auto"/>
              </w:rPr>
            </w:pP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8320" w:type="dxa"/>
            <w:vAlign w:val="bottom"/>
          </w:tcPr>
          <w:p>
            <w:pPr>
              <w:ind w:left="60"/>
              <w:spacing w:after="0"/>
              <w:rPr>
                <w:sz w:val="20"/>
                <w:szCs w:val="20"/>
                <w:color w:val="auto"/>
              </w:rPr>
            </w:pPr>
            <w:r>
              <w:rPr>
                <w:rFonts w:ascii="Arial" w:cs="Arial" w:eastAsia="Arial" w:hAnsi="Arial"/>
                <w:sz w:val="16"/>
                <w:szCs w:val="16"/>
                <w:color w:val="auto"/>
              </w:rPr>
              <w:t>telephone or mobile device voting instructions or complete, sign, date and mail a proxy card;</w:t>
            </w:r>
          </w:p>
        </w:tc>
        <w:tc>
          <w:tcPr>
            <w:tcW w:w="0" w:type="dxa"/>
            <w:vAlign w:val="bottom"/>
          </w:tcPr>
          <w:p>
            <w:pPr>
              <w:spacing w:after="0"/>
              <w:rPr>
                <w:sz w:val="1"/>
                <w:szCs w:val="1"/>
                <w:color w:val="auto"/>
              </w:rPr>
            </w:pPr>
          </w:p>
        </w:tc>
      </w:tr>
      <w:tr>
        <w:trPr>
          <w:trHeight w:val="213"/>
        </w:trPr>
        <w:tc>
          <w:tcPr>
            <w:tcW w:w="274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8320" w:type="dxa"/>
            <w:vAlign w:val="bottom"/>
          </w:tcPr>
          <w:p>
            <w:pPr>
              <w:ind w:left="60"/>
              <w:spacing w:after="0"/>
              <w:rPr>
                <w:sz w:val="20"/>
                <w:szCs w:val="20"/>
                <w:color w:val="auto"/>
              </w:rPr>
            </w:pPr>
            <w:r>
              <w:rPr>
                <w:rFonts w:ascii="Arial" w:cs="Arial" w:eastAsia="Arial" w:hAnsi="Arial"/>
                <w:sz w:val="16"/>
                <w:szCs w:val="16"/>
                <w:color w:val="auto"/>
              </w:rPr>
              <w:t>Attend the annual meeting virtually and vote electronically at the meeting; or</w:t>
            </w:r>
          </w:p>
        </w:tc>
        <w:tc>
          <w:tcPr>
            <w:tcW w:w="0" w:type="dxa"/>
            <w:vAlign w:val="bottom"/>
          </w:tcPr>
          <w:p>
            <w:pPr>
              <w:spacing w:after="0"/>
              <w:rPr>
                <w:sz w:val="1"/>
                <w:szCs w:val="1"/>
                <w:color w:val="auto"/>
              </w:rPr>
            </w:pPr>
          </w:p>
        </w:tc>
      </w:tr>
      <w:tr>
        <w:trPr>
          <w:trHeight w:val="235"/>
        </w:trPr>
        <w:tc>
          <w:tcPr>
            <w:tcW w:w="2740" w:type="dxa"/>
            <w:vAlign w:val="bottom"/>
          </w:tcPr>
          <w:p>
            <w:pPr>
              <w:spacing w:after="0"/>
              <w:rPr>
                <w:sz w:val="20"/>
                <w:szCs w:val="20"/>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8320" w:type="dxa"/>
            <w:vAlign w:val="bottom"/>
          </w:tcPr>
          <w:p>
            <w:pPr>
              <w:ind w:left="60"/>
              <w:spacing w:after="0"/>
              <w:rPr>
                <w:sz w:val="20"/>
                <w:szCs w:val="20"/>
                <w:color w:val="auto"/>
              </w:rPr>
            </w:pPr>
            <w:r>
              <w:rPr>
                <w:rFonts w:ascii="Arial" w:cs="Arial" w:eastAsia="Arial" w:hAnsi="Arial"/>
                <w:sz w:val="16"/>
                <w:szCs w:val="16"/>
                <w:color w:val="auto"/>
              </w:rPr>
              <w:t>Send written notice of revocation to our General Counsel.</w:t>
            </w:r>
          </w:p>
        </w:tc>
        <w:tc>
          <w:tcPr>
            <w:tcW w:w="0" w:type="dxa"/>
            <w:vAlign w:val="bottom"/>
          </w:tcPr>
          <w:p>
            <w:pPr>
              <w:spacing w:after="0"/>
              <w:rPr>
                <w:sz w:val="1"/>
                <w:szCs w:val="1"/>
                <w:color w:val="auto"/>
              </w:rPr>
            </w:pPr>
          </w:p>
        </w:tc>
      </w:tr>
      <w:tr>
        <w:trPr>
          <w:trHeight w:val="236"/>
        </w:trPr>
        <w:tc>
          <w:tcPr>
            <w:tcW w:w="2740" w:type="dxa"/>
            <w:vAlign w:val="bottom"/>
            <w:tcBorders>
              <w:bottom w:val="single" w:sz="8" w:color="D9D9D9"/>
            </w:tcBorders>
            <w:shd w:val="clear" w:color="auto" w:fill="D9D9D9"/>
          </w:tcPr>
          <w:p>
            <w:pPr>
              <w:spacing w:after="0"/>
              <w:rPr>
                <w:sz w:val="20"/>
                <w:szCs w:val="20"/>
                <w:color w:val="auto"/>
              </w:rPr>
            </w:pPr>
            <w:r>
              <w:rPr>
                <w:rFonts w:ascii="Arial" w:cs="Arial" w:eastAsia="Arial" w:hAnsi="Arial"/>
                <w:sz w:val="16"/>
                <w:szCs w:val="16"/>
                <w:color w:val="auto"/>
              </w:rPr>
              <w:t>Shares held in street name</w:t>
            </w:r>
          </w:p>
        </w:tc>
        <w:tc>
          <w:tcPr>
            <w:tcW w:w="8500" w:type="dxa"/>
            <w:vAlign w:val="bottom"/>
            <w:tcBorders>
              <w:bottom w:val="single" w:sz="8" w:color="D9D9D9"/>
            </w:tcBorders>
            <w:gridSpan w:val="2"/>
            <w:shd w:val="clear" w:color="auto" w:fill="D9D9D9"/>
          </w:tcPr>
          <w:p>
            <w:pPr>
              <w:ind w:left="80"/>
              <w:spacing w:after="0"/>
              <w:rPr>
                <w:sz w:val="20"/>
                <w:szCs w:val="20"/>
                <w:color w:val="auto"/>
              </w:rPr>
            </w:pPr>
            <w:r>
              <w:rPr>
                <w:rFonts w:ascii="Arial" w:cs="Arial" w:eastAsia="Arial" w:hAnsi="Arial"/>
                <w:sz w:val="16"/>
                <w:szCs w:val="16"/>
                <w:color w:val="auto"/>
              </w:rPr>
              <w:t>Follow instructions provided by your broker, bank or other nominee</w:t>
            </w:r>
          </w:p>
        </w:tc>
        <w:tc>
          <w:tcPr>
            <w:tcW w:w="0" w:type="dxa"/>
            <w:vAlign w:val="bottom"/>
          </w:tcPr>
          <w:p>
            <w:pPr>
              <w:spacing w:after="0"/>
              <w:rPr>
                <w:sz w:val="1"/>
                <w:szCs w:val="1"/>
                <w:color w:val="auto"/>
              </w:rPr>
            </w:pPr>
          </w:p>
        </w:tc>
      </w:tr>
      <w:tr>
        <w:trPr>
          <w:trHeight w:val="188"/>
        </w:trPr>
        <w:tc>
          <w:tcPr>
            <w:tcW w:w="2740" w:type="dxa"/>
            <w:vAlign w:val="bottom"/>
          </w:tcPr>
          <w:p>
            <w:pPr>
              <w:spacing w:after="0"/>
              <w:rPr>
                <w:sz w:val="20"/>
                <w:szCs w:val="20"/>
                <w:color w:val="auto"/>
              </w:rPr>
            </w:pPr>
            <w:r>
              <w:rPr>
                <w:rFonts w:ascii="Arial" w:cs="Arial" w:eastAsia="Arial" w:hAnsi="Arial"/>
                <w:sz w:val="16"/>
                <w:szCs w:val="16"/>
                <w:color w:val="auto"/>
              </w:rPr>
              <w:t>Shares held in certain TTC employee</w:t>
            </w:r>
          </w:p>
        </w:tc>
        <w:tc>
          <w:tcPr>
            <w:tcW w:w="8500" w:type="dxa"/>
            <w:vAlign w:val="bottom"/>
            <w:gridSpan w:val="2"/>
          </w:tcPr>
          <w:p>
            <w:pPr>
              <w:ind w:left="80"/>
              <w:spacing w:after="0"/>
              <w:rPr>
                <w:sz w:val="20"/>
                <w:szCs w:val="20"/>
                <w:color w:val="auto"/>
              </w:rPr>
            </w:pPr>
            <w:r>
              <w:rPr>
                <w:rFonts w:ascii="Arial" w:cs="Arial" w:eastAsia="Arial" w:hAnsi="Arial"/>
                <w:sz w:val="16"/>
                <w:szCs w:val="16"/>
                <w:color w:val="auto"/>
              </w:rPr>
              <w:t>Submit another proper proxy with a more recent date than that of the proxy first given by following the Internet,</w:t>
            </w:r>
          </w:p>
        </w:tc>
        <w:tc>
          <w:tcPr>
            <w:tcW w:w="0" w:type="dxa"/>
            <w:vAlign w:val="bottom"/>
          </w:tcPr>
          <w:p>
            <w:pPr>
              <w:spacing w:after="0"/>
              <w:rPr>
                <w:sz w:val="1"/>
                <w:szCs w:val="1"/>
                <w:color w:val="auto"/>
              </w:rPr>
            </w:pPr>
          </w:p>
        </w:tc>
      </w:tr>
      <w:tr>
        <w:trPr>
          <w:trHeight w:val="215"/>
        </w:trPr>
        <w:tc>
          <w:tcPr>
            <w:tcW w:w="2740" w:type="dxa"/>
            <w:vAlign w:val="bottom"/>
          </w:tcPr>
          <w:p>
            <w:pPr>
              <w:spacing w:after="0"/>
              <w:rPr>
                <w:sz w:val="20"/>
                <w:szCs w:val="20"/>
                <w:color w:val="auto"/>
              </w:rPr>
            </w:pPr>
            <w:r>
              <w:rPr>
                <w:rFonts w:ascii="Arial" w:cs="Arial" w:eastAsia="Arial" w:hAnsi="Arial"/>
                <w:sz w:val="16"/>
                <w:szCs w:val="16"/>
                <w:color w:val="auto"/>
              </w:rPr>
              <w:t>benefit plans</w:t>
            </w:r>
          </w:p>
        </w:tc>
        <w:tc>
          <w:tcPr>
            <w:tcW w:w="8500" w:type="dxa"/>
            <w:vAlign w:val="bottom"/>
            <w:gridSpan w:val="2"/>
          </w:tcPr>
          <w:p>
            <w:pPr>
              <w:ind w:left="80"/>
              <w:spacing w:after="0"/>
              <w:rPr>
                <w:sz w:val="20"/>
                <w:szCs w:val="20"/>
                <w:color w:val="auto"/>
              </w:rPr>
            </w:pPr>
            <w:r>
              <w:rPr>
                <w:rFonts w:ascii="Arial" w:cs="Arial" w:eastAsia="Arial" w:hAnsi="Arial"/>
                <w:sz w:val="16"/>
                <w:szCs w:val="16"/>
                <w:color w:val="auto"/>
              </w:rPr>
              <w:t>telephone or mobile device voting instructions or complete, sign, date and mail a proxy card</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Who Will Count the Votes?</w:t>
      </w:r>
    </w:p>
    <w:p>
      <w:pPr>
        <w:spacing w:after="0" w:line="9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Broadridge Financial Solutions, Inc. has been engaged to tabulate shareholder votes. An agent of Broadridge Financial Solutions, Inc.</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will act as our independent inspector of elections for the annual meeting.</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How Will Business Be Conducted at the Annual Meeting?</w:t>
      </w:r>
    </w:p>
    <w:p>
      <w:pPr>
        <w:spacing w:after="0" w:line="99" w:lineRule="exact"/>
        <w:rPr>
          <w:sz w:val="20"/>
          <w:szCs w:val="20"/>
          <w:color w:val="auto"/>
        </w:rPr>
      </w:pPr>
    </w:p>
    <w:p>
      <w:pPr>
        <w:ind w:right="220" w:firstLine="401"/>
        <w:spacing w:after="0" w:line="253" w:lineRule="auto"/>
        <w:rPr>
          <w:sz w:val="20"/>
          <w:szCs w:val="20"/>
          <w:color w:val="auto"/>
        </w:rPr>
      </w:pPr>
      <w:r>
        <w:rPr>
          <w:rFonts w:ascii="Arial" w:cs="Arial" w:eastAsia="Arial" w:hAnsi="Arial"/>
          <w:sz w:val="18"/>
          <w:szCs w:val="18"/>
          <w:color w:val="auto"/>
        </w:rPr>
        <w:t>The presiding officer at the annual meeting will determine how business at the meeting will be conducted. Only nominations and other proposals brought before the annual meeting in accordance with the advance notice and information requirements of our Amended and Restated Bylaws will be considered, and no such nominations or other proposals were received.</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How Can I Ask Questions in Advance of and During the Annual Meeting?</w:t>
      </w:r>
    </w:p>
    <w:p>
      <w:pPr>
        <w:spacing w:after="0" w:line="99" w:lineRule="exact"/>
        <w:rPr>
          <w:sz w:val="20"/>
          <w:szCs w:val="20"/>
          <w:color w:val="auto"/>
        </w:rPr>
      </w:pPr>
    </w:p>
    <w:p>
      <w:pPr>
        <w:ind w:right="80" w:firstLine="401"/>
        <w:spacing w:after="0" w:line="242" w:lineRule="auto"/>
        <w:rPr>
          <w:sz w:val="20"/>
          <w:szCs w:val="20"/>
          <w:color w:val="auto"/>
        </w:rPr>
      </w:pPr>
      <w:r>
        <w:rPr>
          <w:rFonts w:ascii="Arial" w:cs="Arial" w:eastAsia="Arial" w:hAnsi="Arial"/>
          <w:sz w:val="18"/>
          <w:szCs w:val="18"/>
          <w:color w:val="auto"/>
        </w:rPr>
        <w:t>Shareholders may submit questions in advance of the annual meeting, from February 7, 2023 to March 20, 2023, and during a portion of the annual meeting. If you wish to submit a question in advance of the annual meeting, from you may log into www.proxyvote.com using your 16-digit control number and follow the instructions to submit a question. If you wish to submit a question during the annual meeting, log into the virtual meeting platform at www.virtualshareholdermeeting.com/TTC2023 using the 16-digit control number included on your proxy card, voting instruction form or Notice Regarding the Availability of Proxy Materials and follow the instructions to submit a question. Questions pertinent to meeting matters will be answered during the annual meeting, subject to time limitations.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2057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PROPOSAL ONE—ELECTION OF DIRECTORS</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Board Size and Structure</w:t>
      </w:r>
    </w:p>
    <w:p>
      <w:pPr>
        <w:spacing w:after="0" w:line="99" w:lineRule="exact"/>
        <w:rPr>
          <w:sz w:val="20"/>
          <w:szCs w:val="20"/>
          <w:color w:val="auto"/>
        </w:rPr>
      </w:pPr>
    </w:p>
    <w:p>
      <w:pPr>
        <w:ind w:firstLine="401"/>
        <w:spacing w:after="0" w:line="247" w:lineRule="auto"/>
        <w:rPr>
          <w:sz w:val="20"/>
          <w:szCs w:val="20"/>
          <w:color w:val="auto"/>
        </w:rPr>
      </w:pPr>
      <w:r>
        <w:rPr>
          <w:rFonts w:ascii="Arial" w:cs="Arial" w:eastAsia="Arial" w:hAnsi="Arial"/>
          <w:sz w:val="18"/>
          <w:szCs w:val="18"/>
          <w:color w:val="auto"/>
        </w:rPr>
        <w:t>Our Restated Certificate of Incorporation provides that our Board of Directors may be comprised of between eight and twelve directors. As provided in our Restated Certificate of Incorporation, our Board is divided into three staggered classes of directors of the same or nearly the same number, with each class elected in a different year for a term of three years. Our current directors and their respective current terms are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60" w:type="dxa"/>
            <w:vAlign w:val="bottom"/>
            <w:shd w:val="clear" w:color="auto" w:fill="C00000"/>
          </w:tcPr>
          <w:p>
            <w:pPr>
              <w:jc w:val="center"/>
              <w:spacing w:after="0"/>
              <w:rPr>
                <w:sz w:val="20"/>
                <w:szCs w:val="20"/>
                <w:color w:val="auto"/>
              </w:rPr>
            </w:pPr>
            <w:r>
              <w:rPr>
                <w:rFonts w:ascii="Arial" w:cs="Arial" w:eastAsia="Arial" w:hAnsi="Arial"/>
                <w:sz w:val="16"/>
                <w:szCs w:val="16"/>
                <w:b w:val="1"/>
                <w:bCs w:val="1"/>
                <w:color w:val="FFFFFF"/>
              </w:rPr>
              <w:t>Current Term Ending at</w:t>
            </w:r>
          </w:p>
        </w:tc>
        <w:tc>
          <w:tcPr>
            <w:tcW w:w="3740" w:type="dxa"/>
            <w:vAlign w:val="bottom"/>
            <w:shd w:val="clear" w:color="auto" w:fill="C00000"/>
          </w:tcPr>
          <w:p>
            <w:pPr>
              <w:jc w:val="center"/>
              <w:spacing w:after="0"/>
              <w:rPr>
                <w:sz w:val="20"/>
                <w:szCs w:val="20"/>
                <w:color w:val="auto"/>
              </w:rPr>
            </w:pPr>
            <w:r>
              <w:rPr>
                <w:rFonts w:ascii="Arial" w:cs="Arial" w:eastAsia="Arial" w:hAnsi="Arial"/>
                <w:sz w:val="16"/>
                <w:szCs w:val="16"/>
                <w:b w:val="1"/>
                <w:bCs w:val="1"/>
                <w:color w:val="FFFFFF"/>
                <w:w w:val="99"/>
              </w:rPr>
              <w:t>Current Term Ending at</w:t>
            </w:r>
          </w:p>
        </w:tc>
        <w:tc>
          <w:tcPr>
            <w:tcW w:w="3740" w:type="dxa"/>
            <w:vAlign w:val="bottom"/>
            <w:shd w:val="clear" w:color="auto" w:fill="C00000"/>
          </w:tcPr>
          <w:p>
            <w:pPr>
              <w:jc w:val="center"/>
              <w:spacing w:after="0"/>
              <w:rPr>
                <w:sz w:val="20"/>
                <w:szCs w:val="20"/>
                <w:color w:val="auto"/>
              </w:rPr>
            </w:pPr>
            <w:r>
              <w:rPr>
                <w:rFonts w:ascii="Arial" w:cs="Arial" w:eastAsia="Arial" w:hAnsi="Arial"/>
                <w:sz w:val="16"/>
                <w:szCs w:val="16"/>
                <w:b w:val="1"/>
                <w:bCs w:val="1"/>
                <w:color w:val="FFFFFF"/>
                <w:w w:val="99"/>
              </w:rPr>
              <w:t>Current Term Ending at</w:t>
            </w:r>
          </w:p>
        </w:tc>
      </w:tr>
      <w:tr>
        <w:trPr>
          <w:trHeight w:val="230"/>
        </w:trPr>
        <w:tc>
          <w:tcPr>
            <w:tcW w:w="3760" w:type="dxa"/>
            <w:vAlign w:val="bottom"/>
            <w:shd w:val="clear" w:color="auto" w:fill="C00000"/>
          </w:tcPr>
          <w:p>
            <w:pPr>
              <w:jc w:val="center"/>
              <w:spacing w:after="0"/>
              <w:rPr>
                <w:sz w:val="20"/>
                <w:szCs w:val="20"/>
                <w:color w:val="auto"/>
              </w:rPr>
            </w:pPr>
            <w:r>
              <w:rPr>
                <w:rFonts w:ascii="Arial" w:cs="Arial" w:eastAsia="Arial" w:hAnsi="Arial"/>
                <w:sz w:val="16"/>
                <w:szCs w:val="16"/>
                <w:b w:val="1"/>
                <w:bCs w:val="1"/>
                <w:color w:val="FFFFFF"/>
              </w:rPr>
              <w:t>2023 Annual Meeting</w:t>
            </w:r>
          </w:p>
        </w:tc>
        <w:tc>
          <w:tcPr>
            <w:tcW w:w="3740" w:type="dxa"/>
            <w:vAlign w:val="bottom"/>
            <w:shd w:val="clear" w:color="auto" w:fill="C00000"/>
          </w:tcPr>
          <w:p>
            <w:pPr>
              <w:jc w:val="center"/>
              <w:spacing w:after="0"/>
              <w:rPr>
                <w:sz w:val="20"/>
                <w:szCs w:val="20"/>
                <w:color w:val="auto"/>
              </w:rPr>
            </w:pPr>
            <w:r>
              <w:rPr>
                <w:rFonts w:ascii="Arial" w:cs="Arial" w:eastAsia="Arial" w:hAnsi="Arial"/>
                <w:sz w:val="16"/>
                <w:szCs w:val="16"/>
                <w:b w:val="1"/>
                <w:bCs w:val="1"/>
                <w:color w:val="FFFFFF"/>
              </w:rPr>
              <w:t>2024 Annual Meeting</w:t>
            </w:r>
          </w:p>
        </w:tc>
        <w:tc>
          <w:tcPr>
            <w:tcW w:w="3740" w:type="dxa"/>
            <w:vAlign w:val="bottom"/>
            <w:shd w:val="clear" w:color="auto" w:fill="C00000"/>
          </w:tcPr>
          <w:p>
            <w:pPr>
              <w:jc w:val="center"/>
              <w:spacing w:after="0"/>
              <w:rPr>
                <w:sz w:val="20"/>
                <w:szCs w:val="20"/>
                <w:color w:val="auto"/>
              </w:rPr>
            </w:pPr>
            <w:r>
              <w:rPr>
                <w:rFonts w:ascii="Arial" w:cs="Arial" w:eastAsia="Arial" w:hAnsi="Arial"/>
                <w:sz w:val="16"/>
                <w:szCs w:val="16"/>
                <w:b w:val="1"/>
                <w:bCs w:val="1"/>
                <w:color w:val="FFFFFF"/>
              </w:rPr>
              <w:t>2025 Annual Meeting</w:t>
            </w:r>
          </w:p>
        </w:tc>
      </w:tr>
      <w:tr>
        <w:trPr>
          <w:trHeight w:val="251"/>
        </w:trPr>
        <w:tc>
          <w:tcPr>
            <w:tcW w:w="376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9"/>
              </w:rPr>
              <w:t>Jeffrey M. Ettinger</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Janet K. Cooper</w:t>
            </w:r>
          </w:p>
        </w:tc>
        <w:tc>
          <w:tcPr>
            <w:tcW w:w="374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9"/>
              </w:rPr>
              <w:t>Jeffrey L. Harmening</w:t>
            </w:r>
          </w:p>
        </w:tc>
      </w:tr>
      <w:tr>
        <w:trPr>
          <w:trHeight w:val="239"/>
        </w:trPr>
        <w:tc>
          <w:tcPr>
            <w:tcW w:w="376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9"/>
              </w:rPr>
              <w:t>Katherine J. Harless</w:t>
            </w:r>
          </w:p>
        </w:tc>
        <w:tc>
          <w:tcPr>
            <w:tcW w:w="3740" w:type="dxa"/>
            <w:vAlign w:val="bottom"/>
          </w:tcPr>
          <w:p>
            <w:pPr>
              <w:jc w:val="center"/>
              <w:spacing w:after="0"/>
              <w:rPr>
                <w:sz w:val="20"/>
                <w:szCs w:val="20"/>
                <w:color w:val="auto"/>
              </w:rPr>
            </w:pPr>
            <w:r>
              <w:rPr>
                <w:rFonts w:ascii="Arial" w:cs="Arial" w:eastAsia="Arial" w:hAnsi="Arial"/>
                <w:sz w:val="18"/>
                <w:szCs w:val="18"/>
                <w:color w:val="auto"/>
              </w:rPr>
              <w:t>Gary L. Ellis</w:t>
            </w:r>
          </w:p>
        </w:tc>
        <w:tc>
          <w:tcPr>
            <w:tcW w:w="374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9"/>
              </w:rPr>
              <w:t>Joyce A. Mullen</w:t>
            </w:r>
          </w:p>
        </w:tc>
      </w:tr>
      <w:tr>
        <w:trPr>
          <w:trHeight w:val="257"/>
        </w:trPr>
        <w:tc>
          <w:tcPr>
            <w:tcW w:w="376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7"/>
              </w:rPr>
              <w:t>Eric P. Hansotia</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Jill M. Pemberton</w:t>
            </w:r>
          </w:p>
        </w:tc>
        <w:tc>
          <w:tcPr>
            <w:tcW w:w="374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9"/>
              </w:rPr>
              <w:t>Richard M. Olson</w:t>
            </w:r>
          </w:p>
        </w:tc>
      </w:tr>
      <w:tr>
        <w:trPr>
          <w:trHeight w:val="257"/>
        </w:trPr>
        <w:tc>
          <w:tcPr>
            <w:tcW w:w="376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9"/>
              </w:rPr>
              <w:t>D. Christian Koch</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Michael G. Vale</w:t>
            </w:r>
          </w:p>
        </w:tc>
        <w:tc>
          <w:tcPr>
            <w:tcW w:w="3740" w:type="dxa"/>
            <w:vAlign w:val="bottom"/>
            <w:shd w:val="clear" w:color="auto" w:fill="D9D9D9"/>
          </w:tcPr>
          <w:p>
            <w:pPr>
              <w:jc w:val="center"/>
              <w:spacing w:after="0"/>
              <w:rPr>
                <w:sz w:val="20"/>
                <w:szCs w:val="20"/>
                <w:color w:val="auto"/>
              </w:rPr>
            </w:pPr>
            <w:r>
              <w:rPr>
                <w:rFonts w:ascii="Arial" w:cs="Arial" w:eastAsia="Arial" w:hAnsi="Arial"/>
                <w:sz w:val="18"/>
                <w:szCs w:val="18"/>
                <w:color w:val="auto"/>
              </w:rPr>
              <w:t>James C. O’Rourke</w:t>
            </w:r>
          </w:p>
        </w:tc>
      </w:tr>
      <w:tr>
        <w:trPr>
          <w:trHeight w:val="23"/>
        </w:trPr>
        <w:tc>
          <w:tcPr>
            <w:tcW w:w="3760" w:type="dxa"/>
            <w:vAlign w:val="bottom"/>
            <w:shd w:val="clear" w:color="auto" w:fill="D9D9D9"/>
          </w:tcPr>
          <w:p>
            <w:pPr>
              <w:spacing w:after="0"/>
              <w:rPr>
                <w:sz w:val="2"/>
                <w:szCs w:val="2"/>
                <w:color w:val="auto"/>
              </w:rPr>
            </w:pPr>
          </w:p>
        </w:tc>
        <w:tc>
          <w:tcPr>
            <w:tcW w:w="3740" w:type="dxa"/>
            <w:vAlign w:val="bottom"/>
          </w:tcPr>
          <w:p>
            <w:pPr>
              <w:spacing w:after="0"/>
              <w:rPr>
                <w:sz w:val="2"/>
                <w:szCs w:val="2"/>
                <w:color w:val="auto"/>
              </w:rPr>
            </w:pPr>
          </w:p>
        </w:tc>
        <w:tc>
          <w:tcPr>
            <w:tcW w:w="3740" w:type="dxa"/>
            <w:vAlign w:val="bottom"/>
            <w:shd w:val="clear" w:color="auto" w:fill="D9D9D9"/>
          </w:tcPr>
          <w:p>
            <w:pPr>
              <w:spacing w:after="0"/>
              <w:rPr>
                <w:sz w:val="2"/>
                <w:szCs w:val="2"/>
                <w:color w:val="auto"/>
              </w:rPr>
            </w:pPr>
          </w:p>
        </w:tc>
      </w:tr>
    </w:tbl>
    <w:p>
      <w:pPr>
        <w:spacing w:after="0" w:line="89" w:lineRule="exact"/>
        <w:rPr>
          <w:sz w:val="20"/>
          <w:szCs w:val="20"/>
          <w:color w:val="auto"/>
        </w:rPr>
      </w:pPr>
    </w:p>
    <w:p>
      <w:pPr>
        <w:ind w:firstLine="401"/>
        <w:spacing w:after="0" w:line="242" w:lineRule="auto"/>
        <w:rPr>
          <w:sz w:val="20"/>
          <w:szCs w:val="20"/>
          <w:color w:val="auto"/>
        </w:rPr>
      </w:pPr>
      <w:r>
        <w:rPr>
          <w:rFonts w:ascii="Arial" w:cs="Arial" w:eastAsia="Arial" w:hAnsi="Arial"/>
          <w:sz w:val="18"/>
          <w:szCs w:val="18"/>
          <w:color w:val="auto"/>
        </w:rPr>
        <w:t>Ms. Harless attained the age of 70 during her current term and, in accordance with our Corporate Governance Guidelines, will retire from the Board at the expiration of such term at the annual meeting. Ms. Harless has served as a director for 22 years, and the Board thanks Ms. Harless for her many years of dedicated service to the Company. In light of her retirement from the Board, the Board has voted to reduce its size from twelve to eleven directors effective immediately prior to the annual meeting, and thereafter our Board will be comprised of eleven directors until the Board determines to change the number. In the future, the Board intends to consider whether to seek additional directors and in doing so will continue to prioritize all diversity attributes including gender and racial/ethnic diversity considerations.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Nominees for Director</w:t>
      </w:r>
    </w:p>
    <w:p>
      <w:pPr>
        <w:spacing w:after="0" w:line="99" w:lineRule="exact"/>
        <w:rPr>
          <w:sz w:val="20"/>
          <w:szCs w:val="20"/>
          <w:color w:val="auto"/>
        </w:rPr>
      </w:pPr>
    </w:p>
    <w:p>
      <w:pPr>
        <w:ind w:right="80" w:firstLine="401"/>
        <w:spacing w:after="0" w:line="247" w:lineRule="auto"/>
        <w:rPr>
          <w:sz w:val="20"/>
          <w:szCs w:val="20"/>
          <w:color w:val="auto"/>
        </w:rPr>
      </w:pPr>
      <w:r>
        <w:rPr>
          <w:rFonts w:ascii="Arial" w:cs="Arial" w:eastAsia="Arial" w:hAnsi="Arial"/>
          <w:sz w:val="18"/>
          <w:szCs w:val="18"/>
          <w:color w:val="auto"/>
        </w:rPr>
        <w:t>The Board has nominated Jeffrey M. Ettinger, Eric P. Hansotia and D. Christian Koch for election to the Board each to serve for a three-year term ending at the 2026 Annual Meeting of Shareholders. Each of Messrs. Ettinger, Hansotia and Koch is a current member of the Board and has consented to serve if elected. Proxies only can be voted for the number of persons named as nominees in this proxy statement, which is three.</w:t>
      </w:r>
    </w:p>
    <w:p>
      <w:pPr>
        <w:spacing w:after="0" w:line="66" w:lineRule="exact"/>
        <w:rPr>
          <w:sz w:val="20"/>
          <w:szCs w:val="20"/>
          <w:color w:val="auto"/>
        </w:rPr>
      </w:pPr>
    </w:p>
    <w:p>
      <w:pPr>
        <w:ind w:right="40" w:firstLine="401"/>
        <w:spacing w:after="0" w:line="247" w:lineRule="auto"/>
        <w:rPr>
          <w:sz w:val="20"/>
          <w:szCs w:val="20"/>
          <w:color w:val="auto"/>
        </w:rPr>
      </w:pPr>
      <w:r>
        <w:rPr>
          <w:rFonts w:ascii="Arial" w:cs="Arial" w:eastAsia="Arial" w:hAnsi="Arial"/>
          <w:sz w:val="18"/>
          <w:szCs w:val="18"/>
          <w:color w:val="auto"/>
        </w:rPr>
        <w:t>If prior to the annual meeting the Board learns that any nominee will be unable to serve for any reason, the proxies that otherwise would have been voted for that nominee will be voted for a substitute nominee as selected by the Board. Alternatively, at the Board’s discretion, the proxies may be voted for that fewer number of nominees as results from the inability of any nominee to serve. The Board has no reason to believe that any of the nominees will be unable to serve.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500"/>
        </w:trPr>
        <w:tc>
          <w:tcPr>
            <w:tcW w:w="9820" w:type="dxa"/>
            <w:vAlign w:val="bottom"/>
            <w:vMerge w:val="restart"/>
            <w:shd w:val="clear" w:color="auto" w:fill="C00000"/>
          </w:tcPr>
          <w:p>
            <w:pPr>
              <w:ind w:left="1260"/>
              <w:spacing w:after="0"/>
              <w:rPr>
                <w:sz w:val="20"/>
                <w:szCs w:val="20"/>
                <w:color w:val="auto"/>
              </w:rPr>
            </w:pPr>
            <w:r>
              <w:rPr>
                <w:rFonts w:ascii="Arial" w:cs="Arial" w:eastAsia="Arial" w:hAnsi="Arial"/>
                <w:sz w:val="22"/>
                <w:szCs w:val="22"/>
                <w:b w:val="1"/>
                <w:bCs w:val="1"/>
                <w:color w:val="FFFFFF"/>
              </w:rPr>
              <w:t>The Board of Directors Recommends a Vote FOR Each Nominee for Director</w:t>
            </w:r>
          </w:p>
        </w:tc>
        <w:tc>
          <w:tcPr>
            <w:tcW w:w="1420" w:type="dxa"/>
            <w:vAlign w:val="bottom"/>
            <w:shd w:val="clear" w:color="auto" w:fill="C00000"/>
          </w:tcPr>
          <w:p>
            <w:pPr>
              <w:ind w:left="740"/>
              <w:spacing w:after="0" w:line="501" w:lineRule="exact"/>
              <w:rPr>
                <w:sz w:val="20"/>
                <w:szCs w:val="20"/>
                <w:color w:val="auto"/>
              </w:rPr>
            </w:pPr>
            <w:r>
              <w:rPr>
                <w:rFonts w:ascii="MS PGothic" w:cs="MS PGothic" w:eastAsia="MS PGothic" w:hAnsi="MS PGothic"/>
                <w:sz w:val="50"/>
                <w:szCs w:val="50"/>
                <w:color w:val="auto"/>
                <w:highlight w:val="white"/>
              </w:rPr>
              <w:t>☑</w:t>
            </w:r>
          </w:p>
        </w:tc>
        <w:tc>
          <w:tcPr>
            <w:tcW w:w="0" w:type="dxa"/>
            <w:vAlign w:val="bottom"/>
          </w:tcPr>
          <w:p>
            <w:pPr>
              <w:spacing w:after="0"/>
              <w:rPr>
                <w:sz w:val="1"/>
                <w:szCs w:val="1"/>
                <w:color w:val="auto"/>
              </w:rPr>
            </w:pPr>
          </w:p>
        </w:tc>
      </w:tr>
      <w:tr>
        <w:trPr>
          <w:trHeight w:val="80"/>
        </w:trPr>
        <w:tc>
          <w:tcPr>
            <w:tcW w:w="9820" w:type="dxa"/>
            <w:vAlign w:val="bottom"/>
            <w:vMerge w:val="continue"/>
            <w:shd w:val="clear" w:color="auto" w:fill="C00000"/>
          </w:tcPr>
          <w:p>
            <w:pPr>
              <w:spacing w:after="0"/>
              <w:rPr>
                <w:sz w:val="6"/>
                <w:szCs w:val="6"/>
                <w:color w:val="auto"/>
              </w:rPr>
            </w:pPr>
          </w:p>
        </w:tc>
        <w:tc>
          <w:tcPr>
            <w:tcW w:w="1420" w:type="dxa"/>
            <w:vAlign w:val="bottom"/>
            <w:shd w:val="clear" w:color="auto" w:fill="C00000"/>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9820" w:type="dxa"/>
            <w:vAlign w:val="bottom"/>
            <w:shd w:val="clear" w:color="auto" w:fill="C00000"/>
          </w:tcPr>
          <w:p>
            <w:pPr>
              <w:spacing w:after="0"/>
              <w:rPr>
                <w:sz w:val="13"/>
                <w:szCs w:val="13"/>
                <w:color w:val="auto"/>
              </w:rPr>
            </w:pPr>
          </w:p>
        </w:tc>
        <w:tc>
          <w:tcPr>
            <w:tcW w:w="1420" w:type="dxa"/>
            <w:vAlign w:val="bottom"/>
            <w:shd w:val="clear" w:color="auto" w:fill="C00000"/>
          </w:tcPr>
          <w:p>
            <w:pPr>
              <w:spacing w:after="0"/>
              <w:rPr>
                <w:sz w:val="13"/>
                <w:szCs w:val="13"/>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Information About Director Nominees and Continuing Directors</w:t>
      </w:r>
    </w:p>
    <w:p>
      <w:pPr>
        <w:spacing w:after="0" w:line="99" w:lineRule="exact"/>
        <w:rPr>
          <w:sz w:val="20"/>
          <w:szCs w:val="20"/>
          <w:color w:val="auto"/>
        </w:rPr>
      </w:pPr>
    </w:p>
    <w:p>
      <w:pPr>
        <w:jc w:val="both"/>
        <w:ind w:right="60" w:firstLine="401"/>
        <w:spacing w:after="0" w:line="281" w:lineRule="auto"/>
        <w:rPr>
          <w:sz w:val="20"/>
          <w:szCs w:val="20"/>
          <w:color w:val="auto"/>
        </w:rPr>
      </w:pPr>
      <w:r>
        <w:rPr>
          <w:rFonts w:ascii="Arial" w:cs="Arial" w:eastAsia="Arial" w:hAnsi="Arial"/>
          <w:sz w:val="17"/>
          <w:szCs w:val="17"/>
          <w:color w:val="auto"/>
        </w:rPr>
        <w:t>The following pages provide information about the nominees for election to the Board at the annual meeting, all of whom are current Board members, and each of the other continuing members of the Board. We believe that all of our director nominees and continuing directors display:</w:t>
      </w:r>
    </w:p>
    <w:p>
      <w:pPr>
        <w:spacing w:after="0" w:line="1" w:lineRule="exact"/>
        <w:rPr>
          <w:sz w:val="20"/>
          <w:szCs w:val="20"/>
          <w:color w:val="auto"/>
        </w:rPr>
      </w:pPr>
    </w:p>
    <w:p>
      <w:pPr>
        <w:ind w:left="660" w:hanging="261"/>
        <w:spacing w:after="0"/>
        <w:tabs>
          <w:tab w:leader="none" w:pos="66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8"/>
          <w:szCs w:val="18"/>
          <w:color w:val="auto"/>
        </w:rPr>
        <w:t>personal and professional integrity;</w:t>
      </w:r>
    </w:p>
    <w:p>
      <w:pPr>
        <w:spacing w:after="0" w:line="49" w:lineRule="exact"/>
        <w:rPr>
          <w:rFonts w:ascii="Times New Roman" w:cs="Times New Roman" w:eastAsia="Times New Roman" w:hAnsi="Times New Roman"/>
          <w:sz w:val="16"/>
          <w:szCs w:val="16"/>
          <w:color w:val="auto"/>
        </w:rPr>
      </w:pPr>
    </w:p>
    <w:p>
      <w:pPr>
        <w:ind w:left="660" w:hanging="261"/>
        <w:spacing w:after="0"/>
        <w:tabs>
          <w:tab w:leader="none" w:pos="66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8"/>
          <w:szCs w:val="18"/>
          <w:color w:val="auto"/>
        </w:rPr>
        <w:t>appropriate levels of education and business experience;</w:t>
      </w:r>
    </w:p>
    <w:p>
      <w:pPr>
        <w:spacing w:after="0" w:line="49" w:lineRule="exact"/>
        <w:rPr>
          <w:rFonts w:ascii="Times New Roman" w:cs="Times New Roman" w:eastAsia="Times New Roman" w:hAnsi="Times New Roman"/>
          <w:sz w:val="16"/>
          <w:szCs w:val="16"/>
          <w:color w:val="auto"/>
        </w:rPr>
      </w:pPr>
    </w:p>
    <w:p>
      <w:pPr>
        <w:ind w:left="660" w:hanging="261"/>
        <w:spacing w:after="0"/>
        <w:tabs>
          <w:tab w:leader="none" w:pos="66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8"/>
          <w:szCs w:val="18"/>
          <w:color w:val="auto"/>
        </w:rPr>
        <w:t>strong business acumen;</w:t>
      </w:r>
    </w:p>
    <w:p>
      <w:pPr>
        <w:spacing w:after="0" w:line="49" w:lineRule="exact"/>
        <w:rPr>
          <w:rFonts w:ascii="Times New Roman" w:cs="Times New Roman" w:eastAsia="Times New Roman" w:hAnsi="Times New Roman"/>
          <w:sz w:val="16"/>
          <w:szCs w:val="16"/>
          <w:color w:val="auto"/>
        </w:rPr>
      </w:pPr>
    </w:p>
    <w:p>
      <w:pPr>
        <w:ind w:left="660" w:hanging="261"/>
        <w:spacing w:after="0"/>
        <w:tabs>
          <w:tab w:leader="none" w:pos="66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8"/>
          <w:szCs w:val="18"/>
          <w:color w:val="auto"/>
        </w:rPr>
        <w:t>an appropriate level of understanding of our business, industries and other industries relevant to our business;</w:t>
      </w:r>
    </w:p>
    <w:p>
      <w:pPr>
        <w:spacing w:after="0" w:line="49" w:lineRule="exact"/>
        <w:rPr>
          <w:rFonts w:ascii="Times New Roman" w:cs="Times New Roman" w:eastAsia="Times New Roman" w:hAnsi="Times New Roman"/>
          <w:sz w:val="16"/>
          <w:szCs w:val="16"/>
          <w:color w:val="auto"/>
        </w:rPr>
      </w:pPr>
    </w:p>
    <w:p>
      <w:pPr>
        <w:ind w:left="660" w:hanging="261"/>
        <w:spacing w:after="0"/>
        <w:tabs>
          <w:tab w:leader="none" w:pos="66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8"/>
          <w:szCs w:val="18"/>
          <w:color w:val="auto"/>
        </w:rPr>
        <w:t>the ability and willingness to devote adequate time to the work of our Board and its committees;</w:t>
      </w:r>
    </w:p>
    <w:p>
      <w:pPr>
        <w:spacing w:after="0" w:line="49" w:lineRule="exact"/>
        <w:rPr>
          <w:rFonts w:ascii="Times New Roman" w:cs="Times New Roman" w:eastAsia="Times New Roman" w:hAnsi="Times New Roman"/>
          <w:sz w:val="16"/>
          <w:szCs w:val="16"/>
          <w:color w:val="auto"/>
        </w:rPr>
      </w:pPr>
    </w:p>
    <w:p>
      <w:pPr>
        <w:ind w:left="660" w:right="100" w:hanging="261"/>
        <w:spacing w:after="0" w:line="266" w:lineRule="auto"/>
        <w:tabs>
          <w:tab w:leader="none" w:pos="66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8"/>
          <w:szCs w:val="18"/>
          <w:color w:val="auto"/>
        </w:rPr>
        <w:t>a fit of skills and personality with those of our other directors that helps build a Board that is effective, collegial and responsive to the needs of our Company;</w:t>
      </w:r>
    </w:p>
    <w:p>
      <w:pPr>
        <w:ind w:left="660" w:hanging="261"/>
        <w:spacing w:after="0"/>
        <w:tabs>
          <w:tab w:leader="none" w:pos="66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8"/>
          <w:szCs w:val="18"/>
          <w:color w:val="auto"/>
        </w:rPr>
        <w:t>strategic thinking acumen and a willingness to share ideas;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305" w:lineRule="exact"/>
        <w:rPr>
          <w:sz w:val="20"/>
          <w:szCs w:val="20"/>
          <w:color w:val="auto"/>
        </w:rPr>
      </w:pPr>
    </w:p>
    <w:p>
      <w:pPr>
        <w:ind w:left="660" w:hanging="261"/>
        <w:spacing w:after="0"/>
        <w:tabs>
          <w:tab w:leader="none" w:pos="66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8"/>
          <w:szCs w:val="18"/>
          <w:color w:val="auto"/>
        </w:rPr>
        <w:t>a diversity of experiences, expertise and backgrounds, including racial, ethnic and gender diversity; and</w:t>
      </w:r>
    </w:p>
    <w:p>
      <w:pPr>
        <w:spacing w:after="0" w:line="49" w:lineRule="exact"/>
        <w:rPr>
          <w:rFonts w:ascii="Times New Roman" w:cs="Times New Roman" w:eastAsia="Times New Roman" w:hAnsi="Times New Roman"/>
          <w:sz w:val="16"/>
          <w:szCs w:val="16"/>
          <w:color w:val="auto"/>
        </w:rPr>
      </w:pPr>
    </w:p>
    <w:p>
      <w:pPr>
        <w:ind w:left="660" w:hanging="261"/>
        <w:spacing w:after="0"/>
        <w:tabs>
          <w:tab w:leader="none" w:pos="66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8"/>
          <w:szCs w:val="18"/>
          <w:color w:val="auto"/>
        </w:rPr>
        <w:t>the ability to represent the interests of all of our shareholders.</w:t>
      </w:r>
    </w:p>
    <w:p>
      <w:pPr>
        <w:spacing w:after="0" w:line="104" w:lineRule="exact"/>
        <w:rPr>
          <w:sz w:val="20"/>
          <w:szCs w:val="20"/>
          <w:color w:val="auto"/>
        </w:rPr>
      </w:pPr>
    </w:p>
    <w:p>
      <w:pPr>
        <w:ind w:right="480" w:firstLine="401"/>
        <w:spacing w:after="0" w:line="271" w:lineRule="auto"/>
        <w:rPr>
          <w:sz w:val="20"/>
          <w:szCs w:val="20"/>
          <w:color w:val="auto"/>
        </w:rPr>
      </w:pPr>
      <w:r>
        <w:rPr>
          <w:rFonts w:ascii="Arial" w:cs="Arial" w:eastAsia="Arial" w:hAnsi="Arial"/>
          <w:sz w:val="18"/>
          <w:szCs w:val="18"/>
          <w:color w:val="auto"/>
        </w:rPr>
        <w:t>All of our director nominees and continuing directors bring to our Board a wealth of executive leadership experience. The following charts summarize the key experience, qualifications and demographics of each director nominee and continuing director.</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472"/>
        </w:trPr>
        <w:tc>
          <w:tcPr>
            <w:tcW w:w="2480" w:type="dxa"/>
            <w:vAlign w:val="bottom"/>
            <w:shd w:val="clear" w:color="auto" w:fill="C00000"/>
          </w:tcPr>
          <w:p>
            <w:pPr>
              <w:spacing w:after="0"/>
              <w:rPr>
                <w:sz w:val="24"/>
                <w:szCs w:val="24"/>
                <w:color w:val="auto"/>
              </w:rPr>
            </w:pPr>
          </w:p>
        </w:tc>
        <w:tc>
          <w:tcPr>
            <w:tcW w:w="780" w:type="dxa"/>
            <w:vAlign w:val="bottom"/>
            <w:vMerge w:val="restart"/>
            <w:shd w:val="clear" w:color="auto" w:fill="C00000"/>
          </w:tcPr>
          <w:p>
            <w:pPr>
              <w:ind w:left="200"/>
              <w:spacing w:after="0"/>
              <w:rPr>
                <w:sz w:val="20"/>
                <w:szCs w:val="20"/>
                <w:color w:val="auto"/>
              </w:rPr>
            </w:pPr>
            <w:r>
              <w:rPr>
                <w:rFonts w:ascii="Arial" w:cs="Arial" w:eastAsia="Arial" w:hAnsi="Arial"/>
                <w:sz w:val="16"/>
                <w:szCs w:val="16"/>
                <w:b w:val="1"/>
                <w:bCs w:val="1"/>
                <w:color w:val="FFFFFF"/>
              </w:rPr>
              <w:t>Janet</w:t>
            </w:r>
          </w:p>
        </w:tc>
        <w:tc>
          <w:tcPr>
            <w:tcW w:w="560" w:type="dxa"/>
            <w:vAlign w:val="bottom"/>
            <w:vMerge w:val="restart"/>
            <w:shd w:val="clear" w:color="auto" w:fill="C00000"/>
          </w:tcPr>
          <w:p>
            <w:pPr>
              <w:jc w:val="center"/>
              <w:spacing w:after="0"/>
              <w:rPr>
                <w:sz w:val="20"/>
                <w:szCs w:val="20"/>
                <w:color w:val="auto"/>
              </w:rPr>
            </w:pPr>
            <w:r>
              <w:rPr>
                <w:rFonts w:ascii="Arial" w:cs="Arial" w:eastAsia="Arial" w:hAnsi="Arial"/>
                <w:sz w:val="16"/>
                <w:szCs w:val="16"/>
                <w:b w:val="1"/>
                <w:bCs w:val="1"/>
                <w:color w:val="FFFFFF"/>
              </w:rPr>
              <w:t>Gary</w:t>
            </w:r>
          </w:p>
        </w:tc>
        <w:tc>
          <w:tcPr>
            <w:tcW w:w="780" w:type="dxa"/>
            <w:vAlign w:val="bottom"/>
            <w:vMerge w:val="restart"/>
            <w:shd w:val="clear" w:color="auto" w:fill="C00000"/>
          </w:tcPr>
          <w:p>
            <w:pPr>
              <w:ind w:left="140"/>
              <w:spacing w:after="0"/>
              <w:rPr>
                <w:sz w:val="20"/>
                <w:szCs w:val="20"/>
                <w:color w:val="auto"/>
              </w:rPr>
            </w:pPr>
            <w:r>
              <w:rPr>
                <w:rFonts w:ascii="Arial" w:cs="Arial" w:eastAsia="Arial" w:hAnsi="Arial"/>
                <w:sz w:val="16"/>
                <w:szCs w:val="16"/>
                <w:b w:val="1"/>
                <w:bCs w:val="1"/>
                <w:color w:val="FFFFFF"/>
              </w:rPr>
              <w:t>Jeffrey</w:t>
            </w:r>
          </w:p>
        </w:tc>
        <w:tc>
          <w:tcPr>
            <w:tcW w:w="800" w:type="dxa"/>
            <w:vAlign w:val="bottom"/>
            <w:vMerge w:val="restart"/>
            <w:shd w:val="clear" w:color="auto" w:fill="C00000"/>
          </w:tcPr>
          <w:p>
            <w:pPr>
              <w:ind w:left="260"/>
              <w:spacing w:after="0"/>
              <w:rPr>
                <w:sz w:val="20"/>
                <w:szCs w:val="20"/>
                <w:color w:val="auto"/>
              </w:rPr>
            </w:pPr>
            <w:r>
              <w:rPr>
                <w:rFonts w:ascii="Arial" w:cs="Arial" w:eastAsia="Arial" w:hAnsi="Arial"/>
                <w:sz w:val="16"/>
                <w:szCs w:val="16"/>
                <w:b w:val="1"/>
                <w:bCs w:val="1"/>
                <w:color w:val="FFFFFF"/>
              </w:rPr>
              <w:t>Eric</w:t>
            </w:r>
          </w:p>
        </w:tc>
        <w:tc>
          <w:tcPr>
            <w:tcW w:w="980" w:type="dxa"/>
            <w:vAlign w:val="bottom"/>
            <w:vMerge w:val="restart"/>
            <w:shd w:val="clear" w:color="auto" w:fill="C00000"/>
          </w:tcPr>
          <w:p>
            <w:pPr>
              <w:ind w:left="220"/>
              <w:spacing w:after="0"/>
              <w:rPr>
                <w:sz w:val="20"/>
                <w:szCs w:val="20"/>
                <w:color w:val="auto"/>
              </w:rPr>
            </w:pPr>
            <w:r>
              <w:rPr>
                <w:rFonts w:ascii="Arial" w:cs="Arial" w:eastAsia="Arial" w:hAnsi="Arial"/>
                <w:sz w:val="16"/>
                <w:szCs w:val="16"/>
                <w:b w:val="1"/>
                <w:bCs w:val="1"/>
                <w:color w:val="FFFFFF"/>
              </w:rPr>
              <w:t>Jeffrey</w:t>
            </w:r>
          </w:p>
        </w:tc>
        <w:tc>
          <w:tcPr>
            <w:tcW w:w="860" w:type="dxa"/>
            <w:vAlign w:val="bottom"/>
            <w:shd w:val="clear" w:color="auto" w:fill="C00000"/>
          </w:tcPr>
          <w:p>
            <w:pPr>
              <w:jc w:val="center"/>
              <w:spacing w:after="0"/>
              <w:rPr>
                <w:sz w:val="20"/>
                <w:szCs w:val="20"/>
                <w:color w:val="auto"/>
              </w:rPr>
            </w:pPr>
            <w:r>
              <w:rPr>
                <w:rFonts w:ascii="Arial" w:cs="Arial" w:eastAsia="Arial" w:hAnsi="Arial"/>
                <w:sz w:val="16"/>
                <w:szCs w:val="16"/>
                <w:b w:val="1"/>
                <w:bCs w:val="1"/>
                <w:color w:val="FFFFFF"/>
                <w:w w:val="99"/>
              </w:rPr>
              <w:t>D.</w:t>
            </w:r>
          </w:p>
        </w:tc>
        <w:tc>
          <w:tcPr>
            <w:tcW w:w="680" w:type="dxa"/>
            <w:vAlign w:val="bottom"/>
            <w:vMerge w:val="restart"/>
            <w:shd w:val="clear" w:color="auto" w:fill="C00000"/>
          </w:tcPr>
          <w:p>
            <w:pPr>
              <w:ind w:left="100"/>
              <w:spacing w:after="0"/>
              <w:rPr>
                <w:sz w:val="20"/>
                <w:szCs w:val="20"/>
                <w:color w:val="auto"/>
              </w:rPr>
            </w:pPr>
            <w:r>
              <w:rPr>
                <w:rFonts w:ascii="Arial" w:cs="Arial" w:eastAsia="Arial" w:hAnsi="Arial"/>
                <w:sz w:val="16"/>
                <w:szCs w:val="16"/>
                <w:b w:val="1"/>
                <w:bCs w:val="1"/>
                <w:color w:val="FFFFFF"/>
              </w:rPr>
              <w:t>Joyce</w:t>
            </w:r>
          </w:p>
        </w:tc>
        <w:tc>
          <w:tcPr>
            <w:tcW w:w="760" w:type="dxa"/>
            <w:vAlign w:val="bottom"/>
            <w:vMerge w:val="restart"/>
            <w:shd w:val="clear" w:color="auto" w:fill="C00000"/>
          </w:tcPr>
          <w:p>
            <w:pPr>
              <w:ind w:left="80"/>
              <w:spacing w:after="0"/>
              <w:rPr>
                <w:sz w:val="20"/>
                <w:szCs w:val="20"/>
                <w:color w:val="auto"/>
              </w:rPr>
            </w:pPr>
            <w:r>
              <w:rPr>
                <w:rFonts w:ascii="Arial" w:cs="Arial" w:eastAsia="Arial" w:hAnsi="Arial"/>
                <w:sz w:val="16"/>
                <w:szCs w:val="16"/>
                <w:b w:val="1"/>
                <w:bCs w:val="1"/>
                <w:color w:val="FFFFFF"/>
              </w:rPr>
              <w:t>Richard</w:t>
            </w:r>
          </w:p>
        </w:tc>
        <w:tc>
          <w:tcPr>
            <w:tcW w:w="880" w:type="dxa"/>
            <w:vAlign w:val="bottom"/>
            <w:vMerge w:val="restart"/>
            <w:shd w:val="clear" w:color="auto" w:fill="C00000"/>
          </w:tcPr>
          <w:p>
            <w:pPr>
              <w:ind w:left="200"/>
              <w:spacing w:after="0"/>
              <w:rPr>
                <w:sz w:val="20"/>
                <w:szCs w:val="20"/>
                <w:color w:val="auto"/>
              </w:rPr>
            </w:pPr>
            <w:r>
              <w:rPr>
                <w:rFonts w:ascii="Arial" w:cs="Arial" w:eastAsia="Arial" w:hAnsi="Arial"/>
                <w:sz w:val="16"/>
                <w:szCs w:val="16"/>
                <w:b w:val="1"/>
                <w:bCs w:val="1"/>
                <w:color w:val="FFFFFF"/>
              </w:rPr>
              <w:t>James</w:t>
            </w:r>
          </w:p>
        </w:tc>
        <w:tc>
          <w:tcPr>
            <w:tcW w:w="980" w:type="dxa"/>
            <w:vAlign w:val="bottom"/>
            <w:vMerge w:val="restart"/>
            <w:shd w:val="clear" w:color="auto" w:fill="C00000"/>
          </w:tcPr>
          <w:p>
            <w:pPr>
              <w:ind w:left="380"/>
              <w:spacing w:after="0"/>
              <w:rPr>
                <w:sz w:val="20"/>
                <w:szCs w:val="20"/>
                <w:color w:val="auto"/>
              </w:rPr>
            </w:pPr>
            <w:r>
              <w:rPr>
                <w:rFonts w:ascii="Arial" w:cs="Arial" w:eastAsia="Arial" w:hAnsi="Arial"/>
                <w:sz w:val="16"/>
                <w:szCs w:val="16"/>
                <w:b w:val="1"/>
                <w:bCs w:val="1"/>
                <w:color w:val="FFFFFF"/>
              </w:rPr>
              <w:t>Jill</w:t>
            </w:r>
          </w:p>
        </w:tc>
        <w:tc>
          <w:tcPr>
            <w:tcW w:w="700" w:type="dxa"/>
            <w:vAlign w:val="bottom"/>
            <w:vMerge w:val="restart"/>
            <w:shd w:val="clear" w:color="auto" w:fill="C00000"/>
          </w:tcPr>
          <w:p>
            <w:pPr>
              <w:ind w:left="80"/>
              <w:spacing w:after="0"/>
              <w:rPr>
                <w:sz w:val="20"/>
                <w:szCs w:val="20"/>
                <w:color w:val="auto"/>
              </w:rPr>
            </w:pPr>
            <w:r>
              <w:rPr>
                <w:rFonts w:ascii="Arial" w:cs="Arial" w:eastAsia="Arial" w:hAnsi="Arial"/>
                <w:sz w:val="16"/>
                <w:szCs w:val="16"/>
                <w:b w:val="1"/>
                <w:bCs w:val="1"/>
                <w:color w:val="FFFFFF"/>
              </w:rPr>
              <w:t>Michael</w:t>
            </w:r>
          </w:p>
        </w:tc>
        <w:tc>
          <w:tcPr>
            <w:tcW w:w="0" w:type="dxa"/>
            <w:vAlign w:val="bottom"/>
          </w:tcPr>
          <w:p>
            <w:pPr>
              <w:spacing w:after="0"/>
              <w:rPr>
                <w:sz w:val="1"/>
                <w:szCs w:val="1"/>
                <w:color w:val="auto"/>
              </w:rPr>
            </w:pPr>
          </w:p>
        </w:tc>
      </w:tr>
      <w:tr>
        <w:trPr>
          <w:trHeight w:val="94"/>
        </w:trPr>
        <w:tc>
          <w:tcPr>
            <w:tcW w:w="2480" w:type="dxa"/>
            <w:vAlign w:val="bottom"/>
            <w:shd w:val="clear" w:color="auto" w:fill="C00000"/>
          </w:tcPr>
          <w:p>
            <w:pPr>
              <w:spacing w:after="0"/>
              <w:rPr>
                <w:sz w:val="8"/>
                <w:szCs w:val="8"/>
                <w:color w:val="auto"/>
              </w:rPr>
            </w:pPr>
          </w:p>
        </w:tc>
        <w:tc>
          <w:tcPr>
            <w:tcW w:w="780" w:type="dxa"/>
            <w:vAlign w:val="bottom"/>
            <w:vMerge w:val="continue"/>
            <w:shd w:val="clear" w:color="auto" w:fill="C00000"/>
          </w:tcPr>
          <w:p>
            <w:pPr>
              <w:spacing w:after="0"/>
              <w:rPr>
                <w:sz w:val="8"/>
                <w:szCs w:val="8"/>
                <w:color w:val="auto"/>
              </w:rPr>
            </w:pPr>
          </w:p>
        </w:tc>
        <w:tc>
          <w:tcPr>
            <w:tcW w:w="560" w:type="dxa"/>
            <w:vAlign w:val="bottom"/>
            <w:vMerge w:val="continue"/>
            <w:shd w:val="clear" w:color="auto" w:fill="C00000"/>
          </w:tcPr>
          <w:p>
            <w:pPr>
              <w:spacing w:after="0"/>
              <w:rPr>
                <w:sz w:val="8"/>
                <w:szCs w:val="8"/>
                <w:color w:val="auto"/>
              </w:rPr>
            </w:pPr>
          </w:p>
        </w:tc>
        <w:tc>
          <w:tcPr>
            <w:tcW w:w="780" w:type="dxa"/>
            <w:vAlign w:val="bottom"/>
            <w:vMerge w:val="continue"/>
            <w:shd w:val="clear" w:color="auto" w:fill="C00000"/>
          </w:tcPr>
          <w:p>
            <w:pPr>
              <w:spacing w:after="0"/>
              <w:rPr>
                <w:sz w:val="8"/>
                <w:szCs w:val="8"/>
                <w:color w:val="auto"/>
              </w:rPr>
            </w:pPr>
          </w:p>
        </w:tc>
        <w:tc>
          <w:tcPr>
            <w:tcW w:w="800" w:type="dxa"/>
            <w:vAlign w:val="bottom"/>
            <w:vMerge w:val="continue"/>
            <w:shd w:val="clear" w:color="auto" w:fill="C00000"/>
          </w:tcPr>
          <w:p>
            <w:pPr>
              <w:spacing w:after="0"/>
              <w:rPr>
                <w:sz w:val="8"/>
                <w:szCs w:val="8"/>
                <w:color w:val="auto"/>
              </w:rPr>
            </w:pPr>
          </w:p>
        </w:tc>
        <w:tc>
          <w:tcPr>
            <w:tcW w:w="980" w:type="dxa"/>
            <w:vAlign w:val="bottom"/>
            <w:vMerge w:val="continue"/>
            <w:shd w:val="clear" w:color="auto" w:fill="C00000"/>
          </w:tcPr>
          <w:p>
            <w:pPr>
              <w:spacing w:after="0"/>
              <w:rPr>
                <w:sz w:val="8"/>
                <w:szCs w:val="8"/>
                <w:color w:val="auto"/>
              </w:rPr>
            </w:pPr>
          </w:p>
        </w:tc>
        <w:tc>
          <w:tcPr>
            <w:tcW w:w="860" w:type="dxa"/>
            <w:vAlign w:val="bottom"/>
            <w:vMerge w:val="restart"/>
            <w:shd w:val="clear" w:color="auto" w:fill="C00000"/>
          </w:tcPr>
          <w:p>
            <w:pPr>
              <w:jc w:val="center"/>
              <w:spacing w:after="0"/>
              <w:rPr>
                <w:sz w:val="20"/>
                <w:szCs w:val="20"/>
                <w:color w:val="auto"/>
              </w:rPr>
            </w:pPr>
            <w:r>
              <w:rPr>
                <w:rFonts w:ascii="Arial" w:cs="Arial" w:eastAsia="Arial" w:hAnsi="Arial"/>
                <w:sz w:val="16"/>
                <w:szCs w:val="16"/>
                <w:b w:val="1"/>
                <w:bCs w:val="1"/>
                <w:color w:val="FFFFFF"/>
              </w:rPr>
              <w:t>Christian</w:t>
            </w:r>
          </w:p>
        </w:tc>
        <w:tc>
          <w:tcPr>
            <w:tcW w:w="680" w:type="dxa"/>
            <w:vAlign w:val="bottom"/>
            <w:vMerge w:val="continue"/>
            <w:shd w:val="clear" w:color="auto" w:fill="C00000"/>
          </w:tcPr>
          <w:p>
            <w:pPr>
              <w:spacing w:after="0"/>
              <w:rPr>
                <w:sz w:val="8"/>
                <w:szCs w:val="8"/>
                <w:color w:val="auto"/>
              </w:rPr>
            </w:pPr>
          </w:p>
        </w:tc>
        <w:tc>
          <w:tcPr>
            <w:tcW w:w="760" w:type="dxa"/>
            <w:vAlign w:val="bottom"/>
            <w:vMerge w:val="continue"/>
            <w:shd w:val="clear" w:color="auto" w:fill="C00000"/>
          </w:tcPr>
          <w:p>
            <w:pPr>
              <w:spacing w:after="0"/>
              <w:rPr>
                <w:sz w:val="8"/>
                <w:szCs w:val="8"/>
                <w:color w:val="auto"/>
              </w:rPr>
            </w:pPr>
          </w:p>
        </w:tc>
        <w:tc>
          <w:tcPr>
            <w:tcW w:w="880" w:type="dxa"/>
            <w:vAlign w:val="bottom"/>
            <w:vMerge w:val="continue"/>
            <w:shd w:val="clear" w:color="auto" w:fill="C00000"/>
          </w:tcPr>
          <w:p>
            <w:pPr>
              <w:spacing w:after="0"/>
              <w:rPr>
                <w:sz w:val="8"/>
                <w:szCs w:val="8"/>
                <w:color w:val="auto"/>
              </w:rPr>
            </w:pPr>
          </w:p>
        </w:tc>
        <w:tc>
          <w:tcPr>
            <w:tcW w:w="980" w:type="dxa"/>
            <w:vAlign w:val="bottom"/>
            <w:vMerge w:val="continue"/>
            <w:shd w:val="clear" w:color="auto" w:fill="C00000"/>
          </w:tcPr>
          <w:p>
            <w:pPr>
              <w:spacing w:after="0"/>
              <w:rPr>
                <w:sz w:val="8"/>
                <w:szCs w:val="8"/>
                <w:color w:val="auto"/>
              </w:rPr>
            </w:pPr>
          </w:p>
        </w:tc>
        <w:tc>
          <w:tcPr>
            <w:tcW w:w="700" w:type="dxa"/>
            <w:vAlign w:val="bottom"/>
            <w:vMerge w:val="continue"/>
            <w:shd w:val="clear" w:color="auto" w:fill="C00000"/>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480" w:type="dxa"/>
            <w:vAlign w:val="bottom"/>
            <w:shd w:val="clear" w:color="auto" w:fill="C00000"/>
          </w:tcPr>
          <w:p>
            <w:pPr>
              <w:spacing w:after="0"/>
              <w:rPr>
                <w:sz w:val="14"/>
                <w:szCs w:val="14"/>
                <w:color w:val="auto"/>
              </w:rPr>
            </w:pPr>
          </w:p>
        </w:tc>
        <w:tc>
          <w:tcPr>
            <w:tcW w:w="780" w:type="dxa"/>
            <w:vAlign w:val="bottom"/>
            <w:shd w:val="clear" w:color="auto" w:fill="C00000"/>
          </w:tcPr>
          <w:p>
            <w:pPr>
              <w:ind w:left="120"/>
              <w:spacing w:after="0" w:line="163" w:lineRule="exact"/>
              <w:rPr>
                <w:sz w:val="20"/>
                <w:szCs w:val="20"/>
                <w:color w:val="auto"/>
              </w:rPr>
            </w:pPr>
            <w:r>
              <w:rPr>
                <w:rFonts w:ascii="Arial" w:cs="Arial" w:eastAsia="Arial" w:hAnsi="Arial"/>
                <w:sz w:val="16"/>
                <w:szCs w:val="16"/>
                <w:b w:val="1"/>
                <w:bCs w:val="1"/>
                <w:color w:val="FFFFFF"/>
              </w:rPr>
              <w:t>Cooper</w:t>
            </w:r>
          </w:p>
        </w:tc>
        <w:tc>
          <w:tcPr>
            <w:tcW w:w="560" w:type="dxa"/>
            <w:vAlign w:val="bottom"/>
            <w:shd w:val="clear" w:color="auto" w:fill="C00000"/>
          </w:tcPr>
          <w:p>
            <w:pPr>
              <w:jc w:val="center"/>
              <w:spacing w:after="0" w:line="163" w:lineRule="exact"/>
              <w:rPr>
                <w:sz w:val="20"/>
                <w:szCs w:val="20"/>
                <w:color w:val="auto"/>
              </w:rPr>
            </w:pPr>
            <w:r>
              <w:rPr>
                <w:rFonts w:ascii="Arial" w:cs="Arial" w:eastAsia="Arial" w:hAnsi="Arial"/>
                <w:sz w:val="16"/>
                <w:szCs w:val="16"/>
                <w:b w:val="1"/>
                <w:bCs w:val="1"/>
                <w:color w:val="FFFFFF"/>
              </w:rPr>
              <w:t>Ellis</w:t>
            </w:r>
          </w:p>
        </w:tc>
        <w:tc>
          <w:tcPr>
            <w:tcW w:w="780" w:type="dxa"/>
            <w:vAlign w:val="bottom"/>
            <w:shd w:val="clear" w:color="auto" w:fill="C00000"/>
          </w:tcPr>
          <w:p>
            <w:pPr>
              <w:ind w:left="120"/>
              <w:spacing w:after="0" w:line="163" w:lineRule="exact"/>
              <w:rPr>
                <w:sz w:val="20"/>
                <w:szCs w:val="20"/>
                <w:color w:val="auto"/>
              </w:rPr>
            </w:pPr>
            <w:r>
              <w:rPr>
                <w:rFonts w:ascii="Arial" w:cs="Arial" w:eastAsia="Arial" w:hAnsi="Arial"/>
                <w:sz w:val="16"/>
                <w:szCs w:val="16"/>
                <w:b w:val="1"/>
                <w:bCs w:val="1"/>
                <w:color w:val="FFFFFF"/>
              </w:rPr>
              <w:t>Ettinger</w:t>
            </w:r>
          </w:p>
        </w:tc>
        <w:tc>
          <w:tcPr>
            <w:tcW w:w="1780" w:type="dxa"/>
            <w:vAlign w:val="bottom"/>
            <w:gridSpan w:val="2"/>
            <w:shd w:val="clear" w:color="auto" w:fill="C00000"/>
          </w:tcPr>
          <w:p>
            <w:pPr>
              <w:ind w:left="80"/>
              <w:spacing w:after="0" w:line="163" w:lineRule="exact"/>
              <w:rPr>
                <w:sz w:val="20"/>
                <w:szCs w:val="20"/>
                <w:color w:val="auto"/>
              </w:rPr>
            </w:pPr>
            <w:r>
              <w:rPr>
                <w:rFonts w:ascii="Arial" w:cs="Arial" w:eastAsia="Arial" w:hAnsi="Arial"/>
                <w:sz w:val="16"/>
                <w:szCs w:val="16"/>
                <w:b w:val="1"/>
                <w:bCs w:val="1"/>
                <w:color w:val="FFFFFF"/>
              </w:rPr>
              <w:t>Hansotia Harmening</w:t>
            </w:r>
          </w:p>
        </w:tc>
        <w:tc>
          <w:tcPr>
            <w:tcW w:w="860" w:type="dxa"/>
            <w:vAlign w:val="bottom"/>
            <w:vMerge w:val="continue"/>
            <w:shd w:val="clear" w:color="auto" w:fill="C00000"/>
          </w:tcPr>
          <w:p>
            <w:pPr>
              <w:spacing w:after="0"/>
              <w:rPr>
                <w:sz w:val="14"/>
                <w:szCs w:val="14"/>
                <w:color w:val="auto"/>
              </w:rPr>
            </w:pPr>
          </w:p>
        </w:tc>
        <w:tc>
          <w:tcPr>
            <w:tcW w:w="680" w:type="dxa"/>
            <w:vAlign w:val="bottom"/>
            <w:shd w:val="clear" w:color="auto" w:fill="C00000"/>
          </w:tcPr>
          <w:p>
            <w:pPr>
              <w:ind w:left="80"/>
              <w:spacing w:after="0" w:line="163" w:lineRule="exact"/>
              <w:rPr>
                <w:sz w:val="20"/>
                <w:szCs w:val="20"/>
                <w:color w:val="auto"/>
              </w:rPr>
            </w:pPr>
            <w:r>
              <w:rPr>
                <w:rFonts w:ascii="Arial" w:cs="Arial" w:eastAsia="Arial" w:hAnsi="Arial"/>
                <w:sz w:val="16"/>
                <w:szCs w:val="16"/>
                <w:b w:val="1"/>
                <w:bCs w:val="1"/>
                <w:color w:val="FFFFFF"/>
              </w:rPr>
              <w:t>Mullen</w:t>
            </w:r>
          </w:p>
        </w:tc>
        <w:tc>
          <w:tcPr>
            <w:tcW w:w="760" w:type="dxa"/>
            <w:vAlign w:val="bottom"/>
            <w:shd w:val="clear" w:color="auto" w:fill="C00000"/>
          </w:tcPr>
          <w:p>
            <w:pPr>
              <w:ind w:left="140"/>
              <w:spacing w:after="0" w:line="163" w:lineRule="exact"/>
              <w:rPr>
                <w:sz w:val="20"/>
                <w:szCs w:val="20"/>
                <w:color w:val="auto"/>
              </w:rPr>
            </w:pPr>
            <w:r>
              <w:rPr>
                <w:rFonts w:ascii="Arial" w:cs="Arial" w:eastAsia="Arial" w:hAnsi="Arial"/>
                <w:sz w:val="16"/>
                <w:szCs w:val="16"/>
                <w:b w:val="1"/>
                <w:bCs w:val="1"/>
                <w:color w:val="FFFFFF"/>
              </w:rPr>
              <w:t>Olson</w:t>
            </w:r>
          </w:p>
        </w:tc>
        <w:tc>
          <w:tcPr>
            <w:tcW w:w="880" w:type="dxa"/>
            <w:vAlign w:val="bottom"/>
            <w:shd w:val="clear" w:color="auto" w:fill="C00000"/>
          </w:tcPr>
          <w:p>
            <w:pPr>
              <w:ind w:left="80"/>
              <w:spacing w:after="0" w:line="163" w:lineRule="exact"/>
              <w:rPr>
                <w:sz w:val="20"/>
                <w:szCs w:val="20"/>
                <w:color w:val="auto"/>
              </w:rPr>
            </w:pPr>
            <w:r>
              <w:rPr>
                <w:rFonts w:ascii="Arial" w:cs="Arial" w:eastAsia="Arial" w:hAnsi="Arial"/>
                <w:sz w:val="16"/>
                <w:szCs w:val="16"/>
                <w:b w:val="1"/>
                <w:bCs w:val="1"/>
                <w:color w:val="FFFFFF"/>
              </w:rPr>
              <w:t>O'Rourke</w:t>
            </w:r>
          </w:p>
        </w:tc>
        <w:tc>
          <w:tcPr>
            <w:tcW w:w="980" w:type="dxa"/>
            <w:vAlign w:val="bottom"/>
            <w:shd w:val="clear" w:color="auto" w:fill="C00000"/>
          </w:tcPr>
          <w:p>
            <w:pPr>
              <w:ind w:left="60"/>
              <w:spacing w:after="0" w:line="163" w:lineRule="exact"/>
              <w:rPr>
                <w:sz w:val="20"/>
                <w:szCs w:val="20"/>
                <w:color w:val="auto"/>
              </w:rPr>
            </w:pPr>
            <w:r>
              <w:rPr>
                <w:rFonts w:ascii="Arial" w:cs="Arial" w:eastAsia="Arial" w:hAnsi="Arial"/>
                <w:sz w:val="16"/>
                <w:szCs w:val="16"/>
                <w:b w:val="1"/>
                <w:bCs w:val="1"/>
                <w:color w:val="FFFFFF"/>
              </w:rPr>
              <w:t>Pemberton</w:t>
            </w:r>
          </w:p>
        </w:tc>
        <w:tc>
          <w:tcPr>
            <w:tcW w:w="700" w:type="dxa"/>
            <w:vAlign w:val="bottom"/>
            <w:shd w:val="clear" w:color="auto" w:fill="C00000"/>
          </w:tcPr>
          <w:p>
            <w:pPr>
              <w:ind w:left="200"/>
              <w:spacing w:after="0" w:line="163" w:lineRule="exact"/>
              <w:rPr>
                <w:sz w:val="20"/>
                <w:szCs w:val="20"/>
                <w:color w:val="auto"/>
              </w:rPr>
            </w:pPr>
            <w:r>
              <w:rPr>
                <w:rFonts w:ascii="Arial" w:cs="Arial" w:eastAsia="Arial" w:hAnsi="Arial"/>
                <w:sz w:val="16"/>
                <w:szCs w:val="16"/>
                <w:b w:val="1"/>
                <w:bCs w:val="1"/>
                <w:color w:val="FFFFFF"/>
              </w:rPr>
              <w:t>Vale</w:t>
            </w:r>
          </w:p>
        </w:tc>
        <w:tc>
          <w:tcPr>
            <w:tcW w:w="0" w:type="dxa"/>
            <w:vAlign w:val="bottom"/>
          </w:tcPr>
          <w:p>
            <w:pPr>
              <w:spacing w:after="0"/>
              <w:rPr>
                <w:sz w:val="1"/>
                <w:szCs w:val="1"/>
                <w:color w:val="auto"/>
              </w:rPr>
            </w:pPr>
          </w:p>
        </w:tc>
      </w:tr>
      <w:tr>
        <w:trPr>
          <w:trHeight w:val="203"/>
        </w:trPr>
        <w:tc>
          <w:tcPr>
            <w:tcW w:w="2480" w:type="dxa"/>
            <w:vAlign w:val="bottom"/>
            <w:vMerge w:val="restart"/>
            <w:shd w:val="clear" w:color="auto" w:fill="C00000"/>
          </w:tcPr>
          <w:p>
            <w:pPr>
              <w:ind w:left="40"/>
              <w:spacing w:after="0"/>
              <w:rPr>
                <w:sz w:val="20"/>
                <w:szCs w:val="20"/>
                <w:color w:val="auto"/>
              </w:rPr>
            </w:pPr>
            <w:r>
              <w:rPr>
                <w:rFonts w:ascii="Arial" w:cs="Arial" w:eastAsia="Arial" w:hAnsi="Arial"/>
                <w:sz w:val="16"/>
                <w:szCs w:val="16"/>
                <w:b w:val="1"/>
                <w:bCs w:val="1"/>
                <w:color w:val="FFFFFF"/>
              </w:rPr>
              <w:t>Experience as an Executive</w:t>
            </w:r>
          </w:p>
        </w:tc>
        <w:tc>
          <w:tcPr>
            <w:tcW w:w="780" w:type="dxa"/>
            <w:vAlign w:val="bottom"/>
            <w:shd w:val="clear" w:color="auto" w:fill="C00000"/>
          </w:tcPr>
          <w:p>
            <w:pPr>
              <w:spacing w:after="0"/>
              <w:rPr>
                <w:sz w:val="17"/>
                <w:szCs w:val="17"/>
                <w:color w:val="auto"/>
              </w:rPr>
            </w:pPr>
          </w:p>
        </w:tc>
        <w:tc>
          <w:tcPr>
            <w:tcW w:w="560" w:type="dxa"/>
            <w:vAlign w:val="bottom"/>
            <w:shd w:val="clear" w:color="auto" w:fill="C00000"/>
          </w:tcPr>
          <w:p>
            <w:pPr>
              <w:spacing w:after="0"/>
              <w:rPr>
                <w:sz w:val="17"/>
                <w:szCs w:val="17"/>
                <w:color w:val="auto"/>
              </w:rPr>
            </w:pPr>
          </w:p>
        </w:tc>
        <w:tc>
          <w:tcPr>
            <w:tcW w:w="780" w:type="dxa"/>
            <w:vAlign w:val="bottom"/>
            <w:shd w:val="clear" w:color="auto" w:fill="C00000"/>
          </w:tcPr>
          <w:p>
            <w:pPr>
              <w:spacing w:after="0"/>
              <w:rPr>
                <w:sz w:val="17"/>
                <w:szCs w:val="17"/>
                <w:color w:val="auto"/>
              </w:rPr>
            </w:pPr>
          </w:p>
        </w:tc>
        <w:tc>
          <w:tcPr>
            <w:tcW w:w="800" w:type="dxa"/>
            <w:vAlign w:val="bottom"/>
            <w:shd w:val="clear" w:color="auto" w:fill="C00000"/>
          </w:tcPr>
          <w:p>
            <w:pPr>
              <w:spacing w:after="0"/>
              <w:rPr>
                <w:sz w:val="17"/>
                <w:szCs w:val="17"/>
                <w:color w:val="auto"/>
              </w:rPr>
            </w:pPr>
          </w:p>
        </w:tc>
        <w:tc>
          <w:tcPr>
            <w:tcW w:w="980" w:type="dxa"/>
            <w:vAlign w:val="bottom"/>
            <w:shd w:val="clear" w:color="auto" w:fill="C00000"/>
          </w:tcPr>
          <w:p>
            <w:pPr>
              <w:spacing w:after="0"/>
              <w:rPr>
                <w:sz w:val="17"/>
                <w:szCs w:val="17"/>
                <w:color w:val="auto"/>
              </w:rPr>
            </w:pPr>
          </w:p>
        </w:tc>
        <w:tc>
          <w:tcPr>
            <w:tcW w:w="860" w:type="dxa"/>
            <w:vAlign w:val="bottom"/>
            <w:shd w:val="clear" w:color="auto" w:fill="C00000"/>
          </w:tcPr>
          <w:p>
            <w:pPr>
              <w:jc w:val="center"/>
              <w:spacing w:after="0"/>
              <w:rPr>
                <w:sz w:val="20"/>
                <w:szCs w:val="20"/>
                <w:color w:val="auto"/>
              </w:rPr>
            </w:pPr>
            <w:r>
              <w:rPr>
                <w:rFonts w:ascii="Arial" w:cs="Arial" w:eastAsia="Arial" w:hAnsi="Arial"/>
                <w:sz w:val="16"/>
                <w:szCs w:val="16"/>
                <w:b w:val="1"/>
                <w:bCs w:val="1"/>
                <w:color w:val="FFFFFF"/>
                <w:w w:val="99"/>
              </w:rPr>
              <w:t>Koch</w:t>
            </w:r>
          </w:p>
        </w:tc>
        <w:tc>
          <w:tcPr>
            <w:tcW w:w="680" w:type="dxa"/>
            <w:vAlign w:val="bottom"/>
            <w:shd w:val="clear" w:color="auto" w:fill="C00000"/>
          </w:tcPr>
          <w:p>
            <w:pPr>
              <w:spacing w:after="0"/>
              <w:rPr>
                <w:sz w:val="17"/>
                <w:szCs w:val="17"/>
                <w:color w:val="auto"/>
              </w:rPr>
            </w:pPr>
          </w:p>
        </w:tc>
        <w:tc>
          <w:tcPr>
            <w:tcW w:w="760" w:type="dxa"/>
            <w:vAlign w:val="bottom"/>
            <w:shd w:val="clear" w:color="auto" w:fill="C00000"/>
          </w:tcPr>
          <w:p>
            <w:pPr>
              <w:spacing w:after="0"/>
              <w:rPr>
                <w:sz w:val="17"/>
                <w:szCs w:val="17"/>
                <w:color w:val="auto"/>
              </w:rPr>
            </w:pPr>
          </w:p>
        </w:tc>
        <w:tc>
          <w:tcPr>
            <w:tcW w:w="880" w:type="dxa"/>
            <w:vAlign w:val="bottom"/>
            <w:shd w:val="clear" w:color="auto" w:fill="C00000"/>
          </w:tcPr>
          <w:p>
            <w:pPr>
              <w:spacing w:after="0"/>
              <w:rPr>
                <w:sz w:val="17"/>
                <w:szCs w:val="17"/>
                <w:color w:val="auto"/>
              </w:rPr>
            </w:pPr>
          </w:p>
        </w:tc>
        <w:tc>
          <w:tcPr>
            <w:tcW w:w="980" w:type="dxa"/>
            <w:vAlign w:val="bottom"/>
            <w:shd w:val="clear" w:color="auto" w:fill="C00000"/>
          </w:tcPr>
          <w:p>
            <w:pPr>
              <w:spacing w:after="0"/>
              <w:rPr>
                <w:sz w:val="17"/>
                <w:szCs w:val="17"/>
                <w:color w:val="auto"/>
              </w:rPr>
            </w:pPr>
          </w:p>
        </w:tc>
        <w:tc>
          <w:tcPr>
            <w:tcW w:w="700" w:type="dxa"/>
            <w:vAlign w:val="bottom"/>
            <w:shd w:val="clear" w:color="auto" w:fill="C00000"/>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480" w:type="dxa"/>
            <w:vAlign w:val="bottom"/>
            <w:vMerge w:val="continue"/>
            <w:shd w:val="clear" w:color="auto" w:fill="C00000"/>
          </w:tcPr>
          <w:p>
            <w:pPr>
              <w:spacing w:after="0"/>
              <w:rPr>
                <w:sz w:val="2"/>
                <w:szCs w:val="2"/>
                <w:color w:val="auto"/>
              </w:rPr>
            </w:pPr>
          </w:p>
        </w:tc>
        <w:tc>
          <w:tcPr>
            <w:tcW w:w="780" w:type="dxa"/>
            <w:vAlign w:val="bottom"/>
            <w:shd w:val="clear" w:color="auto" w:fill="C00000"/>
          </w:tcPr>
          <w:p>
            <w:pPr>
              <w:spacing w:after="0"/>
              <w:rPr>
                <w:sz w:val="2"/>
                <w:szCs w:val="2"/>
                <w:color w:val="auto"/>
              </w:rPr>
            </w:pPr>
          </w:p>
        </w:tc>
        <w:tc>
          <w:tcPr>
            <w:tcW w:w="560" w:type="dxa"/>
            <w:vAlign w:val="bottom"/>
            <w:shd w:val="clear" w:color="auto" w:fill="C00000"/>
          </w:tcPr>
          <w:p>
            <w:pPr>
              <w:spacing w:after="0"/>
              <w:rPr>
                <w:sz w:val="2"/>
                <w:szCs w:val="2"/>
                <w:color w:val="auto"/>
              </w:rPr>
            </w:pPr>
          </w:p>
        </w:tc>
        <w:tc>
          <w:tcPr>
            <w:tcW w:w="780" w:type="dxa"/>
            <w:vAlign w:val="bottom"/>
            <w:shd w:val="clear" w:color="auto" w:fill="C00000"/>
          </w:tcPr>
          <w:p>
            <w:pPr>
              <w:spacing w:after="0"/>
              <w:rPr>
                <w:sz w:val="2"/>
                <w:szCs w:val="2"/>
                <w:color w:val="auto"/>
              </w:rPr>
            </w:pPr>
          </w:p>
        </w:tc>
        <w:tc>
          <w:tcPr>
            <w:tcW w:w="800" w:type="dxa"/>
            <w:vAlign w:val="bottom"/>
            <w:shd w:val="clear" w:color="auto" w:fill="C00000"/>
          </w:tcPr>
          <w:p>
            <w:pPr>
              <w:spacing w:after="0"/>
              <w:rPr>
                <w:sz w:val="2"/>
                <w:szCs w:val="2"/>
                <w:color w:val="auto"/>
              </w:rPr>
            </w:pPr>
          </w:p>
        </w:tc>
        <w:tc>
          <w:tcPr>
            <w:tcW w:w="980" w:type="dxa"/>
            <w:vAlign w:val="bottom"/>
            <w:shd w:val="clear" w:color="auto" w:fill="C00000"/>
          </w:tcPr>
          <w:p>
            <w:pPr>
              <w:spacing w:after="0"/>
              <w:rPr>
                <w:sz w:val="2"/>
                <w:szCs w:val="2"/>
                <w:color w:val="auto"/>
              </w:rPr>
            </w:pPr>
          </w:p>
        </w:tc>
        <w:tc>
          <w:tcPr>
            <w:tcW w:w="860" w:type="dxa"/>
            <w:vAlign w:val="bottom"/>
            <w:shd w:val="clear" w:color="auto" w:fill="C00000"/>
          </w:tcPr>
          <w:p>
            <w:pPr>
              <w:spacing w:after="0"/>
              <w:rPr>
                <w:sz w:val="2"/>
                <w:szCs w:val="2"/>
                <w:color w:val="auto"/>
              </w:rPr>
            </w:pPr>
          </w:p>
        </w:tc>
        <w:tc>
          <w:tcPr>
            <w:tcW w:w="680" w:type="dxa"/>
            <w:vAlign w:val="bottom"/>
            <w:shd w:val="clear" w:color="auto" w:fill="C00000"/>
          </w:tcPr>
          <w:p>
            <w:pPr>
              <w:spacing w:after="0"/>
              <w:rPr>
                <w:sz w:val="2"/>
                <w:szCs w:val="2"/>
                <w:color w:val="auto"/>
              </w:rPr>
            </w:pPr>
          </w:p>
        </w:tc>
        <w:tc>
          <w:tcPr>
            <w:tcW w:w="760" w:type="dxa"/>
            <w:vAlign w:val="bottom"/>
            <w:shd w:val="clear" w:color="auto" w:fill="C00000"/>
          </w:tcPr>
          <w:p>
            <w:pPr>
              <w:spacing w:after="0"/>
              <w:rPr>
                <w:sz w:val="2"/>
                <w:szCs w:val="2"/>
                <w:color w:val="auto"/>
              </w:rPr>
            </w:pPr>
          </w:p>
        </w:tc>
        <w:tc>
          <w:tcPr>
            <w:tcW w:w="880" w:type="dxa"/>
            <w:vAlign w:val="bottom"/>
            <w:shd w:val="clear" w:color="auto" w:fill="C00000"/>
          </w:tcPr>
          <w:p>
            <w:pPr>
              <w:spacing w:after="0"/>
              <w:rPr>
                <w:sz w:val="2"/>
                <w:szCs w:val="2"/>
                <w:color w:val="auto"/>
              </w:rPr>
            </w:pPr>
          </w:p>
        </w:tc>
        <w:tc>
          <w:tcPr>
            <w:tcW w:w="980" w:type="dxa"/>
            <w:vAlign w:val="bottom"/>
            <w:shd w:val="clear" w:color="auto" w:fill="C00000"/>
          </w:tcPr>
          <w:p>
            <w:pPr>
              <w:spacing w:after="0"/>
              <w:rPr>
                <w:sz w:val="2"/>
                <w:szCs w:val="2"/>
                <w:color w:val="auto"/>
              </w:rPr>
            </w:pPr>
          </w:p>
        </w:tc>
        <w:tc>
          <w:tcPr>
            <w:tcW w:w="700" w:type="dxa"/>
            <w:vAlign w:val="bottom"/>
            <w:shd w:val="clear" w:color="auto" w:fill="C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480" w:type="dxa"/>
            <w:vAlign w:val="bottom"/>
            <w:shd w:val="clear" w:color="auto" w:fill="C00000"/>
          </w:tcPr>
          <w:p>
            <w:pPr>
              <w:ind w:left="40"/>
              <w:spacing w:after="0"/>
              <w:rPr>
                <w:sz w:val="20"/>
                <w:szCs w:val="20"/>
                <w:color w:val="auto"/>
              </w:rPr>
            </w:pPr>
            <w:r>
              <w:rPr>
                <w:rFonts w:ascii="Arial" w:cs="Arial" w:eastAsia="Arial" w:hAnsi="Arial"/>
                <w:sz w:val="16"/>
                <w:szCs w:val="16"/>
                <w:b w:val="1"/>
                <w:bCs w:val="1"/>
                <w:color w:val="FFFFFF"/>
              </w:rPr>
              <w:t>Leader in the Following Areas</w:t>
            </w:r>
          </w:p>
        </w:tc>
        <w:tc>
          <w:tcPr>
            <w:tcW w:w="780" w:type="dxa"/>
            <w:vAlign w:val="bottom"/>
            <w:shd w:val="clear" w:color="auto" w:fill="C00000"/>
          </w:tcPr>
          <w:p>
            <w:pPr>
              <w:spacing w:after="0"/>
              <w:rPr>
                <w:sz w:val="17"/>
                <w:szCs w:val="17"/>
                <w:color w:val="auto"/>
              </w:rPr>
            </w:pPr>
          </w:p>
        </w:tc>
        <w:tc>
          <w:tcPr>
            <w:tcW w:w="560" w:type="dxa"/>
            <w:vAlign w:val="bottom"/>
            <w:shd w:val="clear" w:color="auto" w:fill="C00000"/>
          </w:tcPr>
          <w:p>
            <w:pPr>
              <w:spacing w:after="0"/>
              <w:rPr>
                <w:sz w:val="17"/>
                <w:szCs w:val="17"/>
                <w:color w:val="auto"/>
              </w:rPr>
            </w:pPr>
          </w:p>
        </w:tc>
        <w:tc>
          <w:tcPr>
            <w:tcW w:w="780" w:type="dxa"/>
            <w:vAlign w:val="bottom"/>
            <w:shd w:val="clear" w:color="auto" w:fill="C00000"/>
          </w:tcPr>
          <w:p>
            <w:pPr>
              <w:spacing w:after="0"/>
              <w:rPr>
                <w:sz w:val="17"/>
                <w:szCs w:val="17"/>
                <w:color w:val="auto"/>
              </w:rPr>
            </w:pPr>
          </w:p>
        </w:tc>
        <w:tc>
          <w:tcPr>
            <w:tcW w:w="800" w:type="dxa"/>
            <w:vAlign w:val="bottom"/>
            <w:shd w:val="clear" w:color="auto" w:fill="C00000"/>
          </w:tcPr>
          <w:p>
            <w:pPr>
              <w:spacing w:after="0"/>
              <w:rPr>
                <w:sz w:val="17"/>
                <w:szCs w:val="17"/>
                <w:color w:val="auto"/>
              </w:rPr>
            </w:pPr>
          </w:p>
        </w:tc>
        <w:tc>
          <w:tcPr>
            <w:tcW w:w="980" w:type="dxa"/>
            <w:vAlign w:val="bottom"/>
            <w:shd w:val="clear" w:color="auto" w:fill="C00000"/>
          </w:tcPr>
          <w:p>
            <w:pPr>
              <w:spacing w:after="0"/>
              <w:rPr>
                <w:sz w:val="17"/>
                <w:szCs w:val="17"/>
                <w:color w:val="auto"/>
              </w:rPr>
            </w:pPr>
          </w:p>
        </w:tc>
        <w:tc>
          <w:tcPr>
            <w:tcW w:w="860" w:type="dxa"/>
            <w:vAlign w:val="bottom"/>
            <w:shd w:val="clear" w:color="auto" w:fill="C00000"/>
          </w:tcPr>
          <w:p>
            <w:pPr>
              <w:spacing w:after="0"/>
              <w:rPr>
                <w:sz w:val="17"/>
                <w:szCs w:val="17"/>
                <w:color w:val="auto"/>
              </w:rPr>
            </w:pPr>
          </w:p>
        </w:tc>
        <w:tc>
          <w:tcPr>
            <w:tcW w:w="680" w:type="dxa"/>
            <w:vAlign w:val="bottom"/>
            <w:shd w:val="clear" w:color="auto" w:fill="C00000"/>
          </w:tcPr>
          <w:p>
            <w:pPr>
              <w:spacing w:after="0"/>
              <w:rPr>
                <w:sz w:val="17"/>
                <w:szCs w:val="17"/>
                <w:color w:val="auto"/>
              </w:rPr>
            </w:pPr>
          </w:p>
        </w:tc>
        <w:tc>
          <w:tcPr>
            <w:tcW w:w="760" w:type="dxa"/>
            <w:vAlign w:val="bottom"/>
            <w:shd w:val="clear" w:color="auto" w:fill="C00000"/>
          </w:tcPr>
          <w:p>
            <w:pPr>
              <w:spacing w:after="0"/>
              <w:rPr>
                <w:sz w:val="17"/>
                <w:szCs w:val="17"/>
                <w:color w:val="auto"/>
              </w:rPr>
            </w:pPr>
          </w:p>
        </w:tc>
        <w:tc>
          <w:tcPr>
            <w:tcW w:w="880" w:type="dxa"/>
            <w:vAlign w:val="bottom"/>
            <w:shd w:val="clear" w:color="auto" w:fill="C00000"/>
          </w:tcPr>
          <w:p>
            <w:pPr>
              <w:spacing w:after="0"/>
              <w:rPr>
                <w:sz w:val="17"/>
                <w:szCs w:val="17"/>
                <w:color w:val="auto"/>
              </w:rPr>
            </w:pPr>
          </w:p>
        </w:tc>
        <w:tc>
          <w:tcPr>
            <w:tcW w:w="980" w:type="dxa"/>
            <w:vAlign w:val="bottom"/>
            <w:shd w:val="clear" w:color="auto" w:fill="C00000"/>
          </w:tcPr>
          <w:p>
            <w:pPr>
              <w:spacing w:after="0"/>
              <w:rPr>
                <w:sz w:val="17"/>
                <w:szCs w:val="17"/>
                <w:color w:val="auto"/>
              </w:rPr>
            </w:pPr>
          </w:p>
        </w:tc>
        <w:tc>
          <w:tcPr>
            <w:tcW w:w="700" w:type="dxa"/>
            <w:vAlign w:val="bottom"/>
            <w:shd w:val="clear" w:color="auto" w:fill="C00000"/>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2480" w:type="dxa"/>
            <w:vAlign w:val="bottom"/>
          </w:tcPr>
          <w:p>
            <w:pPr>
              <w:ind w:left="40"/>
              <w:spacing w:after="0"/>
              <w:rPr>
                <w:sz w:val="20"/>
                <w:szCs w:val="20"/>
                <w:color w:val="auto"/>
              </w:rPr>
            </w:pPr>
            <w:r>
              <w:rPr>
                <w:rFonts w:ascii="Arial" w:cs="Arial" w:eastAsia="Arial" w:hAnsi="Arial"/>
                <w:sz w:val="18"/>
                <w:szCs w:val="18"/>
                <w:color w:val="auto"/>
              </w:rPr>
              <w:t>Current/Former CEO</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9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6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7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4"/>
        </w:trPr>
        <w:tc>
          <w:tcPr>
            <w:tcW w:w="2480" w:type="dxa"/>
            <w:vAlign w:val="bottom"/>
            <w:tcBorders>
              <w:bottom w:val="single" w:sz="8" w:color="D9D9D9"/>
            </w:tcBorders>
            <w:shd w:val="clear" w:color="auto" w:fill="D9D9D9"/>
          </w:tcPr>
          <w:p>
            <w:pPr>
              <w:ind w:left="40"/>
              <w:spacing w:after="0"/>
              <w:rPr>
                <w:sz w:val="20"/>
                <w:szCs w:val="20"/>
                <w:color w:val="auto"/>
              </w:rPr>
            </w:pPr>
            <w:r>
              <w:rPr>
                <w:rFonts w:ascii="Arial" w:cs="Arial" w:eastAsia="Arial" w:hAnsi="Arial"/>
                <w:sz w:val="18"/>
                <w:szCs w:val="18"/>
                <w:color w:val="auto"/>
              </w:rPr>
              <w:t>Finance/Financial Oversight</w:t>
            </w:r>
          </w:p>
        </w:tc>
        <w:tc>
          <w:tcPr>
            <w:tcW w:w="780" w:type="dxa"/>
            <w:vAlign w:val="bottom"/>
            <w:tcBorders>
              <w:bottom w:val="single" w:sz="8" w:color="D9D9D9"/>
            </w:tcBorders>
            <w:shd w:val="clear" w:color="auto" w:fill="D9D9D9"/>
          </w:tcPr>
          <w:p>
            <w:pPr>
              <w:ind w:left="28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560" w:type="dxa"/>
            <w:vAlign w:val="bottom"/>
            <w:tcBorders>
              <w:bottom w:val="single" w:sz="8" w:color="D9D9D9"/>
            </w:tcBorders>
            <w:shd w:val="clear" w:color="auto" w:fill="D9D9D9"/>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C00000"/>
              </w:rPr>
              <w:t>✓</w:t>
            </w:r>
          </w:p>
        </w:tc>
        <w:tc>
          <w:tcPr>
            <w:tcW w:w="780" w:type="dxa"/>
            <w:vAlign w:val="bottom"/>
            <w:tcBorders>
              <w:bottom w:val="single" w:sz="8" w:color="D9D9D9"/>
            </w:tcBorders>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00" w:type="dxa"/>
            <w:vAlign w:val="bottom"/>
            <w:tcBorders>
              <w:bottom w:val="single" w:sz="8" w:color="D9D9D9"/>
            </w:tcBorders>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980" w:type="dxa"/>
            <w:vAlign w:val="bottom"/>
            <w:tcBorders>
              <w:bottom w:val="single" w:sz="8" w:color="D9D9D9"/>
            </w:tcBorders>
            <w:shd w:val="clear" w:color="auto" w:fill="D9D9D9"/>
          </w:tcPr>
          <w:p>
            <w:pPr>
              <w:ind w:left="38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60" w:type="dxa"/>
            <w:vAlign w:val="bottom"/>
            <w:tcBorders>
              <w:bottom w:val="single" w:sz="8" w:color="D9D9D9"/>
            </w:tcBorders>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680" w:type="dxa"/>
            <w:vAlign w:val="bottom"/>
            <w:tcBorders>
              <w:bottom w:val="single" w:sz="8" w:color="D9D9D9"/>
            </w:tcBorders>
            <w:shd w:val="clear" w:color="auto" w:fill="D9D9D9"/>
          </w:tcPr>
          <w:p>
            <w:pPr>
              <w:ind w:left="22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760" w:type="dxa"/>
            <w:vAlign w:val="bottom"/>
            <w:tcBorders>
              <w:bottom w:val="single" w:sz="8" w:color="D9D9D9"/>
            </w:tcBorders>
            <w:shd w:val="clear" w:color="auto" w:fill="D9D9D9"/>
          </w:tcPr>
          <w:p>
            <w:pPr>
              <w:ind w:left="26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80" w:type="dxa"/>
            <w:vAlign w:val="bottom"/>
            <w:tcBorders>
              <w:bottom w:val="single" w:sz="8" w:color="D9D9D9"/>
            </w:tcBorders>
            <w:shd w:val="clear" w:color="auto" w:fill="D9D9D9"/>
          </w:tcPr>
          <w:p>
            <w:pPr>
              <w:ind w:left="32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980" w:type="dxa"/>
            <w:vAlign w:val="bottom"/>
            <w:tcBorders>
              <w:bottom w:val="single" w:sz="8" w:color="D9D9D9"/>
            </w:tcBorders>
            <w:shd w:val="clear" w:color="auto" w:fill="D9D9D9"/>
          </w:tcPr>
          <w:p>
            <w:pPr>
              <w:ind w:left="38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700" w:type="dxa"/>
            <w:vAlign w:val="bottom"/>
            <w:tcBorders>
              <w:bottom w:val="single" w:sz="8" w:color="D9D9D9"/>
            </w:tcBorders>
            <w:shd w:val="clear" w:color="auto" w:fill="D9D9D9"/>
          </w:tcPr>
          <w:p>
            <w:pPr>
              <w:ind w:left="24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0" w:type="dxa"/>
            <w:vAlign w:val="bottom"/>
          </w:tcPr>
          <w:p>
            <w:pPr>
              <w:spacing w:after="0"/>
              <w:rPr>
                <w:sz w:val="1"/>
                <w:szCs w:val="1"/>
                <w:color w:val="auto"/>
              </w:rPr>
            </w:pPr>
          </w:p>
        </w:tc>
      </w:tr>
      <w:tr>
        <w:trPr>
          <w:trHeight w:val="184"/>
        </w:trPr>
        <w:tc>
          <w:tcPr>
            <w:tcW w:w="2480" w:type="dxa"/>
            <w:vAlign w:val="bottom"/>
          </w:tcPr>
          <w:p>
            <w:pPr>
              <w:ind w:left="40"/>
              <w:spacing w:after="0" w:line="183" w:lineRule="exact"/>
              <w:rPr>
                <w:sz w:val="20"/>
                <w:szCs w:val="20"/>
                <w:color w:val="auto"/>
              </w:rPr>
            </w:pPr>
            <w:r>
              <w:rPr>
                <w:rFonts w:ascii="Arial" w:cs="Arial" w:eastAsia="Arial" w:hAnsi="Arial"/>
                <w:sz w:val="18"/>
                <w:szCs w:val="18"/>
                <w:color w:val="auto"/>
              </w:rPr>
              <w:t>Public Company Board</w:t>
            </w:r>
          </w:p>
        </w:tc>
        <w:tc>
          <w:tcPr>
            <w:tcW w:w="780" w:type="dxa"/>
            <w:vAlign w:val="bottom"/>
            <w:vMerge w:val="restart"/>
          </w:tcPr>
          <w:p>
            <w:pPr>
              <w:ind w:left="28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5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C00000"/>
              </w:rPr>
              <w:t>✓</w:t>
            </w:r>
          </w:p>
        </w:tc>
        <w:tc>
          <w:tcPr>
            <w:tcW w:w="780" w:type="dxa"/>
            <w:vAlign w:val="bottom"/>
            <w:vMerge w:val="restart"/>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00" w:type="dxa"/>
            <w:vAlign w:val="bottom"/>
            <w:vMerge w:val="restart"/>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980" w:type="dxa"/>
            <w:vAlign w:val="bottom"/>
            <w:vMerge w:val="restart"/>
          </w:tcPr>
          <w:p>
            <w:pPr>
              <w:ind w:left="38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60" w:type="dxa"/>
            <w:vAlign w:val="bottom"/>
            <w:vMerge w:val="restart"/>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68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760" w:type="dxa"/>
            <w:vAlign w:val="bottom"/>
            <w:vMerge w:val="restart"/>
          </w:tcPr>
          <w:p>
            <w:pPr>
              <w:ind w:left="26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80" w:type="dxa"/>
            <w:vAlign w:val="bottom"/>
            <w:vMerge w:val="restart"/>
          </w:tcPr>
          <w:p>
            <w:pPr>
              <w:ind w:left="32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480" w:type="dxa"/>
            <w:vAlign w:val="bottom"/>
            <w:vMerge w:val="restart"/>
          </w:tcPr>
          <w:p>
            <w:pPr>
              <w:ind w:left="40"/>
              <w:spacing w:after="0"/>
              <w:rPr>
                <w:sz w:val="20"/>
                <w:szCs w:val="20"/>
                <w:color w:val="auto"/>
              </w:rPr>
            </w:pPr>
            <w:r>
              <w:rPr>
                <w:rFonts w:ascii="Arial" w:cs="Arial" w:eastAsia="Arial" w:hAnsi="Arial"/>
                <w:sz w:val="18"/>
                <w:szCs w:val="18"/>
                <w:color w:val="auto"/>
              </w:rPr>
              <w:t>(other than TTC)</w:t>
            </w:r>
          </w:p>
        </w:tc>
        <w:tc>
          <w:tcPr>
            <w:tcW w:w="78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4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98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480" w:type="dxa"/>
            <w:vAlign w:val="bottom"/>
            <w:shd w:val="clear" w:color="auto" w:fill="D9D9D9"/>
          </w:tcPr>
          <w:p>
            <w:pPr>
              <w:ind w:left="40"/>
              <w:spacing w:after="0" w:line="197" w:lineRule="exact"/>
              <w:rPr>
                <w:sz w:val="20"/>
                <w:szCs w:val="20"/>
                <w:color w:val="auto"/>
              </w:rPr>
            </w:pPr>
            <w:r>
              <w:rPr>
                <w:rFonts w:ascii="Arial" w:cs="Arial" w:eastAsia="Arial" w:hAnsi="Arial"/>
                <w:sz w:val="18"/>
                <w:szCs w:val="18"/>
                <w:color w:val="auto"/>
              </w:rPr>
              <w:t>Manufacturing/Supply</w:t>
            </w:r>
          </w:p>
        </w:tc>
        <w:tc>
          <w:tcPr>
            <w:tcW w:w="780" w:type="dxa"/>
            <w:vAlign w:val="bottom"/>
            <w:shd w:val="clear" w:color="auto" w:fill="D9D9D9"/>
          </w:tcPr>
          <w:p>
            <w:pPr>
              <w:spacing w:after="0"/>
              <w:rPr>
                <w:sz w:val="17"/>
                <w:szCs w:val="17"/>
                <w:color w:val="auto"/>
              </w:rPr>
            </w:pPr>
          </w:p>
        </w:tc>
        <w:tc>
          <w:tcPr>
            <w:tcW w:w="560" w:type="dxa"/>
            <w:vAlign w:val="bottom"/>
            <w:shd w:val="clear" w:color="auto" w:fill="D9D9D9"/>
          </w:tcPr>
          <w:p>
            <w:pPr>
              <w:spacing w:after="0"/>
              <w:rPr>
                <w:sz w:val="17"/>
                <w:szCs w:val="17"/>
                <w:color w:val="auto"/>
              </w:rPr>
            </w:pPr>
          </w:p>
        </w:tc>
        <w:tc>
          <w:tcPr>
            <w:tcW w:w="780" w:type="dxa"/>
            <w:vAlign w:val="bottom"/>
            <w:vMerge w:val="restart"/>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00" w:type="dxa"/>
            <w:vAlign w:val="bottom"/>
            <w:vMerge w:val="restart"/>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980" w:type="dxa"/>
            <w:vAlign w:val="bottom"/>
            <w:vMerge w:val="restart"/>
            <w:shd w:val="clear" w:color="auto" w:fill="D9D9D9"/>
          </w:tcPr>
          <w:p>
            <w:pPr>
              <w:ind w:left="38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60" w:type="dxa"/>
            <w:vAlign w:val="bottom"/>
            <w:vMerge w:val="restart"/>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680" w:type="dxa"/>
            <w:vAlign w:val="bottom"/>
            <w:vMerge w:val="restart"/>
            <w:shd w:val="clear" w:color="auto" w:fill="D9D9D9"/>
          </w:tcPr>
          <w:p>
            <w:pPr>
              <w:ind w:left="22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760" w:type="dxa"/>
            <w:vAlign w:val="bottom"/>
            <w:vMerge w:val="restart"/>
            <w:shd w:val="clear" w:color="auto" w:fill="D9D9D9"/>
          </w:tcPr>
          <w:p>
            <w:pPr>
              <w:ind w:left="26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80" w:type="dxa"/>
            <w:vAlign w:val="bottom"/>
            <w:vMerge w:val="restart"/>
            <w:shd w:val="clear" w:color="auto" w:fill="D9D9D9"/>
          </w:tcPr>
          <w:p>
            <w:pPr>
              <w:ind w:left="32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980" w:type="dxa"/>
            <w:vAlign w:val="bottom"/>
            <w:vMerge w:val="restart"/>
            <w:shd w:val="clear" w:color="auto" w:fill="D9D9D9"/>
          </w:tcPr>
          <w:p>
            <w:pPr>
              <w:ind w:left="38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700" w:type="dxa"/>
            <w:vAlign w:val="bottom"/>
            <w:vMerge w:val="restart"/>
            <w:shd w:val="clear" w:color="auto" w:fill="D9D9D9"/>
          </w:tcPr>
          <w:p>
            <w:pPr>
              <w:ind w:left="24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0" w:type="dxa"/>
            <w:vAlign w:val="bottom"/>
          </w:tcPr>
          <w:p>
            <w:pPr>
              <w:spacing w:after="0"/>
              <w:rPr>
                <w:sz w:val="1"/>
                <w:szCs w:val="1"/>
                <w:color w:val="auto"/>
              </w:rPr>
            </w:pPr>
          </w:p>
        </w:tc>
      </w:tr>
      <w:tr>
        <w:trPr>
          <w:trHeight w:val="160"/>
        </w:trPr>
        <w:tc>
          <w:tcPr>
            <w:tcW w:w="2480" w:type="dxa"/>
            <w:vAlign w:val="bottom"/>
            <w:vMerge w:val="restart"/>
            <w:shd w:val="clear" w:color="auto" w:fill="D9D9D9"/>
          </w:tcPr>
          <w:p>
            <w:pPr>
              <w:ind w:left="40"/>
              <w:spacing w:after="0"/>
              <w:rPr>
                <w:sz w:val="20"/>
                <w:szCs w:val="20"/>
                <w:color w:val="auto"/>
              </w:rPr>
            </w:pPr>
            <w:r>
              <w:rPr>
                <w:rFonts w:ascii="Arial" w:cs="Arial" w:eastAsia="Arial" w:hAnsi="Arial"/>
                <w:sz w:val="18"/>
                <w:szCs w:val="18"/>
                <w:color w:val="auto"/>
              </w:rPr>
              <w:t>Chain/Operations</w:t>
            </w:r>
          </w:p>
        </w:tc>
        <w:tc>
          <w:tcPr>
            <w:tcW w:w="780" w:type="dxa"/>
            <w:vAlign w:val="bottom"/>
            <w:shd w:val="clear" w:color="auto" w:fill="D9D9D9"/>
          </w:tcPr>
          <w:p>
            <w:pPr>
              <w:spacing w:after="0"/>
              <w:rPr>
                <w:sz w:val="13"/>
                <w:szCs w:val="13"/>
                <w:color w:val="auto"/>
              </w:rPr>
            </w:pPr>
          </w:p>
        </w:tc>
        <w:tc>
          <w:tcPr>
            <w:tcW w:w="560" w:type="dxa"/>
            <w:vAlign w:val="bottom"/>
            <w:shd w:val="clear" w:color="auto" w:fill="D9D9D9"/>
          </w:tcPr>
          <w:p>
            <w:pPr>
              <w:spacing w:after="0"/>
              <w:rPr>
                <w:sz w:val="13"/>
                <w:szCs w:val="13"/>
                <w:color w:val="auto"/>
              </w:rPr>
            </w:pPr>
          </w:p>
        </w:tc>
        <w:tc>
          <w:tcPr>
            <w:tcW w:w="780" w:type="dxa"/>
            <w:vAlign w:val="bottom"/>
            <w:vMerge w:val="continue"/>
            <w:shd w:val="clear" w:color="auto" w:fill="D9D9D9"/>
          </w:tcPr>
          <w:p>
            <w:pPr>
              <w:spacing w:after="0"/>
              <w:rPr>
                <w:sz w:val="13"/>
                <w:szCs w:val="13"/>
                <w:color w:val="auto"/>
              </w:rPr>
            </w:pPr>
          </w:p>
        </w:tc>
        <w:tc>
          <w:tcPr>
            <w:tcW w:w="800" w:type="dxa"/>
            <w:vAlign w:val="bottom"/>
            <w:vMerge w:val="continue"/>
            <w:shd w:val="clear" w:color="auto" w:fill="D9D9D9"/>
          </w:tcPr>
          <w:p>
            <w:pPr>
              <w:spacing w:after="0"/>
              <w:rPr>
                <w:sz w:val="13"/>
                <w:szCs w:val="13"/>
                <w:color w:val="auto"/>
              </w:rPr>
            </w:pPr>
          </w:p>
        </w:tc>
        <w:tc>
          <w:tcPr>
            <w:tcW w:w="980" w:type="dxa"/>
            <w:vAlign w:val="bottom"/>
            <w:vMerge w:val="continue"/>
            <w:shd w:val="clear" w:color="auto" w:fill="D9D9D9"/>
          </w:tcPr>
          <w:p>
            <w:pPr>
              <w:spacing w:after="0"/>
              <w:rPr>
                <w:sz w:val="13"/>
                <w:szCs w:val="13"/>
                <w:color w:val="auto"/>
              </w:rPr>
            </w:pPr>
          </w:p>
        </w:tc>
        <w:tc>
          <w:tcPr>
            <w:tcW w:w="860" w:type="dxa"/>
            <w:vAlign w:val="bottom"/>
            <w:vMerge w:val="continue"/>
            <w:shd w:val="clear" w:color="auto" w:fill="D9D9D9"/>
          </w:tcPr>
          <w:p>
            <w:pPr>
              <w:spacing w:after="0"/>
              <w:rPr>
                <w:sz w:val="13"/>
                <w:szCs w:val="13"/>
                <w:color w:val="auto"/>
              </w:rPr>
            </w:pPr>
          </w:p>
        </w:tc>
        <w:tc>
          <w:tcPr>
            <w:tcW w:w="680" w:type="dxa"/>
            <w:vAlign w:val="bottom"/>
            <w:vMerge w:val="continue"/>
            <w:shd w:val="clear" w:color="auto" w:fill="D9D9D9"/>
          </w:tcPr>
          <w:p>
            <w:pPr>
              <w:spacing w:after="0"/>
              <w:rPr>
                <w:sz w:val="13"/>
                <w:szCs w:val="13"/>
                <w:color w:val="auto"/>
              </w:rPr>
            </w:pPr>
          </w:p>
        </w:tc>
        <w:tc>
          <w:tcPr>
            <w:tcW w:w="760" w:type="dxa"/>
            <w:vAlign w:val="bottom"/>
            <w:vMerge w:val="continue"/>
            <w:shd w:val="clear" w:color="auto" w:fill="D9D9D9"/>
          </w:tcPr>
          <w:p>
            <w:pPr>
              <w:spacing w:after="0"/>
              <w:rPr>
                <w:sz w:val="13"/>
                <w:szCs w:val="13"/>
                <w:color w:val="auto"/>
              </w:rPr>
            </w:pPr>
          </w:p>
        </w:tc>
        <w:tc>
          <w:tcPr>
            <w:tcW w:w="880" w:type="dxa"/>
            <w:vAlign w:val="bottom"/>
            <w:vMerge w:val="continue"/>
            <w:shd w:val="clear" w:color="auto" w:fill="D9D9D9"/>
          </w:tcPr>
          <w:p>
            <w:pPr>
              <w:spacing w:after="0"/>
              <w:rPr>
                <w:sz w:val="13"/>
                <w:szCs w:val="13"/>
                <w:color w:val="auto"/>
              </w:rPr>
            </w:pPr>
          </w:p>
        </w:tc>
        <w:tc>
          <w:tcPr>
            <w:tcW w:w="980" w:type="dxa"/>
            <w:vAlign w:val="bottom"/>
            <w:vMerge w:val="continue"/>
            <w:shd w:val="clear" w:color="auto" w:fill="D9D9D9"/>
          </w:tcPr>
          <w:p>
            <w:pPr>
              <w:spacing w:after="0"/>
              <w:rPr>
                <w:sz w:val="13"/>
                <w:szCs w:val="13"/>
                <w:color w:val="auto"/>
              </w:rPr>
            </w:pPr>
          </w:p>
        </w:tc>
        <w:tc>
          <w:tcPr>
            <w:tcW w:w="700" w:type="dxa"/>
            <w:vAlign w:val="bottom"/>
            <w:vMerge w:val="continue"/>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2480" w:type="dxa"/>
            <w:vAlign w:val="bottom"/>
            <w:vMerge w:val="continue"/>
            <w:shd w:val="clear" w:color="auto" w:fill="D9D9D9"/>
          </w:tcPr>
          <w:p>
            <w:pPr>
              <w:spacing w:after="0"/>
              <w:rPr>
                <w:sz w:val="6"/>
                <w:szCs w:val="6"/>
                <w:color w:val="auto"/>
              </w:rPr>
            </w:pPr>
          </w:p>
        </w:tc>
        <w:tc>
          <w:tcPr>
            <w:tcW w:w="780" w:type="dxa"/>
            <w:vAlign w:val="bottom"/>
            <w:shd w:val="clear" w:color="auto" w:fill="D9D9D9"/>
          </w:tcPr>
          <w:p>
            <w:pPr>
              <w:spacing w:after="0"/>
              <w:rPr>
                <w:sz w:val="6"/>
                <w:szCs w:val="6"/>
                <w:color w:val="auto"/>
              </w:rPr>
            </w:pPr>
          </w:p>
        </w:tc>
        <w:tc>
          <w:tcPr>
            <w:tcW w:w="560" w:type="dxa"/>
            <w:vAlign w:val="bottom"/>
            <w:shd w:val="clear" w:color="auto" w:fill="D9D9D9"/>
          </w:tcPr>
          <w:p>
            <w:pPr>
              <w:spacing w:after="0"/>
              <w:rPr>
                <w:sz w:val="6"/>
                <w:szCs w:val="6"/>
                <w:color w:val="auto"/>
              </w:rPr>
            </w:pPr>
          </w:p>
        </w:tc>
        <w:tc>
          <w:tcPr>
            <w:tcW w:w="780" w:type="dxa"/>
            <w:vAlign w:val="bottom"/>
            <w:shd w:val="clear" w:color="auto" w:fill="D9D9D9"/>
          </w:tcPr>
          <w:p>
            <w:pPr>
              <w:spacing w:after="0"/>
              <w:rPr>
                <w:sz w:val="6"/>
                <w:szCs w:val="6"/>
                <w:color w:val="auto"/>
              </w:rPr>
            </w:pPr>
          </w:p>
        </w:tc>
        <w:tc>
          <w:tcPr>
            <w:tcW w:w="800" w:type="dxa"/>
            <w:vAlign w:val="bottom"/>
            <w:shd w:val="clear" w:color="auto" w:fill="D9D9D9"/>
          </w:tcPr>
          <w:p>
            <w:pPr>
              <w:spacing w:after="0"/>
              <w:rPr>
                <w:sz w:val="6"/>
                <w:szCs w:val="6"/>
                <w:color w:val="auto"/>
              </w:rPr>
            </w:pPr>
          </w:p>
        </w:tc>
        <w:tc>
          <w:tcPr>
            <w:tcW w:w="980" w:type="dxa"/>
            <w:vAlign w:val="bottom"/>
            <w:shd w:val="clear" w:color="auto" w:fill="D9D9D9"/>
          </w:tcPr>
          <w:p>
            <w:pPr>
              <w:spacing w:after="0"/>
              <w:rPr>
                <w:sz w:val="6"/>
                <w:szCs w:val="6"/>
                <w:color w:val="auto"/>
              </w:rPr>
            </w:pPr>
          </w:p>
        </w:tc>
        <w:tc>
          <w:tcPr>
            <w:tcW w:w="860" w:type="dxa"/>
            <w:vAlign w:val="bottom"/>
            <w:shd w:val="clear" w:color="auto" w:fill="D9D9D9"/>
          </w:tcPr>
          <w:p>
            <w:pPr>
              <w:spacing w:after="0"/>
              <w:rPr>
                <w:sz w:val="6"/>
                <w:szCs w:val="6"/>
                <w:color w:val="auto"/>
              </w:rPr>
            </w:pPr>
          </w:p>
        </w:tc>
        <w:tc>
          <w:tcPr>
            <w:tcW w:w="680" w:type="dxa"/>
            <w:vAlign w:val="bottom"/>
            <w:shd w:val="clear" w:color="auto" w:fill="D9D9D9"/>
          </w:tcPr>
          <w:p>
            <w:pPr>
              <w:spacing w:after="0"/>
              <w:rPr>
                <w:sz w:val="6"/>
                <w:szCs w:val="6"/>
                <w:color w:val="auto"/>
              </w:rPr>
            </w:pPr>
          </w:p>
        </w:tc>
        <w:tc>
          <w:tcPr>
            <w:tcW w:w="760" w:type="dxa"/>
            <w:vAlign w:val="bottom"/>
            <w:shd w:val="clear" w:color="auto" w:fill="D9D9D9"/>
          </w:tcPr>
          <w:p>
            <w:pPr>
              <w:spacing w:after="0"/>
              <w:rPr>
                <w:sz w:val="6"/>
                <w:szCs w:val="6"/>
                <w:color w:val="auto"/>
              </w:rPr>
            </w:pPr>
          </w:p>
        </w:tc>
        <w:tc>
          <w:tcPr>
            <w:tcW w:w="880" w:type="dxa"/>
            <w:vAlign w:val="bottom"/>
            <w:shd w:val="clear" w:color="auto" w:fill="D9D9D9"/>
          </w:tcPr>
          <w:p>
            <w:pPr>
              <w:spacing w:after="0"/>
              <w:rPr>
                <w:sz w:val="6"/>
                <w:szCs w:val="6"/>
                <w:color w:val="auto"/>
              </w:rPr>
            </w:pPr>
          </w:p>
        </w:tc>
        <w:tc>
          <w:tcPr>
            <w:tcW w:w="980" w:type="dxa"/>
            <w:vAlign w:val="bottom"/>
            <w:shd w:val="clear" w:color="auto" w:fill="D9D9D9"/>
          </w:tcPr>
          <w:p>
            <w:pPr>
              <w:spacing w:after="0"/>
              <w:rPr>
                <w:sz w:val="6"/>
                <w:szCs w:val="6"/>
                <w:color w:val="auto"/>
              </w:rPr>
            </w:pPr>
          </w:p>
        </w:tc>
        <w:tc>
          <w:tcPr>
            <w:tcW w:w="700" w:type="dxa"/>
            <w:vAlign w:val="bottom"/>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344"/>
        </w:trPr>
        <w:tc>
          <w:tcPr>
            <w:tcW w:w="2480" w:type="dxa"/>
            <w:vAlign w:val="bottom"/>
          </w:tcPr>
          <w:p>
            <w:pPr>
              <w:ind w:left="40"/>
              <w:spacing w:after="0"/>
              <w:rPr>
                <w:sz w:val="20"/>
                <w:szCs w:val="20"/>
                <w:color w:val="auto"/>
              </w:rPr>
            </w:pPr>
            <w:r>
              <w:rPr>
                <w:rFonts w:ascii="Arial" w:cs="Arial" w:eastAsia="Arial" w:hAnsi="Arial"/>
                <w:sz w:val="18"/>
                <w:szCs w:val="18"/>
                <w:color w:val="auto"/>
              </w:rPr>
              <w:t>Distribution Channel</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9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6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7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80" w:type="dxa"/>
            <w:vAlign w:val="bottom"/>
          </w:tcPr>
          <w:p>
            <w:pPr>
              <w:spacing w:after="0"/>
              <w:rPr>
                <w:sz w:val="24"/>
                <w:szCs w:val="24"/>
                <w:color w:val="auto"/>
              </w:rPr>
            </w:pPr>
          </w:p>
        </w:tc>
        <w:tc>
          <w:tcPr>
            <w:tcW w:w="9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7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0" w:type="dxa"/>
            <w:vAlign w:val="bottom"/>
          </w:tcPr>
          <w:p>
            <w:pPr>
              <w:spacing w:after="0"/>
              <w:rPr>
                <w:sz w:val="1"/>
                <w:szCs w:val="1"/>
                <w:color w:val="auto"/>
              </w:rPr>
            </w:pPr>
          </w:p>
        </w:tc>
      </w:tr>
      <w:tr>
        <w:trPr>
          <w:trHeight w:val="48"/>
        </w:trPr>
        <w:tc>
          <w:tcPr>
            <w:tcW w:w="2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2"/>
        </w:trPr>
        <w:tc>
          <w:tcPr>
            <w:tcW w:w="2480" w:type="dxa"/>
            <w:vAlign w:val="bottom"/>
            <w:tcBorders>
              <w:bottom w:val="single" w:sz="8" w:color="D9D9D9"/>
            </w:tcBorders>
            <w:shd w:val="clear" w:color="auto" w:fill="D9D9D9"/>
          </w:tcPr>
          <w:p>
            <w:pPr>
              <w:ind w:left="40"/>
              <w:spacing w:after="0"/>
              <w:rPr>
                <w:sz w:val="20"/>
                <w:szCs w:val="20"/>
                <w:color w:val="auto"/>
              </w:rPr>
            </w:pPr>
            <w:r>
              <w:rPr>
                <w:rFonts w:ascii="Arial" w:cs="Arial" w:eastAsia="Arial" w:hAnsi="Arial"/>
                <w:sz w:val="18"/>
                <w:szCs w:val="18"/>
                <w:color w:val="auto"/>
              </w:rPr>
              <w:t>Strategic Planning</w:t>
            </w:r>
          </w:p>
        </w:tc>
        <w:tc>
          <w:tcPr>
            <w:tcW w:w="780" w:type="dxa"/>
            <w:vAlign w:val="bottom"/>
            <w:tcBorders>
              <w:bottom w:val="single" w:sz="8" w:color="D9D9D9"/>
            </w:tcBorders>
            <w:shd w:val="clear" w:color="auto" w:fill="D9D9D9"/>
          </w:tcPr>
          <w:p>
            <w:pPr>
              <w:ind w:left="28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560" w:type="dxa"/>
            <w:vAlign w:val="bottom"/>
            <w:tcBorders>
              <w:bottom w:val="single" w:sz="8" w:color="D9D9D9"/>
            </w:tcBorders>
            <w:shd w:val="clear" w:color="auto" w:fill="D9D9D9"/>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C00000"/>
              </w:rPr>
              <w:t>✓</w:t>
            </w:r>
          </w:p>
        </w:tc>
        <w:tc>
          <w:tcPr>
            <w:tcW w:w="780" w:type="dxa"/>
            <w:vAlign w:val="bottom"/>
            <w:tcBorders>
              <w:bottom w:val="single" w:sz="8" w:color="D9D9D9"/>
            </w:tcBorders>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00" w:type="dxa"/>
            <w:vAlign w:val="bottom"/>
            <w:tcBorders>
              <w:bottom w:val="single" w:sz="8" w:color="D9D9D9"/>
            </w:tcBorders>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980" w:type="dxa"/>
            <w:vAlign w:val="bottom"/>
            <w:tcBorders>
              <w:bottom w:val="single" w:sz="8" w:color="D9D9D9"/>
            </w:tcBorders>
            <w:shd w:val="clear" w:color="auto" w:fill="D9D9D9"/>
          </w:tcPr>
          <w:p>
            <w:pPr>
              <w:ind w:left="38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60" w:type="dxa"/>
            <w:vAlign w:val="bottom"/>
            <w:tcBorders>
              <w:bottom w:val="single" w:sz="8" w:color="D9D9D9"/>
            </w:tcBorders>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680" w:type="dxa"/>
            <w:vAlign w:val="bottom"/>
            <w:tcBorders>
              <w:bottom w:val="single" w:sz="8" w:color="D9D9D9"/>
            </w:tcBorders>
            <w:shd w:val="clear" w:color="auto" w:fill="D9D9D9"/>
          </w:tcPr>
          <w:p>
            <w:pPr>
              <w:ind w:left="22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760" w:type="dxa"/>
            <w:vAlign w:val="bottom"/>
            <w:tcBorders>
              <w:bottom w:val="single" w:sz="8" w:color="D9D9D9"/>
            </w:tcBorders>
            <w:shd w:val="clear" w:color="auto" w:fill="D9D9D9"/>
          </w:tcPr>
          <w:p>
            <w:pPr>
              <w:ind w:left="26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80" w:type="dxa"/>
            <w:vAlign w:val="bottom"/>
            <w:tcBorders>
              <w:bottom w:val="single" w:sz="8" w:color="D9D9D9"/>
            </w:tcBorders>
            <w:shd w:val="clear" w:color="auto" w:fill="D9D9D9"/>
          </w:tcPr>
          <w:p>
            <w:pPr>
              <w:ind w:left="32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980" w:type="dxa"/>
            <w:vAlign w:val="bottom"/>
            <w:tcBorders>
              <w:bottom w:val="single" w:sz="8" w:color="D9D9D9"/>
            </w:tcBorders>
            <w:shd w:val="clear" w:color="auto" w:fill="D9D9D9"/>
          </w:tcPr>
          <w:p>
            <w:pPr>
              <w:ind w:left="38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700" w:type="dxa"/>
            <w:vAlign w:val="bottom"/>
            <w:tcBorders>
              <w:bottom w:val="single" w:sz="8" w:color="D9D9D9"/>
            </w:tcBorders>
            <w:shd w:val="clear" w:color="auto" w:fill="D9D9D9"/>
          </w:tcPr>
          <w:p>
            <w:pPr>
              <w:ind w:left="24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0" w:type="dxa"/>
            <w:vAlign w:val="bottom"/>
          </w:tcPr>
          <w:p>
            <w:pPr>
              <w:spacing w:after="0"/>
              <w:rPr>
                <w:sz w:val="1"/>
                <w:szCs w:val="1"/>
                <w:color w:val="auto"/>
              </w:rPr>
            </w:pPr>
          </w:p>
        </w:tc>
      </w:tr>
      <w:tr>
        <w:trPr>
          <w:trHeight w:val="344"/>
        </w:trPr>
        <w:tc>
          <w:tcPr>
            <w:tcW w:w="2480" w:type="dxa"/>
            <w:vAlign w:val="bottom"/>
          </w:tcPr>
          <w:p>
            <w:pPr>
              <w:ind w:left="40"/>
              <w:spacing w:after="0"/>
              <w:rPr>
                <w:sz w:val="20"/>
                <w:szCs w:val="20"/>
                <w:color w:val="auto"/>
              </w:rPr>
            </w:pPr>
            <w:r>
              <w:rPr>
                <w:rFonts w:ascii="Arial" w:cs="Arial" w:eastAsia="Arial" w:hAnsi="Arial"/>
                <w:sz w:val="18"/>
                <w:szCs w:val="18"/>
                <w:color w:val="auto"/>
              </w:rPr>
              <w:t>Regulatory/Government</w:t>
            </w:r>
          </w:p>
        </w:tc>
        <w:tc>
          <w:tcPr>
            <w:tcW w:w="780" w:type="dxa"/>
            <w:vAlign w:val="bottom"/>
          </w:tcPr>
          <w:p>
            <w:pPr>
              <w:spacing w:after="0"/>
              <w:rPr>
                <w:sz w:val="24"/>
                <w:szCs w:val="24"/>
                <w:color w:val="auto"/>
              </w:rPr>
            </w:pP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C00000"/>
              </w:rPr>
              <w:t>✓</w:t>
            </w:r>
          </w:p>
        </w:tc>
        <w:tc>
          <w:tcPr>
            <w:tcW w:w="7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00" w:type="dxa"/>
            <w:vAlign w:val="bottom"/>
          </w:tcPr>
          <w:p>
            <w:pPr>
              <w:spacing w:after="0"/>
              <w:rPr>
                <w:sz w:val="24"/>
                <w:szCs w:val="24"/>
                <w:color w:val="auto"/>
              </w:rPr>
            </w:pPr>
          </w:p>
        </w:tc>
        <w:tc>
          <w:tcPr>
            <w:tcW w:w="9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60" w:type="dxa"/>
            <w:vAlign w:val="bottom"/>
          </w:tcPr>
          <w:p>
            <w:pPr>
              <w:spacing w:after="0"/>
              <w:rPr>
                <w:sz w:val="24"/>
                <w:szCs w:val="24"/>
                <w:color w:val="auto"/>
              </w:rPr>
            </w:pPr>
          </w:p>
        </w:tc>
        <w:tc>
          <w:tcPr>
            <w:tcW w:w="6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7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980" w:type="dxa"/>
            <w:vAlign w:val="bottom"/>
          </w:tcPr>
          <w:p>
            <w:pPr>
              <w:spacing w:after="0"/>
              <w:rPr>
                <w:sz w:val="24"/>
                <w:szCs w:val="24"/>
                <w:color w:val="auto"/>
              </w:rPr>
            </w:pPr>
          </w:p>
        </w:tc>
        <w:tc>
          <w:tcPr>
            <w:tcW w:w="7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0" w:type="dxa"/>
            <w:vAlign w:val="bottom"/>
          </w:tcPr>
          <w:p>
            <w:pPr>
              <w:spacing w:after="0"/>
              <w:rPr>
                <w:sz w:val="1"/>
                <w:szCs w:val="1"/>
                <w:color w:val="auto"/>
              </w:rPr>
            </w:pPr>
          </w:p>
        </w:tc>
      </w:tr>
      <w:tr>
        <w:trPr>
          <w:trHeight w:val="48"/>
        </w:trPr>
        <w:tc>
          <w:tcPr>
            <w:tcW w:w="2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480" w:type="dxa"/>
            <w:vAlign w:val="bottom"/>
            <w:tcBorders>
              <w:bottom w:val="single" w:sz="8" w:color="D9D9D9"/>
            </w:tcBorders>
            <w:shd w:val="clear" w:color="auto" w:fill="D9D9D9"/>
          </w:tcPr>
          <w:p>
            <w:pPr>
              <w:ind w:left="40"/>
              <w:spacing w:after="0"/>
              <w:rPr>
                <w:sz w:val="20"/>
                <w:szCs w:val="20"/>
                <w:color w:val="auto"/>
              </w:rPr>
            </w:pPr>
            <w:r>
              <w:rPr>
                <w:rFonts w:ascii="Arial" w:cs="Arial" w:eastAsia="Arial" w:hAnsi="Arial"/>
                <w:sz w:val="18"/>
                <w:szCs w:val="18"/>
                <w:color w:val="auto"/>
              </w:rPr>
              <w:t>Health and Safety</w:t>
            </w:r>
          </w:p>
        </w:tc>
        <w:tc>
          <w:tcPr>
            <w:tcW w:w="780" w:type="dxa"/>
            <w:vAlign w:val="bottom"/>
            <w:tcBorders>
              <w:bottom w:val="single" w:sz="8" w:color="D9D9D9"/>
            </w:tcBorders>
            <w:shd w:val="clear" w:color="auto" w:fill="D9D9D9"/>
          </w:tcPr>
          <w:p>
            <w:pPr>
              <w:spacing w:after="0"/>
              <w:rPr>
                <w:sz w:val="24"/>
                <w:szCs w:val="24"/>
                <w:color w:val="auto"/>
              </w:rPr>
            </w:pPr>
          </w:p>
        </w:tc>
        <w:tc>
          <w:tcPr>
            <w:tcW w:w="560" w:type="dxa"/>
            <w:vAlign w:val="bottom"/>
            <w:tcBorders>
              <w:bottom w:val="single" w:sz="8" w:color="D9D9D9"/>
            </w:tcBorders>
            <w:shd w:val="clear" w:color="auto" w:fill="D9D9D9"/>
          </w:tcPr>
          <w:p>
            <w:pPr>
              <w:spacing w:after="0"/>
              <w:rPr>
                <w:sz w:val="24"/>
                <w:szCs w:val="24"/>
                <w:color w:val="auto"/>
              </w:rPr>
            </w:pPr>
          </w:p>
        </w:tc>
        <w:tc>
          <w:tcPr>
            <w:tcW w:w="780" w:type="dxa"/>
            <w:vAlign w:val="bottom"/>
            <w:tcBorders>
              <w:bottom w:val="single" w:sz="8" w:color="D9D9D9"/>
            </w:tcBorders>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00" w:type="dxa"/>
            <w:vAlign w:val="bottom"/>
            <w:tcBorders>
              <w:bottom w:val="single" w:sz="8" w:color="D9D9D9"/>
            </w:tcBorders>
            <w:shd w:val="clear" w:color="auto" w:fill="D9D9D9"/>
          </w:tcPr>
          <w:p>
            <w:pPr>
              <w:spacing w:after="0"/>
              <w:rPr>
                <w:sz w:val="24"/>
                <w:szCs w:val="24"/>
                <w:color w:val="auto"/>
              </w:rPr>
            </w:pPr>
          </w:p>
        </w:tc>
        <w:tc>
          <w:tcPr>
            <w:tcW w:w="980" w:type="dxa"/>
            <w:vAlign w:val="bottom"/>
            <w:tcBorders>
              <w:bottom w:val="single" w:sz="8" w:color="D9D9D9"/>
            </w:tcBorders>
            <w:shd w:val="clear" w:color="auto" w:fill="D9D9D9"/>
          </w:tcPr>
          <w:p>
            <w:pPr>
              <w:ind w:left="38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60" w:type="dxa"/>
            <w:vAlign w:val="bottom"/>
            <w:tcBorders>
              <w:bottom w:val="single" w:sz="8" w:color="D9D9D9"/>
            </w:tcBorders>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680" w:type="dxa"/>
            <w:vAlign w:val="bottom"/>
            <w:tcBorders>
              <w:bottom w:val="single" w:sz="8" w:color="D9D9D9"/>
            </w:tcBorders>
            <w:shd w:val="clear" w:color="auto" w:fill="D9D9D9"/>
          </w:tcPr>
          <w:p>
            <w:pPr>
              <w:spacing w:after="0"/>
              <w:rPr>
                <w:sz w:val="24"/>
                <w:szCs w:val="24"/>
                <w:color w:val="auto"/>
              </w:rPr>
            </w:pPr>
          </w:p>
        </w:tc>
        <w:tc>
          <w:tcPr>
            <w:tcW w:w="760" w:type="dxa"/>
            <w:vAlign w:val="bottom"/>
            <w:tcBorders>
              <w:bottom w:val="single" w:sz="8" w:color="D9D9D9"/>
            </w:tcBorders>
            <w:shd w:val="clear" w:color="auto" w:fill="D9D9D9"/>
          </w:tcPr>
          <w:p>
            <w:pPr>
              <w:ind w:left="26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80" w:type="dxa"/>
            <w:vAlign w:val="bottom"/>
            <w:tcBorders>
              <w:bottom w:val="single" w:sz="8" w:color="D9D9D9"/>
            </w:tcBorders>
            <w:shd w:val="clear" w:color="auto" w:fill="D9D9D9"/>
          </w:tcPr>
          <w:p>
            <w:pPr>
              <w:ind w:left="32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980" w:type="dxa"/>
            <w:vAlign w:val="bottom"/>
            <w:tcBorders>
              <w:bottom w:val="single" w:sz="8" w:color="D9D9D9"/>
            </w:tcBorders>
            <w:shd w:val="clear" w:color="auto" w:fill="D9D9D9"/>
          </w:tcPr>
          <w:p>
            <w:pPr>
              <w:spacing w:after="0"/>
              <w:rPr>
                <w:sz w:val="24"/>
                <w:szCs w:val="24"/>
                <w:color w:val="auto"/>
              </w:rPr>
            </w:pPr>
          </w:p>
        </w:tc>
        <w:tc>
          <w:tcPr>
            <w:tcW w:w="700" w:type="dxa"/>
            <w:vAlign w:val="bottom"/>
            <w:tcBorders>
              <w:bottom w:val="single" w:sz="8" w:color="D9D9D9"/>
            </w:tcBorders>
            <w:shd w:val="clear" w:color="auto" w:fill="D9D9D9"/>
          </w:tcPr>
          <w:p>
            <w:pPr>
              <w:ind w:left="24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0" w:type="dxa"/>
            <w:vAlign w:val="bottom"/>
          </w:tcPr>
          <w:p>
            <w:pPr>
              <w:spacing w:after="0"/>
              <w:rPr>
                <w:sz w:val="1"/>
                <w:szCs w:val="1"/>
                <w:color w:val="auto"/>
              </w:rPr>
            </w:pPr>
          </w:p>
        </w:tc>
      </w:tr>
      <w:tr>
        <w:trPr>
          <w:trHeight w:val="344"/>
        </w:trPr>
        <w:tc>
          <w:tcPr>
            <w:tcW w:w="2480" w:type="dxa"/>
            <w:vAlign w:val="bottom"/>
          </w:tcPr>
          <w:p>
            <w:pPr>
              <w:ind w:left="40"/>
              <w:spacing w:after="0"/>
              <w:rPr>
                <w:sz w:val="20"/>
                <w:szCs w:val="20"/>
                <w:color w:val="auto"/>
              </w:rPr>
            </w:pPr>
            <w:r>
              <w:rPr>
                <w:rFonts w:ascii="Arial" w:cs="Arial" w:eastAsia="Arial" w:hAnsi="Arial"/>
                <w:sz w:val="18"/>
                <w:szCs w:val="18"/>
                <w:color w:val="auto"/>
              </w:rPr>
              <w:t>Sustainability/Climate</w:t>
            </w:r>
          </w:p>
        </w:tc>
        <w:tc>
          <w:tcPr>
            <w:tcW w:w="7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C00000"/>
              </w:rPr>
              <w:t>✓</w:t>
            </w:r>
          </w:p>
        </w:tc>
        <w:tc>
          <w:tcPr>
            <w:tcW w:w="780" w:type="dxa"/>
            <w:vAlign w:val="bottom"/>
          </w:tcPr>
          <w:p>
            <w:pPr>
              <w:spacing w:after="0"/>
              <w:rPr>
                <w:sz w:val="24"/>
                <w:szCs w:val="24"/>
                <w:color w:val="auto"/>
              </w:rPr>
            </w:pPr>
          </w:p>
        </w:tc>
        <w:tc>
          <w:tcPr>
            <w:tcW w:w="8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2"/>
        </w:trPr>
        <w:tc>
          <w:tcPr>
            <w:tcW w:w="2480" w:type="dxa"/>
            <w:vAlign w:val="bottom"/>
            <w:tcBorders>
              <w:bottom w:val="single" w:sz="8" w:color="E7E6E6"/>
            </w:tcBorders>
            <w:shd w:val="clear" w:color="auto" w:fill="E7E6E6"/>
          </w:tcPr>
          <w:p>
            <w:pPr>
              <w:ind w:left="40"/>
              <w:spacing w:after="0"/>
              <w:rPr>
                <w:sz w:val="20"/>
                <w:szCs w:val="20"/>
                <w:color w:val="auto"/>
              </w:rPr>
            </w:pPr>
            <w:r>
              <w:rPr>
                <w:rFonts w:ascii="Arial" w:cs="Arial" w:eastAsia="Arial" w:hAnsi="Arial"/>
                <w:sz w:val="18"/>
                <w:szCs w:val="18"/>
                <w:color w:val="auto"/>
              </w:rPr>
              <w:t>Mergers &amp; Acquisitions</w:t>
            </w:r>
          </w:p>
        </w:tc>
        <w:tc>
          <w:tcPr>
            <w:tcW w:w="780" w:type="dxa"/>
            <w:vAlign w:val="bottom"/>
            <w:tcBorders>
              <w:bottom w:val="single" w:sz="8" w:color="E7E6E6"/>
            </w:tcBorders>
            <w:shd w:val="clear" w:color="auto" w:fill="E7E6E6"/>
          </w:tcPr>
          <w:p>
            <w:pPr>
              <w:ind w:left="28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560" w:type="dxa"/>
            <w:vAlign w:val="bottom"/>
            <w:tcBorders>
              <w:bottom w:val="single" w:sz="8" w:color="E7E6E6"/>
            </w:tcBorders>
            <w:shd w:val="clear" w:color="auto" w:fill="E7E6E6"/>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C00000"/>
              </w:rPr>
              <w:t>✓</w:t>
            </w:r>
          </w:p>
        </w:tc>
        <w:tc>
          <w:tcPr>
            <w:tcW w:w="780" w:type="dxa"/>
            <w:vAlign w:val="bottom"/>
            <w:tcBorders>
              <w:bottom w:val="single" w:sz="8" w:color="E7E6E6"/>
            </w:tcBorders>
            <w:shd w:val="clear" w:color="auto" w:fill="E7E6E6"/>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00" w:type="dxa"/>
            <w:vAlign w:val="bottom"/>
            <w:tcBorders>
              <w:bottom w:val="single" w:sz="8" w:color="E7E6E6"/>
            </w:tcBorders>
            <w:shd w:val="clear" w:color="auto" w:fill="E7E6E6"/>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980" w:type="dxa"/>
            <w:vAlign w:val="bottom"/>
            <w:tcBorders>
              <w:bottom w:val="single" w:sz="8" w:color="E7E6E6"/>
            </w:tcBorders>
            <w:shd w:val="clear" w:color="auto" w:fill="E7E6E6"/>
          </w:tcPr>
          <w:p>
            <w:pPr>
              <w:ind w:left="38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60" w:type="dxa"/>
            <w:vAlign w:val="bottom"/>
            <w:tcBorders>
              <w:bottom w:val="single" w:sz="8" w:color="E7E6E6"/>
            </w:tcBorders>
            <w:shd w:val="clear" w:color="auto" w:fill="E7E6E6"/>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680" w:type="dxa"/>
            <w:vAlign w:val="bottom"/>
            <w:tcBorders>
              <w:bottom w:val="single" w:sz="8" w:color="E7E6E6"/>
            </w:tcBorders>
            <w:shd w:val="clear" w:color="auto" w:fill="E7E6E6"/>
          </w:tcPr>
          <w:p>
            <w:pPr>
              <w:ind w:left="22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760" w:type="dxa"/>
            <w:vAlign w:val="bottom"/>
            <w:tcBorders>
              <w:bottom w:val="single" w:sz="8" w:color="E7E6E6"/>
            </w:tcBorders>
            <w:shd w:val="clear" w:color="auto" w:fill="E7E6E6"/>
          </w:tcPr>
          <w:p>
            <w:pPr>
              <w:ind w:left="26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80" w:type="dxa"/>
            <w:vAlign w:val="bottom"/>
            <w:tcBorders>
              <w:bottom w:val="single" w:sz="8" w:color="E7E6E6"/>
            </w:tcBorders>
            <w:shd w:val="clear" w:color="auto" w:fill="E7E6E6"/>
          </w:tcPr>
          <w:p>
            <w:pPr>
              <w:ind w:left="32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980" w:type="dxa"/>
            <w:vAlign w:val="bottom"/>
            <w:tcBorders>
              <w:bottom w:val="single" w:sz="8" w:color="E7E6E6"/>
            </w:tcBorders>
            <w:shd w:val="clear" w:color="auto" w:fill="E7E6E6"/>
          </w:tcPr>
          <w:p>
            <w:pPr>
              <w:ind w:left="38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700" w:type="dxa"/>
            <w:vAlign w:val="bottom"/>
            <w:tcBorders>
              <w:bottom w:val="single" w:sz="8" w:color="E7E6E6"/>
            </w:tcBorders>
            <w:shd w:val="clear" w:color="auto" w:fill="E7E6E6"/>
          </w:tcPr>
          <w:p>
            <w:pPr>
              <w:ind w:left="24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0" w:type="dxa"/>
            <w:vAlign w:val="bottom"/>
          </w:tcPr>
          <w:p>
            <w:pPr>
              <w:spacing w:after="0"/>
              <w:rPr>
                <w:sz w:val="1"/>
                <w:szCs w:val="1"/>
                <w:color w:val="auto"/>
              </w:rPr>
            </w:pPr>
          </w:p>
        </w:tc>
      </w:tr>
      <w:tr>
        <w:trPr>
          <w:trHeight w:val="344"/>
        </w:trPr>
        <w:tc>
          <w:tcPr>
            <w:tcW w:w="2480" w:type="dxa"/>
            <w:vAlign w:val="bottom"/>
          </w:tcPr>
          <w:p>
            <w:pPr>
              <w:ind w:left="40"/>
              <w:spacing w:after="0"/>
              <w:rPr>
                <w:sz w:val="20"/>
                <w:szCs w:val="20"/>
                <w:color w:val="auto"/>
              </w:rPr>
            </w:pPr>
            <w:r>
              <w:rPr>
                <w:rFonts w:ascii="Arial" w:cs="Arial" w:eastAsia="Arial" w:hAnsi="Arial"/>
                <w:sz w:val="18"/>
                <w:szCs w:val="18"/>
                <w:color w:val="auto"/>
              </w:rPr>
              <w:t>International Operations</w:t>
            </w:r>
          </w:p>
        </w:tc>
        <w:tc>
          <w:tcPr>
            <w:tcW w:w="780" w:type="dxa"/>
            <w:vAlign w:val="bottom"/>
          </w:tcPr>
          <w:p>
            <w:pPr>
              <w:spacing w:after="0"/>
              <w:rPr>
                <w:sz w:val="24"/>
                <w:szCs w:val="24"/>
                <w:color w:val="auto"/>
              </w:rPr>
            </w:pP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C00000"/>
              </w:rPr>
              <w:t>✓</w:t>
            </w:r>
          </w:p>
        </w:tc>
        <w:tc>
          <w:tcPr>
            <w:tcW w:w="7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9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6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7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9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7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0" w:type="dxa"/>
            <w:vAlign w:val="bottom"/>
          </w:tcPr>
          <w:p>
            <w:pPr>
              <w:spacing w:after="0"/>
              <w:rPr>
                <w:sz w:val="1"/>
                <w:szCs w:val="1"/>
                <w:color w:val="auto"/>
              </w:rPr>
            </w:pPr>
          </w:p>
        </w:tc>
      </w:tr>
      <w:tr>
        <w:trPr>
          <w:trHeight w:val="47"/>
        </w:trPr>
        <w:tc>
          <w:tcPr>
            <w:tcW w:w="2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480" w:type="dxa"/>
            <w:vAlign w:val="bottom"/>
            <w:shd w:val="clear" w:color="auto" w:fill="E7E6E6"/>
          </w:tcPr>
          <w:p>
            <w:pPr>
              <w:ind w:left="40"/>
              <w:spacing w:after="0" w:line="183" w:lineRule="exact"/>
              <w:rPr>
                <w:sz w:val="20"/>
                <w:szCs w:val="20"/>
                <w:color w:val="auto"/>
              </w:rPr>
            </w:pPr>
            <w:r>
              <w:rPr>
                <w:rFonts w:ascii="Arial" w:cs="Arial" w:eastAsia="Arial" w:hAnsi="Arial"/>
                <w:sz w:val="18"/>
                <w:szCs w:val="18"/>
                <w:color w:val="auto"/>
              </w:rPr>
              <w:t>Information Systems/</w:t>
            </w:r>
          </w:p>
        </w:tc>
        <w:tc>
          <w:tcPr>
            <w:tcW w:w="780" w:type="dxa"/>
            <w:vAlign w:val="bottom"/>
            <w:vMerge w:val="restart"/>
            <w:shd w:val="clear" w:color="auto" w:fill="E7E6E6"/>
          </w:tcPr>
          <w:p>
            <w:pPr>
              <w:ind w:left="28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560" w:type="dxa"/>
            <w:vAlign w:val="bottom"/>
            <w:vMerge w:val="restart"/>
            <w:shd w:val="clear" w:color="auto" w:fill="E7E6E6"/>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C00000"/>
              </w:rPr>
              <w:t>✓</w:t>
            </w:r>
          </w:p>
        </w:tc>
        <w:tc>
          <w:tcPr>
            <w:tcW w:w="780" w:type="dxa"/>
            <w:vAlign w:val="bottom"/>
            <w:shd w:val="clear" w:color="auto" w:fill="E7E6E6"/>
          </w:tcPr>
          <w:p>
            <w:pPr>
              <w:spacing w:after="0"/>
              <w:rPr>
                <w:sz w:val="15"/>
                <w:szCs w:val="15"/>
                <w:color w:val="auto"/>
              </w:rPr>
            </w:pPr>
          </w:p>
        </w:tc>
        <w:tc>
          <w:tcPr>
            <w:tcW w:w="800" w:type="dxa"/>
            <w:vAlign w:val="bottom"/>
            <w:vMerge w:val="restart"/>
            <w:shd w:val="clear" w:color="auto" w:fill="E7E6E6"/>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980" w:type="dxa"/>
            <w:vAlign w:val="bottom"/>
            <w:vMerge w:val="restart"/>
            <w:shd w:val="clear" w:color="auto" w:fill="E7E6E6"/>
          </w:tcPr>
          <w:p>
            <w:pPr>
              <w:ind w:left="38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60" w:type="dxa"/>
            <w:vAlign w:val="bottom"/>
            <w:vMerge w:val="restart"/>
            <w:shd w:val="clear" w:color="auto" w:fill="E7E6E6"/>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680" w:type="dxa"/>
            <w:vAlign w:val="bottom"/>
            <w:vMerge w:val="restart"/>
            <w:shd w:val="clear" w:color="auto" w:fill="E7E6E6"/>
          </w:tcPr>
          <w:p>
            <w:pPr>
              <w:ind w:left="22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760" w:type="dxa"/>
            <w:vAlign w:val="bottom"/>
            <w:vMerge w:val="restart"/>
            <w:shd w:val="clear" w:color="auto" w:fill="E7E6E6"/>
          </w:tcPr>
          <w:p>
            <w:pPr>
              <w:ind w:left="26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80" w:type="dxa"/>
            <w:vAlign w:val="bottom"/>
            <w:vMerge w:val="restart"/>
            <w:shd w:val="clear" w:color="auto" w:fill="E7E6E6"/>
          </w:tcPr>
          <w:p>
            <w:pPr>
              <w:ind w:left="32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980" w:type="dxa"/>
            <w:vAlign w:val="bottom"/>
            <w:vMerge w:val="restart"/>
            <w:shd w:val="clear" w:color="auto" w:fill="E7E6E6"/>
          </w:tcPr>
          <w:p>
            <w:pPr>
              <w:ind w:left="38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700" w:type="dxa"/>
            <w:vAlign w:val="bottom"/>
            <w:shd w:val="clear" w:color="auto" w:fill="E7E6E6"/>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480" w:type="dxa"/>
            <w:vAlign w:val="bottom"/>
            <w:shd w:val="clear" w:color="auto" w:fill="E7E6E6"/>
          </w:tcPr>
          <w:p>
            <w:pPr>
              <w:ind w:left="40"/>
              <w:spacing w:after="0"/>
              <w:rPr>
                <w:sz w:val="20"/>
                <w:szCs w:val="20"/>
                <w:color w:val="auto"/>
              </w:rPr>
            </w:pPr>
            <w:r>
              <w:rPr>
                <w:rFonts w:ascii="Arial" w:cs="Arial" w:eastAsia="Arial" w:hAnsi="Arial"/>
                <w:sz w:val="18"/>
                <w:szCs w:val="18"/>
                <w:color w:val="auto"/>
              </w:rPr>
              <w:t>Cybersecurity</w:t>
            </w:r>
          </w:p>
        </w:tc>
        <w:tc>
          <w:tcPr>
            <w:tcW w:w="780" w:type="dxa"/>
            <w:vAlign w:val="bottom"/>
            <w:vMerge w:val="continue"/>
            <w:shd w:val="clear" w:color="auto" w:fill="E7E6E6"/>
          </w:tcPr>
          <w:p>
            <w:pPr>
              <w:spacing w:after="0"/>
              <w:rPr>
                <w:sz w:val="20"/>
                <w:szCs w:val="20"/>
                <w:color w:val="auto"/>
              </w:rPr>
            </w:pPr>
          </w:p>
        </w:tc>
        <w:tc>
          <w:tcPr>
            <w:tcW w:w="560" w:type="dxa"/>
            <w:vAlign w:val="bottom"/>
            <w:vMerge w:val="continue"/>
            <w:shd w:val="clear" w:color="auto" w:fill="E7E6E6"/>
          </w:tcPr>
          <w:p>
            <w:pPr>
              <w:spacing w:after="0"/>
              <w:rPr>
                <w:sz w:val="20"/>
                <w:szCs w:val="20"/>
                <w:color w:val="auto"/>
              </w:rPr>
            </w:pPr>
          </w:p>
        </w:tc>
        <w:tc>
          <w:tcPr>
            <w:tcW w:w="780" w:type="dxa"/>
            <w:vAlign w:val="bottom"/>
            <w:shd w:val="clear" w:color="auto" w:fill="E7E6E6"/>
          </w:tcPr>
          <w:p>
            <w:pPr>
              <w:spacing w:after="0"/>
              <w:rPr>
                <w:sz w:val="20"/>
                <w:szCs w:val="20"/>
                <w:color w:val="auto"/>
              </w:rPr>
            </w:pPr>
          </w:p>
        </w:tc>
        <w:tc>
          <w:tcPr>
            <w:tcW w:w="800" w:type="dxa"/>
            <w:vAlign w:val="bottom"/>
            <w:vMerge w:val="continue"/>
            <w:shd w:val="clear" w:color="auto" w:fill="E7E6E6"/>
          </w:tcPr>
          <w:p>
            <w:pPr>
              <w:spacing w:after="0"/>
              <w:rPr>
                <w:sz w:val="20"/>
                <w:szCs w:val="20"/>
                <w:color w:val="auto"/>
              </w:rPr>
            </w:pPr>
          </w:p>
        </w:tc>
        <w:tc>
          <w:tcPr>
            <w:tcW w:w="980" w:type="dxa"/>
            <w:vAlign w:val="bottom"/>
            <w:vMerge w:val="continue"/>
            <w:shd w:val="clear" w:color="auto" w:fill="E7E6E6"/>
          </w:tcPr>
          <w:p>
            <w:pPr>
              <w:spacing w:after="0"/>
              <w:rPr>
                <w:sz w:val="20"/>
                <w:szCs w:val="20"/>
                <w:color w:val="auto"/>
              </w:rPr>
            </w:pPr>
          </w:p>
        </w:tc>
        <w:tc>
          <w:tcPr>
            <w:tcW w:w="860" w:type="dxa"/>
            <w:vAlign w:val="bottom"/>
            <w:vMerge w:val="continue"/>
            <w:shd w:val="clear" w:color="auto" w:fill="E7E6E6"/>
          </w:tcPr>
          <w:p>
            <w:pPr>
              <w:spacing w:after="0"/>
              <w:rPr>
                <w:sz w:val="20"/>
                <w:szCs w:val="20"/>
                <w:color w:val="auto"/>
              </w:rPr>
            </w:pPr>
          </w:p>
        </w:tc>
        <w:tc>
          <w:tcPr>
            <w:tcW w:w="680" w:type="dxa"/>
            <w:vAlign w:val="bottom"/>
            <w:vMerge w:val="continue"/>
            <w:shd w:val="clear" w:color="auto" w:fill="E7E6E6"/>
          </w:tcPr>
          <w:p>
            <w:pPr>
              <w:spacing w:after="0"/>
              <w:rPr>
                <w:sz w:val="20"/>
                <w:szCs w:val="20"/>
                <w:color w:val="auto"/>
              </w:rPr>
            </w:pPr>
          </w:p>
        </w:tc>
        <w:tc>
          <w:tcPr>
            <w:tcW w:w="760" w:type="dxa"/>
            <w:vAlign w:val="bottom"/>
            <w:vMerge w:val="continue"/>
            <w:shd w:val="clear" w:color="auto" w:fill="E7E6E6"/>
          </w:tcPr>
          <w:p>
            <w:pPr>
              <w:spacing w:after="0"/>
              <w:rPr>
                <w:sz w:val="20"/>
                <w:szCs w:val="20"/>
                <w:color w:val="auto"/>
              </w:rPr>
            </w:pPr>
          </w:p>
        </w:tc>
        <w:tc>
          <w:tcPr>
            <w:tcW w:w="880" w:type="dxa"/>
            <w:vAlign w:val="bottom"/>
            <w:vMerge w:val="continue"/>
            <w:shd w:val="clear" w:color="auto" w:fill="E7E6E6"/>
          </w:tcPr>
          <w:p>
            <w:pPr>
              <w:spacing w:after="0"/>
              <w:rPr>
                <w:sz w:val="20"/>
                <w:szCs w:val="20"/>
                <w:color w:val="auto"/>
              </w:rPr>
            </w:pPr>
          </w:p>
        </w:tc>
        <w:tc>
          <w:tcPr>
            <w:tcW w:w="980" w:type="dxa"/>
            <w:vAlign w:val="bottom"/>
            <w:vMerge w:val="continue"/>
            <w:shd w:val="clear" w:color="auto" w:fill="E7E6E6"/>
          </w:tcPr>
          <w:p>
            <w:pPr>
              <w:spacing w:after="0"/>
              <w:rPr>
                <w:sz w:val="20"/>
                <w:szCs w:val="20"/>
                <w:color w:val="auto"/>
              </w:rPr>
            </w:pPr>
          </w:p>
        </w:tc>
        <w:tc>
          <w:tcPr>
            <w:tcW w:w="700" w:type="dxa"/>
            <w:vAlign w:val="bottom"/>
            <w:shd w:val="clear" w:color="auto" w:fill="E7E6E6"/>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480" w:type="dxa"/>
            <w:vAlign w:val="bottom"/>
          </w:tcPr>
          <w:p>
            <w:pPr>
              <w:ind w:left="40"/>
              <w:spacing w:after="0" w:line="183" w:lineRule="exact"/>
              <w:rPr>
                <w:sz w:val="20"/>
                <w:szCs w:val="20"/>
                <w:color w:val="auto"/>
              </w:rPr>
            </w:pPr>
            <w:r>
              <w:rPr>
                <w:rFonts w:ascii="Arial" w:cs="Arial" w:eastAsia="Arial" w:hAnsi="Arial"/>
                <w:sz w:val="18"/>
                <w:szCs w:val="18"/>
                <w:color w:val="auto"/>
              </w:rPr>
              <w:t>Previously Resided Outside</w:t>
            </w:r>
          </w:p>
        </w:tc>
        <w:tc>
          <w:tcPr>
            <w:tcW w:w="780" w:type="dxa"/>
            <w:vAlign w:val="bottom"/>
          </w:tcPr>
          <w:p>
            <w:pPr>
              <w:spacing w:after="0"/>
              <w:rPr>
                <w:sz w:val="15"/>
                <w:szCs w:val="15"/>
                <w:color w:val="auto"/>
              </w:rPr>
            </w:pPr>
          </w:p>
        </w:tc>
        <w:tc>
          <w:tcPr>
            <w:tcW w:w="5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C00000"/>
              </w:rPr>
              <w:t>✓</w:t>
            </w:r>
          </w:p>
        </w:tc>
        <w:tc>
          <w:tcPr>
            <w:tcW w:w="780" w:type="dxa"/>
            <w:vAlign w:val="bottom"/>
          </w:tcPr>
          <w:p>
            <w:pPr>
              <w:spacing w:after="0"/>
              <w:rPr>
                <w:sz w:val="15"/>
                <w:szCs w:val="15"/>
                <w:color w:val="auto"/>
              </w:rPr>
            </w:pPr>
          </w:p>
        </w:tc>
        <w:tc>
          <w:tcPr>
            <w:tcW w:w="800" w:type="dxa"/>
            <w:vAlign w:val="bottom"/>
            <w:vMerge w:val="restart"/>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980" w:type="dxa"/>
            <w:vAlign w:val="bottom"/>
            <w:vMerge w:val="restart"/>
          </w:tcPr>
          <w:p>
            <w:pPr>
              <w:ind w:left="38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60" w:type="dxa"/>
            <w:vAlign w:val="bottom"/>
            <w:vMerge w:val="restart"/>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68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760" w:type="dxa"/>
            <w:vAlign w:val="bottom"/>
          </w:tcPr>
          <w:p>
            <w:pPr>
              <w:spacing w:after="0"/>
              <w:rPr>
                <w:sz w:val="15"/>
                <w:szCs w:val="15"/>
                <w:color w:val="auto"/>
              </w:rPr>
            </w:pPr>
          </w:p>
        </w:tc>
        <w:tc>
          <w:tcPr>
            <w:tcW w:w="880" w:type="dxa"/>
            <w:vAlign w:val="bottom"/>
            <w:vMerge w:val="restart"/>
          </w:tcPr>
          <w:p>
            <w:pPr>
              <w:ind w:left="32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980" w:type="dxa"/>
            <w:vAlign w:val="bottom"/>
            <w:vMerge w:val="restart"/>
          </w:tcPr>
          <w:p>
            <w:pPr>
              <w:ind w:left="38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700" w:type="dxa"/>
            <w:vAlign w:val="bottom"/>
            <w:vMerge w:val="restart"/>
          </w:tcPr>
          <w:p>
            <w:pPr>
              <w:ind w:left="24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0" w:type="dxa"/>
            <w:vAlign w:val="bottom"/>
          </w:tcPr>
          <w:p>
            <w:pPr>
              <w:spacing w:after="0"/>
              <w:rPr>
                <w:sz w:val="1"/>
                <w:szCs w:val="1"/>
                <w:color w:val="auto"/>
              </w:rPr>
            </w:pPr>
          </w:p>
        </w:tc>
      </w:tr>
      <w:tr>
        <w:trPr>
          <w:trHeight w:val="174"/>
        </w:trPr>
        <w:tc>
          <w:tcPr>
            <w:tcW w:w="2480" w:type="dxa"/>
            <w:vAlign w:val="bottom"/>
            <w:vMerge w:val="restart"/>
          </w:tcPr>
          <w:p>
            <w:pPr>
              <w:ind w:left="40"/>
              <w:spacing w:after="0"/>
              <w:rPr>
                <w:sz w:val="20"/>
                <w:szCs w:val="20"/>
                <w:color w:val="auto"/>
              </w:rPr>
            </w:pPr>
            <w:r>
              <w:rPr>
                <w:rFonts w:ascii="Arial" w:cs="Arial" w:eastAsia="Arial" w:hAnsi="Arial"/>
                <w:sz w:val="18"/>
                <w:szCs w:val="18"/>
                <w:color w:val="auto"/>
              </w:rPr>
              <w:t>the United States</w:t>
            </w:r>
          </w:p>
        </w:tc>
        <w:tc>
          <w:tcPr>
            <w:tcW w:w="7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4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98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2480" w:type="dxa"/>
            <w:vAlign w:val="bottom"/>
            <w:shd w:val="clear" w:color="auto" w:fill="C00000"/>
          </w:tcPr>
          <w:p>
            <w:pPr>
              <w:ind w:left="40"/>
              <w:spacing w:after="0"/>
              <w:rPr>
                <w:sz w:val="20"/>
                <w:szCs w:val="20"/>
                <w:color w:val="auto"/>
              </w:rPr>
            </w:pPr>
            <w:r>
              <w:rPr>
                <w:rFonts w:ascii="Arial" w:cs="Arial" w:eastAsia="Arial" w:hAnsi="Arial"/>
                <w:sz w:val="16"/>
                <w:szCs w:val="16"/>
                <w:b w:val="1"/>
                <w:bCs w:val="1"/>
                <w:color w:val="FFFFFF"/>
              </w:rPr>
              <w:t>Demographics</w:t>
            </w:r>
          </w:p>
        </w:tc>
        <w:tc>
          <w:tcPr>
            <w:tcW w:w="780" w:type="dxa"/>
            <w:vAlign w:val="bottom"/>
            <w:shd w:val="clear" w:color="auto" w:fill="C00000"/>
          </w:tcPr>
          <w:p>
            <w:pPr>
              <w:spacing w:after="0"/>
              <w:rPr>
                <w:sz w:val="24"/>
                <w:szCs w:val="24"/>
                <w:color w:val="auto"/>
              </w:rPr>
            </w:pPr>
          </w:p>
        </w:tc>
        <w:tc>
          <w:tcPr>
            <w:tcW w:w="560" w:type="dxa"/>
            <w:vAlign w:val="bottom"/>
            <w:shd w:val="clear" w:color="auto" w:fill="C00000"/>
          </w:tcPr>
          <w:p>
            <w:pPr>
              <w:spacing w:after="0"/>
              <w:rPr>
                <w:sz w:val="24"/>
                <w:szCs w:val="24"/>
                <w:color w:val="auto"/>
              </w:rPr>
            </w:pPr>
          </w:p>
        </w:tc>
        <w:tc>
          <w:tcPr>
            <w:tcW w:w="780" w:type="dxa"/>
            <w:vAlign w:val="bottom"/>
            <w:shd w:val="clear" w:color="auto" w:fill="C00000"/>
          </w:tcPr>
          <w:p>
            <w:pPr>
              <w:spacing w:after="0"/>
              <w:rPr>
                <w:sz w:val="24"/>
                <w:szCs w:val="24"/>
                <w:color w:val="auto"/>
              </w:rPr>
            </w:pPr>
          </w:p>
        </w:tc>
        <w:tc>
          <w:tcPr>
            <w:tcW w:w="800" w:type="dxa"/>
            <w:vAlign w:val="bottom"/>
            <w:shd w:val="clear" w:color="auto" w:fill="C00000"/>
          </w:tcPr>
          <w:p>
            <w:pPr>
              <w:spacing w:after="0"/>
              <w:rPr>
                <w:sz w:val="24"/>
                <w:szCs w:val="24"/>
                <w:color w:val="auto"/>
              </w:rPr>
            </w:pPr>
          </w:p>
        </w:tc>
        <w:tc>
          <w:tcPr>
            <w:tcW w:w="980" w:type="dxa"/>
            <w:vAlign w:val="bottom"/>
            <w:shd w:val="clear" w:color="auto" w:fill="C00000"/>
          </w:tcPr>
          <w:p>
            <w:pPr>
              <w:spacing w:after="0"/>
              <w:rPr>
                <w:sz w:val="24"/>
                <w:szCs w:val="24"/>
                <w:color w:val="auto"/>
              </w:rPr>
            </w:pPr>
          </w:p>
        </w:tc>
        <w:tc>
          <w:tcPr>
            <w:tcW w:w="860" w:type="dxa"/>
            <w:vAlign w:val="bottom"/>
            <w:shd w:val="clear" w:color="auto" w:fill="C00000"/>
          </w:tcPr>
          <w:p>
            <w:pPr>
              <w:spacing w:after="0"/>
              <w:rPr>
                <w:sz w:val="24"/>
                <w:szCs w:val="24"/>
                <w:color w:val="auto"/>
              </w:rPr>
            </w:pPr>
          </w:p>
        </w:tc>
        <w:tc>
          <w:tcPr>
            <w:tcW w:w="680" w:type="dxa"/>
            <w:vAlign w:val="bottom"/>
            <w:shd w:val="clear" w:color="auto" w:fill="C00000"/>
          </w:tcPr>
          <w:p>
            <w:pPr>
              <w:spacing w:after="0"/>
              <w:rPr>
                <w:sz w:val="24"/>
                <w:szCs w:val="24"/>
                <w:color w:val="auto"/>
              </w:rPr>
            </w:pPr>
          </w:p>
        </w:tc>
        <w:tc>
          <w:tcPr>
            <w:tcW w:w="760" w:type="dxa"/>
            <w:vAlign w:val="bottom"/>
            <w:shd w:val="clear" w:color="auto" w:fill="C00000"/>
          </w:tcPr>
          <w:p>
            <w:pPr>
              <w:spacing w:after="0"/>
              <w:rPr>
                <w:sz w:val="24"/>
                <w:szCs w:val="24"/>
                <w:color w:val="auto"/>
              </w:rPr>
            </w:pPr>
          </w:p>
        </w:tc>
        <w:tc>
          <w:tcPr>
            <w:tcW w:w="880" w:type="dxa"/>
            <w:vAlign w:val="bottom"/>
            <w:shd w:val="clear" w:color="auto" w:fill="C00000"/>
          </w:tcPr>
          <w:p>
            <w:pPr>
              <w:spacing w:after="0"/>
              <w:rPr>
                <w:sz w:val="24"/>
                <w:szCs w:val="24"/>
                <w:color w:val="auto"/>
              </w:rPr>
            </w:pPr>
          </w:p>
        </w:tc>
        <w:tc>
          <w:tcPr>
            <w:tcW w:w="980" w:type="dxa"/>
            <w:vAlign w:val="bottom"/>
            <w:shd w:val="clear" w:color="auto" w:fill="C00000"/>
          </w:tcPr>
          <w:p>
            <w:pPr>
              <w:spacing w:after="0"/>
              <w:rPr>
                <w:sz w:val="24"/>
                <w:szCs w:val="24"/>
                <w:color w:val="auto"/>
              </w:rPr>
            </w:pPr>
          </w:p>
        </w:tc>
        <w:tc>
          <w:tcPr>
            <w:tcW w:w="700" w:type="dxa"/>
            <w:vAlign w:val="bottom"/>
            <w:shd w:val="clear" w:color="auto" w:fill="C00000"/>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480" w:type="dxa"/>
            <w:vAlign w:val="bottom"/>
            <w:shd w:val="clear" w:color="auto" w:fill="C00000"/>
          </w:tcPr>
          <w:p>
            <w:pPr>
              <w:spacing w:after="0"/>
              <w:rPr>
                <w:sz w:val="7"/>
                <w:szCs w:val="7"/>
                <w:color w:val="auto"/>
              </w:rPr>
            </w:pPr>
          </w:p>
        </w:tc>
        <w:tc>
          <w:tcPr>
            <w:tcW w:w="780" w:type="dxa"/>
            <w:vAlign w:val="bottom"/>
            <w:shd w:val="clear" w:color="auto" w:fill="C00000"/>
          </w:tcPr>
          <w:p>
            <w:pPr>
              <w:spacing w:after="0"/>
              <w:rPr>
                <w:sz w:val="7"/>
                <w:szCs w:val="7"/>
                <w:color w:val="auto"/>
              </w:rPr>
            </w:pPr>
          </w:p>
        </w:tc>
        <w:tc>
          <w:tcPr>
            <w:tcW w:w="560" w:type="dxa"/>
            <w:vAlign w:val="bottom"/>
            <w:shd w:val="clear" w:color="auto" w:fill="C00000"/>
          </w:tcPr>
          <w:p>
            <w:pPr>
              <w:spacing w:after="0"/>
              <w:rPr>
                <w:sz w:val="7"/>
                <w:szCs w:val="7"/>
                <w:color w:val="auto"/>
              </w:rPr>
            </w:pPr>
          </w:p>
        </w:tc>
        <w:tc>
          <w:tcPr>
            <w:tcW w:w="780" w:type="dxa"/>
            <w:vAlign w:val="bottom"/>
            <w:shd w:val="clear" w:color="auto" w:fill="C00000"/>
          </w:tcPr>
          <w:p>
            <w:pPr>
              <w:spacing w:after="0"/>
              <w:rPr>
                <w:sz w:val="7"/>
                <w:szCs w:val="7"/>
                <w:color w:val="auto"/>
              </w:rPr>
            </w:pPr>
          </w:p>
        </w:tc>
        <w:tc>
          <w:tcPr>
            <w:tcW w:w="800" w:type="dxa"/>
            <w:vAlign w:val="bottom"/>
            <w:shd w:val="clear" w:color="auto" w:fill="C00000"/>
          </w:tcPr>
          <w:p>
            <w:pPr>
              <w:spacing w:after="0"/>
              <w:rPr>
                <w:sz w:val="7"/>
                <w:szCs w:val="7"/>
                <w:color w:val="auto"/>
              </w:rPr>
            </w:pPr>
          </w:p>
        </w:tc>
        <w:tc>
          <w:tcPr>
            <w:tcW w:w="980" w:type="dxa"/>
            <w:vAlign w:val="bottom"/>
            <w:shd w:val="clear" w:color="auto" w:fill="C00000"/>
          </w:tcPr>
          <w:p>
            <w:pPr>
              <w:spacing w:after="0"/>
              <w:rPr>
                <w:sz w:val="7"/>
                <w:szCs w:val="7"/>
                <w:color w:val="auto"/>
              </w:rPr>
            </w:pPr>
          </w:p>
        </w:tc>
        <w:tc>
          <w:tcPr>
            <w:tcW w:w="860" w:type="dxa"/>
            <w:vAlign w:val="bottom"/>
            <w:shd w:val="clear" w:color="auto" w:fill="C00000"/>
          </w:tcPr>
          <w:p>
            <w:pPr>
              <w:spacing w:after="0"/>
              <w:rPr>
                <w:sz w:val="7"/>
                <w:szCs w:val="7"/>
                <w:color w:val="auto"/>
              </w:rPr>
            </w:pPr>
          </w:p>
        </w:tc>
        <w:tc>
          <w:tcPr>
            <w:tcW w:w="680" w:type="dxa"/>
            <w:vAlign w:val="bottom"/>
            <w:shd w:val="clear" w:color="auto" w:fill="C00000"/>
          </w:tcPr>
          <w:p>
            <w:pPr>
              <w:spacing w:after="0"/>
              <w:rPr>
                <w:sz w:val="7"/>
                <w:szCs w:val="7"/>
                <w:color w:val="auto"/>
              </w:rPr>
            </w:pPr>
          </w:p>
        </w:tc>
        <w:tc>
          <w:tcPr>
            <w:tcW w:w="760" w:type="dxa"/>
            <w:vAlign w:val="bottom"/>
            <w:shd w:val="clear" w:color="auto" w:fill="C00000"/>
          </w:tcPr>
          <w:p>
            <w:pPr>
              <w:spacing w:after="0"/>
              <w:rPr>
                <w:sz w:val="7"/>
                <w:szCs w:val="7"/>
                <w:color w:val="auto"/>
              </w:rPr>
            </w:pPr>
          </w:p>
        </w:tc>
        <w:tc>
          <w:tcPr>
            <w:tcW w:w="880" w:type="dxa"/>
            <w:vAlign w:val="bottom"/>
            <w:shd w:val="clear" w:color="auto" w:fill="C00000"/>
          </w:tcPr>
          <w:p>
            <w:pPr>
              <w:spacing w:after="0"/>
              <w:rPr>
                <w:sz w:val="7"/>
                <w:szCs w:val="7"/>
                <w:color w:val="auto"/>
              </w:rPr>
            </w:pPr>
          </w:p>
        </w:tc>
        <w:tc>
          <w:tcPr>
            <w:tcW w:w="980" w:type="dxa"/>
            <w:vAlign w:val="bottom"/>
            <w:shd w:val="clear" w:color="auto" w:fill="C00000"/>
          </w:tcPr>
          <w:p>
            <w:pPr>
              <w:spacing w:after="0"/>
              <w:rPr>
                <w:sz w:val="7"/>
                <w:szCs w:val="7"/>
                <w:color w:val="auto"/>
              </w:rPr>
            </w:pPr>
          </w:p>
        </w:tc>
        <w:tc>
          <w:tcPr>
            <w:tcW w:w="700" w:type="dxa"/>
            <w:vAlign w:val="bottom"/>
            <w:shd w:val="clear" w:color="auto" w:fill="C00000"/>
          </w:tcPr>
          <w:p>
            <w:pPr>
              <w:spacing w:after="0"/>
              <w:rPr>
                <w:sz w:val="7"/>
                <w:szCs w:val="7"/>
                <w:color w:val="auto"/>
              </w:rPr>
            </w:pPr>
          </w:p>
        </w:tc>
        <w:tc>
          <w:tcPr>
            <w:tcW w:w="0" w:type="dxa"/>
            <w:vAlign w:val="bottom"/>
          </w:tcPr>
          <w:p>
            <w:pPr>
              <w:spacing w:after="0"/>
              <w:rPr>
                <w:sz w:val="1"/>
                <w:szCs w:val="1"/>
                <w:color w:val="auto"/>
              </w:rPr>
            </w:pPr>
          </w:p>
        </w:tc>
      </w:tr>
      <w:tr>
        <w:trPr>
          <w:trHeight w:val="323"/>
        </w:trPr>
        <w:tc>
          <w:tcPr>
            <w:tcW w:w="2480" w:type="dxa"/>
            <w:vAlign w:val="bottom"/>
          </w:tcPr>
          <w:p>
            <w:pPr>
              <w:ind w:left="40"/>
              <w:spacing w:after="0"/>
              <w:rPr>
                <w:sz w:val="20"/>
                <w:szCs w:val="20"/>
                <w:color w:val="auto"/>
              </w:rPr>
            </w:pPr>
            <w:r>
              <w:rPr>
                <w:rFonts w:ascii="Arial" w:cs="Arial" w:eastAsia="Arial" w:hAnsi="Arial"/>
                <w:sz w:val="18"/>
                <w:szCs w:val="18"/>
                <w:b w:val="1"/>
                <w:bCs w:val="1"/>
                <w:color w:val="auto"/>
              </w:rPr>
              <w:t>Race/Ethnicity</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2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9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8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1"/>
        </w:trPr>
        <w:tc>
          <w:tcPr>
            <w:tcW w:w="2480" w:type="dxa"/>
            <w:vAlign w:val="bottom"/>
            <w:tcBorders>
              <w:bottom w:val="single" w:sz="8" w:color="D9D9D9"/>
            </w:tcBorders>
            <w:shd w:val="clear" w:color="auto" w:fill="D9D9D9"/>
          </w:tcPr>
          <w:p>
            <w:pPr>
              <w:ind w:left="360"/>
              <w:spacing w:after="0"/>
              <w:rPr>
                <w:sz w:val="20"/>
                <w:szCs w:val="20"/>
                <w:color w:val="auto"/>
              </w:rPr>
            </w:pPr>
            <w:r>
              <w:rPr>
                <w:rFonts w:ascii="Arial" w:cs="Arial" w:eastAsia="Arial" w:hAnsi="Arial"/>
                <w:sz w:val="18"/>
                <w:szCs w:val="18"/>
                <w:color w:val="auto"/>
              </w:rPr>
              <w:t>African American</w:t>
            </w:r>
          </w:p>
        </w:tc>
        <w:tc>
          <w:tcPr>
            <w:tcW w:w="780" w:type="dxa"/>
            <w:vAlign w:val="bottom"/>
            <w:tcBorders>
              <w:bottom w:val="single" w:sz="8" w:color="D9D9D9"/>
            </w:tcBorders>
            <w:shd w:val="clear" w:color="auto" w:fill="D9D9D9"/>
          </w:tcPr>
          <w:p>
            <w:pPr>
              <w:spacing w:after="0"/>
              <w:rPr>
                <w:sz w:val="24"/>
                <w:szCs w:val="24"/>
                <w:color w:val="auto"/>
              </w:rPr>
            </w:pPr>
          </w:p>
        </w:tc>
        <w:tc>
          <w:tcPr>
            <w:tcW w:w="560" w:type="dxa"/>
            <w:vAlign w:val="bottom"/>
            <w:tcBorders>
              <w:bottom w:val="single" w:sz="8" w:color="D9D9D9"/>
            </w:tcBorders>
            <w:shd w:val="clear" w:color="auto" w:fill="D9D9D9"/>
          </w:tcPr>
          <w:p>
            <w:pPr>
              <w:spacing w:after="0"/>
              <w:rPr>
                <w:sz w:val="24"/>
                <w:szCs w:val="24"/>
                <w:color w:val="auto"/>
              </w:rPr>
            </w:pPr>
          </w:p>
        </w:tc>
        <w:tc>
          <w:tcPr>
            <w:tcW w:w="780" w:type="dxa"/>
            <w:vAlign w:val="bottom"/>
            <w:tcBorders>
              <w:bottom w:val="single" w:sz="8" w:color="D9D9D9"/>
            </w:tcBorders>
            <w:shd w:val="clear" w:color="auto" w:fill="D9D9D9"/>
          </w:tcPr>
          <w:p>
            <w:pPr>
              <w:spacing w:after="0"/>
              <w:rPr>
                <w:sz w:val="24"/>
                <w:szCs w:val="24"/>
                <w:color w:val="auto"/>
              </w:rPr>
            </w:pPr>
          </w:p>
        </w:tc>
        <w:tc>
          <w:tcPr>
            <w:tcW w:w="800" w:type="dxa"/>
            <w:vAlign w:val="bottom"/>
            <w:tcBorders>
              <w:bottom w:val="single" w:sz="8" w:color="D9D9D9"/>
            </w:tcBorders>
            <w:shd w:val="clear" w:color="auto" w:fill="D9D9D9"/>
          </w:tcPr>
          <w:p>
            <w:pPr>
              <w:spacing w:after="0"/>
              <w:rPr>
                <w:sz w:val="24"/>
                <w:szCs w:val="24"/>
                <w:color w:val="auto"/>
              </w:rPr>
            </w:pPr>
          </w:p>
        </w:tc>
        <w:tc>
          <w:tcPr>
            <w:tcW w:w="980" w:type="dxa"/>
            <w:vAlign w:val="bottom"/>
            <w:tcBorders>
              <w:bottom w:val="single" w:sz="8" w:color="D9D9D9"/>
            </w:tcBorders>
            <w:shd w:val="clear" w:color="auto" w:fill="D9D9D9"/>
          </w:tcPr>
          <w:p>
            <w:pPr>
              <w:spacing w:after="0"/>
              <w:rPr>
                <w:sz w:val="24"/>
                <w:szCs w:val="24"/>
                <w:color w:val="auto"/>
              </w:rPr>
            </w:pPr>
          </w:p>
        </w:tc>
        <w:tc>
          <w:tcPr>
            <w:tcW w:w="860" w:type="dxa"/>
            <w:vAlign w:val="bottom"/>
            <w:tcBorders>
              <w:bottom w:val="single" w:sz="8" w:color="D9D9D9"/>
            </w:tcBorders>
            <w:shd w:val="clear" w:color="auto" w:fill="D9D9D9"/>
          </w:tcPr>
          <w:p>
            <w:pPr>
              <w:spacing w:after="0"/>
              <w:rPr>
                <w:sz w:val="24"/>
                <w:szCs w:val="24"/>
                <w:color w:val="auto"/>
              </w:rPr>
            </w:pPr>
          </w:p>
        </w:tc>
        <w:tc>
          <w:tcPr>
            <w:tcW w:w="680" w:type="dxa"/>
            <w:vAlign w:val="bottom"/>
            <w:tcBorders>
              <w:bottom w:val="single" w:sz="8" w:color="D9D9D9"/>
            </w:tcBorders>
            <w:shd w:val="clear" w:color="auto" w:fill="D9D9D9"/>
          </w:tcPr>
          <w:p>
            <w:pPr>
              <w:spacing w:after="0"/>
              <w:rPr>
                <w:sz w:val="24"/>
                <w:szCs w:val="24"/>
                <w:color w:val="auto"/>
              </w:rPr>
            </w:pPr>
          </w:p>
        </w:tc>
        <w:tc>
          <w:tcPr>
            <w:tcW w:w="760" w:type="dxa"/>
            <w:vAlign w:val="bottom"/>
            <w:tcBorders>
              <w:bottom w:val="single" w:sz="8" w:color="D9D9D9"/>
            </w:tcBorders>
            <w:shd w:val="clear" w:color="auto" w:fill="D9D9D9"/>
          </w:tcPr>
          <w:p>
            <w:pPr>
              <w:spacing w:after="0"/>
              <w:rPr>
                <w:sz w:val="24"/>
                <w:szCs w:val="24"/>
                <w:color w:val="auto"/>
              </w:rPr>
            </w:pPr>
          </w:p>
        </w:tc>
        <w:tc>
          <w:tcPr>
            <w:tcW w:w="880" w:type="dxa"/>
            <w:vAlign w:val="bottom"/>
            <w:tcBorders>
              <w:bottom w:val="single" w:sz="8" w:color="D9D9D9"/>
            </w:tcBorders>
            <w:shd w:val="clear" w:color="auto" w:fill="D9D9D9"/>
          </w:tcPr>
          <w:p>
            <w:pPr>
              <w:spacing w:after="0"/>
              <w:rPr>
                <w:sz w:val="24"/>
                <w:szCs w:val="24"/>
                <w:color w:val="auto"/>
              </w:rPr>
            </w:pPr>
          </w:p>
        </w:tc>
        <w:tc>
          <w:tcPr>
            <w:tcW w:w="980" w:type="dxa"/>
            <w:vAlign w:val="bottom"/>
            <w:tcBorders>
              <w:bottom w:val="single" w:sz="8" w:color="D9D9D9"/>
            </w:tcBorders>
            <w:shd w:val="clear" w:color="auto" w:fill="D9D9D9"/>
          </w:tcPr>
          <w:p>
            <w:pPr>
              <w:ind w:left="38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700" w:type="dxa"/>
            <w:vAlign w:val="bottom"/>
            <w:tcBorders>
              <w:bottom w:val="single" w:sz="8" w:color="D9D9D9"/>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480" w:type="dxa"/>
            <w:vAlign w:val="bottom"/>
          </w:tcPr>
          <w:p>
            <w:pPr>
              <w:ind w:left="360"/>
              <w:spacing w:after="0"/>
              <w:rPr>
                <w:sz w:val="20"/>
                <w:szCs w:val="20"/>
                <w:color w:val="auto"/>
              </w:rPr>
            </w:pPr>
            <w:r>
              <w:rPr>
                <w:rFonts w:ascii="Arial" w:cs="Arial" w:eastAsia="Arial" w:hAnsi="Arial"/>
                <w:sz w:val="18"/>
                <w:szCs w:val="18"/>
                <w:color w:val="auto"/>
              </w:rPr>
              <w:t>Asian/Pacific Islander</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480" w:type="dxa"/>
            <w:vAlign w:val="bottom"/>
            <w:tcBorders>
              <w:bottom w:val="single" w:sz="8" w:color="D9D9D9"/>
            </w:tcBorders>
            <w:shd w:val="clear" w:color="auto" w:fill="D9D9D9"/>
          </w:tcPr>
          <w:p>
            <w:pPr>
              <w:ind w:left="360"/>
              <w:spacing w:after="0"/>
              <w:rPr>
                <w:sz w:val="20"/>
                <w:szCs w:val="20"/>
                <w:color w:val="auto"/>
              </w:rPr>
            </w:pPr>
            <w:r>
              <w:rPr>
                <w:rFonts w:ascii="Arial" w:cs="Arial" w:eastAsia="Arial" w:hAnsi="Arial"/>
                <w:sz w:val="18"/>
                <w:szCs w:val="18"/>
                <w:color w:val="auto"/>
              </w:rPr>
              <w:t>White/Caucasian</w:t>
            </w:r>
          </w:p>
        </w:tc>
        <w:tc>
          <w:tcPr>
            <w:tcW w:w="780" w:type="dxa"/>
            <w:vAlign w:val="bottom"/>
            <w:tcBorders>
              <w:bottom w:val="single" w:sz="8" w:color="D9D9D9"/>
            </w:tcBorders>
            <w:shd w:val="clear" w:color="auto" w:fill="D9D9D9"/>
          </w:tcPr>
          <w:p>
            <w:pPr>
              <w:ind w:left="28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560" w:type="dxa"/>
            <w:vAlign w:val="bottom"/>
            <w:tcBorders>
              <w:bottom w:val="single" w:sz="8" w:color="D9D9D9"/>
            </w:tcBorders>
            <w:shd w:val="clear" w:color="auto" w:fill="D9D9D9"/>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C00000"/>
              </w:rPr>
              <w:t>✓</w:t>
            </w:r>
          </w:p>
        </w:tc>
        <w:tc>
          <w:tcPr>
            <w:tcW w:w="780" w:type="dxa"/>
            <w:vAlign w:val="bottom"/>
            <w:tcBorders>
              <w:bottom w:val="single" w:sz="8" w:color="D9D9D9"/>
            </w:tcBorders>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00" w:type="dxa"/>
            <w:vAlign w:val="bottom"/>
            <w:tcBorders>
              <w:bottom w:val="single" w:sz="8" w:color="D9D9D9"/>
            </w:tcBorders>
            <w:shd w:val="clear" w:color="auto" w:fill="D9D9D9"/>
          </w:tcPr>
          <w:p>
            <w:pPr>
              <w:spacing w:after="0"/>
              <w:rPr>
                <w:sz w:val="24"/>
                <w:szCs w:val="24"/>
                <w:color w:val="auto"/>
              </w:rPr>
            </w:pPr>
          </w:p>
        </w:tc>
        <w:tc>
          <w:tcPr>
            <w:tcW w:w="980" w:type="dxa"/>
            <w:vAlign w:val="bottom"/>
            <w:tcBorders>
              <w:bottom w:val="single" w:sz="8" w:color="D9D9D9"/>
            </w:tcBorders>
            <w:shd w:val="clear" w:color="auto" w:fill="D9D9D9"/>
          </w:tcPr>
          <w:p>
            <w:pPr>
              <w:ind w:left="38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60" w:type="dxa"/>
            <w:vAlign w:val="bottom"/>
            <w:tcBorders>
              <w:bottom w:val="single" w:sz="8" w:color="D9D9D9"/>
            </w:tcBorders>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680" w:type="dxa"/>
            <w:vAlign w:val="bottom"/>
            <w:tcBorders>
              <w:bottom w:val="single" w:sz="8" w:color="D9D9D9"/>
            </w:tcBorders>
            <w:shd w:val="clear" w:color="auto" w:fill="D9D9D9"/>
          </w:tcPr>
          <w:p>
            <w:pPr>
              <w:ind w:left="22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760" w:type="dxa"/>
            <w:vAlign w:val="bottom"/>
            <w:tcBorders>
              <w:bottom w:val="single" w:sz="8" w:color="D9D9D9"/>
            </w:tcBorders>
            <w:shd w:val="clear" w:color="auto" w:fill="D9D9D9"/>
          </w:tcPr>
          <w:p>
            <w:pPr>
              <w:ind w:left="26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80" w:type="dxa"/>
            <w:vAlign w:val="bottom"/>
            <w:tcBorders>
              <w:bottom w:val="single" w:sz="8" w:color="D9D9D9"/>
            </w:tcBorders>
            <w:shd w:val="clear" w:color="auto" w:fill="D9D9D9"/>
          </w:tcPr>
          <w:p>
            <w:pPr>
              <w:ind w:left="32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980" w:type="dxa"/>
            <w:vAlign w:val="bottom"/>
            <w:tcBorders>
              <w:bottom w:val="single" w:sz="8" w:color="D9D9D9"/>
            </w:tcBorders>
            <w:shd w:val="clear" w:color="auto" w:fill="D9D9D9"/>
          </w:tcPr>
          <w:p>
            <w:pPr>
              <w:spacing w:after="0"/>
              <w:rPr>
                <w:sz w:val="24"/>
                <w:szCs w:val="24"/>
                <w:color w:val="auto"/>
              </w:rPr>
            </w:pPr>
          </w:p>
        </w:tc>
        <w:tc>
          <w:tcPr>
            <w:tcW w:w="700" w:type="dxa"/>
            <w:vAlign w:val="bottom"/>
            <w:tcBorders>
              <w:bottom w:val="single" w:sz="8" w:color="D9D9D9"/>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480" w:type="dxa"/>
            <w:vAlign w:val="bottom"/>
          </w:tcPr>
          <w:p>
            <w:pPr>
              <w:ind w:left="360"/>
              <w:spacing w:after="0"/>
              <w:rPr>
                <w:sz w:val="20"/>
                <w:szCs w:val="20"/>
                <w:color w:val="auto"/>
              </w:rPr>
            </w:pPr>
            <w:r>
              <w:rPr>
                <w:rFonts w:ascii="Arial" w:cs="Arial" w:eastAsia="Arial" w:hAnsi="Arial"/>
                <w:sz w:val="18"/>
                <w:szCs w:val="18"/>
                <w:color w:val="auto"/>
              </w:rPr>
              <w:t>Hispanic/Latino</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0" w:type="dxa"/>
            <w:vAlign w:val="bottom"/>
          </w:tcPr>
          <w:p>
            <w:pPr>
              <w:spacing w:after="0"/>
              <w:rPr>
                <w:sz w:val="1"/>
                <w:szCs w:val="1"/>
                <w:color w:val="auto"/>
              </w:rPr>
            </w:pPr>
          </w:p>
        </w:tc>
      </w:tr>
      <w:tr>
        <w:trPr>
          <w:trHeight w:val="48"/>
        </w:trPr>
        <w:tc>
          <w:tcPr>
            <w:tcW w:w="2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480" w:type="dxa"/>
            <w:vAlign w:val="bottom"/>
            <w:shd w:val="clear" w:color="auto" w:fill="D9D9D9"/>
          </w:tcPr>
          <w:p>
            <w:pPr>
              <w:ind w:left="360"/>
              <w:spacing w:after="0"/>
              <w:rPr>
                <w:sz w:val="20"/>
                <w:szCs w:val="20"/>
                <w:color w:val="auto"/>
              </w:rPr>
            </w:pPr>
            <w:r>
              <w:rPr>
                <w:rFonts w:ascii="Arial" w:cs="Arial" w:eastAsia="Arial" w:hAnsi="Arial"/>
                <w:sz w:val="18"/>
                <w:szCs w:val="18"/>
                <w:color w:val="auto"/>
              </w:rPr>
              <w:t>Native American</w:t>
            </w:r>
          </w:p>
        </w:tc>
        <w:tc>
          <w:tcPr>
            <w:tcW w:w="780" w:type="dxa"/>
            <w:vAlign w:val="bottom"/>
            <w:shd w:val="clear" w:color="auto" w:fill="D9D9D9"/>
          </w:tcPr>
          <w:p>
            <w:pPr>
              <w:spacing w:after="0"/>
              <w:rPr>
                <w:sz w:val="24"/>
                <w:szCs w:val="24"/>
                <w:color w:val="auto"/>
              </w:rPr>
            </w:pPr>
          </w:p>
        </w:tc>
        <w:tc>
          <w:tcPr>
            <w:tcW w:w="560" w:type="dxa"/>
            <w:vAlign w:val="bottom"/>
            <w:shd w:val="clear" w:color="auto" w:fill="D9D9D9"/>
          </w:tcPr>
          <w:p>
            <w:pPr>
              <w:spacing w:after="0"/>
              <w:rPr>
                <w:sz w:val="24"/>
                <w:szCs w:val="24"/>
                <w:color w:val="auto"/>
              </w:rPr>
            </w:pPr>
          </w:p>
        </w:tc>
        <w:tc>
          <w:tcPr>
            <w:tcW w:w="780" w:type="dxa"/>
            <w:vAlign w:val="bottom"/>
            <w:shd w:val="clear" w:color="auto" w:fill="D9D9D9"/>
          </w:tcPr>
          <w:p>
            <w:pPr>
              <w:spacing w:after="0"/>
              <w:rPr>
                <w:sz w:val="24"/>
                <w:szCs w:val="24"/>
                <w:color w:val="auto"/>
              </w:rPr>
            </w:pPr>
          </w:p>
        </w:tc>
        <w:tc>
          <w:tcPr>
            <w:tcW w:w="800" w:type="dxa"/>
            <w:vAlign w:val="bottom"/>
            <w:shd w:val="clear" w:color="auto" w:fill="D9D9D9"/>
          </w:tcPr>
          <w:p>
            <w:pPr>
              <w:spacing w:after="0"/>
              <w:rPr>
                <w:sz w:val="24"/>
                <w:szCs w:val="24"/>
                <w:color w:val="auto"/>
              </w:rPr>
            </w:pPr>
          </w:p>
        </w:tc>
        <w:tc>
          <w:tcPr>
            <w:tcW w:w="98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680" w:type="dxa"/>
            <w:vAlign w:val="bottom"/>
            <w:shd w:val="clear" w:color="auto" w:fill="D9D9D9"/>
          </w:tcPr>
          <w:p>
            <w:pPr>
              <w:spacing w:after="0"/>
              <w:rPr>
                <w:sz w:val="24"/>
                <w:szCs w:val="24"/>
                <w:color w:val="auto"/>
              </w:rPr>
            </w:pPr>
          </w:p>
        </w:tc>
        <w:tc>
          <w:tcPr>
            <w:tcW w:w="760" w:type="dxa"/>
            <w:vAlign w:val="bottom"/>
            <w:shd w:val="clear" w:color="auto" w:fill="D9D9D9"/>
          </w:tcPr>
          <w:p>
            <w:pPr>
              <w:spacing w:after="0"/>
              <w:rPr>
                <w:sz w:val="24"/>
                <w:szCs w:val="24"/>
                <w:color w:val="auto"/>
              </w:rPr>
            </w:pPr>
          </w:p>
        </w:tc>
        <w:tc>
          <w:tcPr>
            <w:tcW w:w="880" w:type="dxa"/>
            <w:vAlign w:val="bottom"/>
            <w:shd w:val="clear" w:color="auto" w:fill="D9D9D9"/>
          </w:tcPr>
          <w:p>
            <w:pPr>
              <w:spacing w:after="0"/>
              <w:rPr>
                <w:sz w:val="24"/>
                <w:szCs w:val="24"/>
                <w:color w:val="auto"/>
              </w:rPr>
            </w:pPr>
          </w:p>
        </w:tc>
        <w:tc>
          <w:tcPr>
            <w:tcW w:w="980" w:type="dxa"/>
            <w:vAlign w:val="bottom"/>
            <w:shd w:val="clear" w:color="auto" w:fill="D9D9D9"/>
          </w:tcPr>
          <w:p>
            <w:pPr>
              <w:spacing w:after="0"/>
              <w:rPr>
                <w:sz w:val="24"/>
                <w:szCs w:val="24"/>
                <w:color w:val="auto"/>
              </w:rPr>
            </w:pPr>
          </w:p>
        </w:tc>
        <w:tc>
          <w:tcPr>
            <w:tcW w:w="70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480" w:type="dxa"/>
            <w:vAlign w:val="bottom"/>
            <w:shd w:val="clear" w:color="auto" w:fill="D9D9D9"/>
          </w:tcPr>
          <w:p>
            <w:pPr>
              <w:spacing w:after="0"/>
              <w:rPr>
                <w:sz w:val="6"/>
                <w:szCs w:val="6"/>
                <w:color w:val="auto"/>
              </w:rPr>
            </w:pPr>
          </w:p>
        </w:tc>
        <w:tc>
          <w:tcPr>
            <w:tcW w:w="780" w:type="dxa"/>
            <w:vAlign w:val="bottom"/>
            <w:shd w:val="clear" w:color="auto" w:fill="D9D9D9"/>
          </w:tcPr>
          <w:p>
            <w:pPr>
              <w:spacing w:after="0"/>
              <w:rPr>
                <w:sz w:val="6"/>
                <w:szCs w:val="6"/>
                <w:color w:val="auto"/>
              </w:rPr>
            </w:pPr>
          </w:p>
        </w:tc>
        <w:tc>
          <w:tcPr>
            <w:tcW w:w="560" w:type="dxa"/>
            <w:vAlign w:val="bottom"/>
            <w:shd w:val="clear" w:color="auto" w:fill="D9D9D9"/>
          </w:tcPr>
          <w:p>
            <w:pPr>
              <w:spacing w:after="0"/>
              <w:rPr>
                <w:sz w:val="6"/>
                <w:szCs w:val="6"/>
                <w:color w:val="auto"/>
              </w:rPr>
            </w:pPr>
          </w:p>
        </w:tc>
        <w:tc>
          <w:tcPr>
            <w:tcW w:w="780" w:type="dxa"/>
            <w:vAlign w:val="bottom"/>
            <w:shd w:val="clear" w:color="auto" w:fill="D9D9D9"/>
          </w:tcPr>
          <w:p>
            <w:pPr>
              <w:spacing w:after="0"/>
              <w:rPr>
                <w:sz w:val="6"/>
                <w:szCs w:val="6"/>
                <w:color w:val="auto"/>
              </w:rPr>
            </w:pPr>
          </w:p>
        </w:tc>
        <w:tc>
          <w:tcPr>
            <w:tcW w:w="800" w:type="dxa"/>
            <w:vAlign w:val="bottom"/>
            <w:shd w:val="clear" w:color="auto" w:fill="D9D9D9"/>
          </w:tcPr>
          <w:p>
            <w:pPr>
              <w:spacing w:after="0"/>
              <w:rPr>
                <w:sz w:val="6"/>
                <w:szCs w:val="6"/>
                <w:color w:val="auto"/>
              </w:rPr>
            </w:pPr>
          </w:p>
        </w:tc>
        <w:tc>
          <w:tcPr>
            <w:tcW w:w="980" w:type="dxa"/>
            <w:vAlign w:val="bottom"/>
            <w:shd w:val="clear" w:color="auto" w:fill="D9D9D9"/>
          </w:tcPr>
          <w:p>
            <w:pPr>
              <w:spacing w:after="0"/>
              <w:rPr>
                <w:sz w:val="6"/>
                <w:szCs w:val="6"/>
                <w:color w:val="auto"/>
              </w:rPr>
            </w:pPr>
          </w:p>
        </w:tc>
        <w:tc>
          <w:tcPr>
            <w:tcW w:w="860" w:type="dxa"/>
            <w:vAlign w:val="bottom"/>
            <w:shd w:val="clear" w:color="auto" w:fill="D9D9D9"/>
          </w:tcPr>
          <w:p>
            <w:pPr>
              <w:spacing w:after="0"/>
              <w:rPr>
                <w:sz w:val="6"/>
                <w:szCs w:val="6"/>
                <w:color w:val="auto"/>
              </w:rPr>
            </w:pPr>
          </w:p>
        </w:tc>
        <w:tc>
          <w:tcPr>
            <w:tcW w:w="680" w:type="dxa"/>
            <w:vAlign w:val="bottom"/>
            <w:shd w:val="clear" w:color="auto" w:fill="D9D9D9"/>
          </w:tcPr>
          <w:p>
            <w:pPr>
              <w:spacing w:after="0"/>
              <w:rPr>
                <w:sz w:val="6"/>
                <w:szCs w:val="6"/>
                <w:color w:val="auto"/>
              </w:rPr>
            </w:pPr>
          </w:p>
        </w:tc>
        <w:tc>
          <w:tcPr>
            <w:tcW w:w="760" w:type="dxa"/>
            <w:vAlign w:val="bottom"/>
            <w:shd w:val="clear" w:color="auto" w:fill="D9D9D9"/>
          </w:tcPr>
          <w:p>
            <w:pPr>
              <w:spacing w:after="0"/>
              <w:rPr>
                <w:sz w:val="6"/>
                <w:szCs w:val="6"/>
                <w:color w:val="auto"/>
              </w:rPr>
            </w:pPr>
          </w:p>
        </w:tc>
        <w:tc>
          <w:tcPr>
            <w:tcW w:w="880" w:type="dxa"/>
            <w:vAlign w:val="bottom"/>
            <w:shd w:val="clear" w:color="auto" w:fill="D9D9D9"/>
          </w:tcPr>
          <w:p>
            <w:pPr>
              <w:spacing w:after="0"/>
              <w:rPr>
                <w:sz w:val="6"/>
                <w:szCs w:val="6"/>
                <w:color w:val="auto"/>
              </w:rPr>
            </w:pPr>
          </w:p>
        </w:tc>
        <w:tc>
          <w:tcPr>
            <w:tcW w:w="980" w:type="dxa"/>
            <w:vAlign w:val="bottom"/>
            <w:shd w:val="clear" w:color="auto" w:fill="D9D9D9"/>
          </w:tcPr>
          <w:p>
            <w:pPr>
              <w:spacing w:after="0"/>
              <w:rPr>
                <w:sz w:val="6"/>
                <w:szCs w:val="6"/>
                <w:color w:val="auto"/>
              </w:rPr>
            </w:pPr>
          </w:p>
        </w:tc>
        <w:tc>
          <w:tcPr>
            <w:tcW w:w="700" w:type="dxa"/>
            <w:vAlign w:val="bottom"/>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323"/>
        </w:trPr>
        <w:tc>
          <w:tcPr>
            <w:tcW w:w="2480" w:type="dxa"/>
            <w:vAlign w:val="bottom"/>
          </w:tcPr>
          <w:p>
            <w:pPr>
              <w:ind w:left="40"/>
              <w:spacing w:after="0"/>
              <w:rPr>
                <w:sz w:val="20"/>
                <w:szCs w:val="20"/>
                <w:color w:val="auto"/>
              </w:rPr>
            </w:pPr>
            <w:r>
              <w:rPr>
                <w:rFonts w:ascii="Arial" w:cs="Arial" w:eastAsia="Arial" w:hAnsi="Arial"/>
                <w:sz w:val="18"/>
                <w:szCs w:val="18"/>
                <w:b w:val="1"/>
                <w:bCs w:val="1"/>
                <w:color w:val="auto"/>
              </w:rPr>
              <w:t>Gender</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2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9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8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2"/>
        </w:trPr>
        <w:tc>
          <w:tcPr>
            <w:tcW w:w="2480" w:type="dxa"/>
            <w:vAlign w:val="bottom"/>
            <w:tcBorders>
              <w:bottom w:val="single" w:sz="8" w:color="D9D9D9"/>
            </w:tcBorders>
            <w:shd w:val="clear" w:color="auto" w:fill="D9D9D9"/>
          </w:tcPr>
          <w:p>
            <w:pPr>
              <w:ind w:left="360"/>
              <w:spacing w:after="0"/>
              <w:rPr>
                <w:sz w:val="20"/>
                <w:szCs w:val="20"/>
                <w:color w:val="auto"/>
              </w:rPr>
            </w:pPr>
            <w:r>
              <w:rPr>
                <w:rFonts w:ascii="Arial" w:cs="Arial" w:eastAsia="Arial" w:hAnsi="Arial"/>
                <w:sz w:val="18"/>
                <w:szCs w:val="18"/>
                <w:color w:val="auto"/>
              </w:rPr>
              <w:t>Male</w:t>
            </w:r>
          </w:p>
        </w:tc>
        <w:tc>
          <w:tcPr>
            <w:tcW w:w="780" w:type="dxa"/>
            <w:vAlign w:val="bottom"/>
            <w:tcBorders>
              <w:bottom w:val="single" w:sz="8" w:color="D9D9D9"/>
            </w:tcBorders>
            <w:shd w:val="clear" w:color="auto" w:fill="D9D9D9"/>
          </w:tcPr>
          <w:p>
            <w:pPr>
              <w:spacing w:after="0"/>
              <w:rPr>
                <w:sz w:val="24"/>
                <w:szCs w:val="24"/>
                <w:color w:val="auto"/>
              </w:rPr>
            </w:pPr>
          </w:p>
        </w:tc>
        <w:tc>
          <w:tcPr>
            <w:tcW w:w="560" w:type="dxa"/>
            <w:vAlign w:val="bottom"/>
            <w:tcBorders>
              <w:bottom w:val="single" w:sz="8" w:color="D9D9D9"/>
            </w:tcBorders>
            <w:shd w:val="clear" w:color="auto" w:fill="D9D9D9"/>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C00000"/>
              </w:rPr>
              <w:t>✓</w:t>
            </w:r>
          </w:p>
        </w:tc>
        <w:tc>
          <w:tcPr>
            <w:tcW w:w="780" w:type="dxa"/>
            <w:vAlign w:val="bottom"/>
            <w:tcBorders>
              <w:bottom w:val="single" w:sz="8" w:color="D9D9D9"/>
            </w:tcBorders>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00" w:type="dxa"/>
            <w:vAlign w:val="bottom"/>
            <w:tcBorders>
              <w:bottom w:val="single" w:sz="8" w:color="D9D9D9"/>
            </w:tcBorders>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980" w:type="dxa"/>
            <w:vAlign w:val="bottom"/>
            <w:tcBorders>
              <w:bottom w:val="single" w:sz="8" w:color="D9D9D9"/>
            </w:tcBorders>
            <w:shd w:val="clear" w:color="auto" w:fill="D9D9D9"/>
          </w:tcPr>
          <w:p>
            <w:pPr>
              <w:ind w:left="38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60" w:type="dxa"/>
            <w:vAlign w:val="bottom"/>
            <w:tcBorders>
              <w:bottom w:val="single" w:sz="8" w:color="D9D9D9"/>
            </w:tcBorders>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680" w:type="dxa"/>
            <w:vAlign w:val="bottom"/>
            <w:tcBorders>
              <w:bottom w:val="single" w:sz="8" w:color="D9D9D9"/>
            </w:tcBorders>
            <w:shd w:val="clear" w:color="auto" w:fill="D9D9D9"/>
          </w:tcPr>
          <w:p>
            <w:pPr>
              <w:spacing w:after="0"/>
              <w:rPr>
                <w:sz w:val="24"/>
                <w:szCs w:val="24"/>
                <w:color w:val="auto"/>
              </w:rPr>
            </w:pPr>
          </w:p>
        </w:tc>
        <w:tc>
          <w:tcPr>
            <w:tcW w:w="760" w:type="dxa"/>
            <w:vAlign w:val="bottom"/>
            <w:tcBorders>
              <w:bottom w:val="single" w:sz="8" w:color="D9D9D9"/>
            </w:tcBorders>
            <w:shd w:val="clear" w:color="auto" w:fill="D9D9D9"/>
          </w:tcPr>
          <w:p>
            <w:pPr>
              <w:ind w:left="26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80" w:type="dxa"/>
            <w:vAlign w:val="bottom"/>
            <w:tcBorders>
              <w:bottom w:val="single" w:sz="8" w:color="D9D9D9"/>
            </w:tcBorders>
            <w:shd w:val="clear" w:color="auto" w:fill="D9D9D9"/>
          </w:tcPr>
          <w:p>
            <w:pPr>
              <w:ind w:left="32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980" w:type="dxa"/>
            <w:vAlign w:val="bottom"/>
            <w:tcBorders>
              <w:bottom w:val="single" w:sz="8" w:color="D9D9D9"/>
            </w:tcBorders>
            <w:shd w:val="clear" w:color="auto" w:fill="D9D9D9"/>
          </w:tcPr>
          <w:p>
            <w:pPr>
              <w:spacing w:after="0"/>
              <w:rPr>
                <w:sz w:val="24"/>
                <w:szCs w:val="24"/>
                <w:color w:val="auto"/>
              </w:rPr>
            </w:pPr>
          </w:p>
        </w:tc>
        <w:tc>
          <w:tcPr>
            <w:tcW w:w="700" w:type="dxa"/>
            <w:vAlign w:val="bottom"/>
            <w:tcBorders>
              <w:bottom w:val="single" w:sz="8" w:color="D9D9D9"/>
            </w:tcBorders>
            <w:shd w:val="clear" w:color="auto" w:fill="D9D9D9"/>
          </w:tcPr>
          <w:p>
            <w:pPr>
              <w:ind w:left="24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0" w:type="dxa"/>
            <w:vAlign w:val="bottom"/>
          </w:tcPr>
          <w:p>
            <w:pPr>
              <w:spacing w:after="0"/>
              <w:rPr>
                <w:sz w:val="1"/>
                <w:szCs w:val="1"/>
                <w:color w:val="auto"/>
              </w:rPr>
            </w:pPr>
          </w:p>
        </w:tc>
      </w:tr>
      <w:tr>
        <w:trPr>
          <w:trHeight w:val="344"/>
        </w:trPr>
        <w:tc>
          <w:tcPr>
            <w:tcW w:w="2480" w:type="dxa"/>
            <w:vAlign w:val="bottom"/>
          </w:tcPr>
          <w:p>
            <w:pPr>
              <w:ind w:left="360"/>
              <w:spacing w:after="0"/>
              <w:rPr>
                <w:sz w:val="20"/>
                <w:szCs w:val="20"/>
                <w:color w:val="auto"/>
              </w:rPr>
            </w:pPr>
            <w:r>
              <w:rPr>
                <w:rFonts w:ascii="Arial" w:cs="Arial" w:eastAsia="Arial" w:hAnsi="Arial"/>
                <w:sz w:val="18"/>
                <w:szCs w:val="18"/>
                <w:color w:val="auto"/>
              </w:rPr>
              <w:t>Female</w:t>
            </w:r>
          </w:p>
        </w:tc>
        <w:tc>
          <w:tcPr>
            <w:tcW w:w="7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ind w:right="20" w:firstLine="401"/>
        <w:spacing w:after="0" w:line="253" w:lineRule="auto"/>
        <w:rPr>
          <w:sz w:val="20"/>
          <w:szCs w:val="20"/>
          <w:color w:val="auto"/>
        </w:rPr>
      </w:pPr>
      <w:r>
        <w:rPr>
          <w:rFonts w:ascii="Arial" w:cs="Arial" w:eastAsia="Arial" w:hAnsi="Arial"/>
          <w:sz w:val="18"/>
          <w:szCs w:val="18"/>
          <w:color w:val="auto"/>
        </w:rPr>
        <w:t>The information presented on the following pages regarding each director nominee or continuing director also sets forth specific experience, qualifications, attributes and skills that led our Board to conclude that he or she should serve as a director in light of our business and structure.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C00000"/>
        </w:rPr>
        <w:t>Director Nominees for Election to the Board for a Term Ending at the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028700" cy="12344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8700" cy="1234440"/>
                    </a:xfrm>
                    <a:prstGeom prst="rect">
                      <a:avLst/>
                    </a:prstGeom>
                    <a:noFill/>
                  </pic:spPr>
                </pic:pic>
              </a:graphicData>
            </a:graphic>
          </wp:anchor>
        </w:drawing>
      </w:r>
    </w:p>
    <w:p>
      <w:pPr>
        <w:spacing w:after="0" w:line="241"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8890</wp:posOffset>
            </wp:positionV>
            <wp:extent cx="55892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43" w:lineRule="exact"/>
        <w:rPr>
          <w:sz w:val="20"/>
          <w:szCs w:val="20"/>
          <w:color w:val="auto"/>
        </w:rPr>
      </w:pPr>
    </w:p>
    <w:p>
      <w:pPr>
        <w:jc w:val="both"/>
        <w:ind w:left="2520" w:right="240"/>
        <w:spacing w:after="0" w:line="241" w:lineRule="auto"/>
        <w:rPr>
          <w:sz w:val="20"/>
          <w:szCs w:val="20"/>
          <w:color w:val="auto"/>
        </w:rPr>
      </w:pPr>
      <w:r>
        <w:rPr>
          <w:rFonts w:ascii="Arial" w:cs="Arial" w:eastAsia="Arial" w:hAnsi="Arial"/>
          <w:sz w:val="18"/>
          <w:szCs w:val="18"/>
          <w:color w:val="auto"/>
        </w:rPr>
        <w:t>Jeffrey M. Ettinger retired from Hormel Foods Corporation, Austin, Minnesota (a multinational manufacturer and marketer of consumer-branded food and meat products). He held the following positions, all at Hormel Foods:</w:t>
      </w:r>
    </w:p>
    <w:p>
      <w:pPr>
        <w:spacing w:after="0" w:line="2" w:lineRule="exact"/>
        <w:rPr>
          <w:sz w:val="20"/>
          <w:szCs w:val="20"/>
          <w:color w:val="auto"/>
        </w:rPr>
      </w:pPr>
    </w:p>
    <w:p>
      <w:pPr>
        <w:ind w:left="2680" w:hanging="161"/>
        <w:spacing w:after="0"/>
        <w:tabs>
          <w:tab w:leader="none" w:pos="268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8"/>
          <w:szCs w:val="18"/>
          <w:color w:val="auto"/>
        </w:rPr>
        <w:t>Chairman of the Board (October 2016 – November 2017)</w:t>
      </w:r>
    </w:p>
    <w:p>
      <w:pPr>
        <w:spacing w:after="0" w:line="9" w:lineRule="exact"/>
        <w:rPr>
          <w:rFonts w:ascii="Times New Roman" w:cs="Times New Roman" w:eastAsia="Times New Roman" w:hAnsi="Times New Roman"/>
          <w:sz w:val="16"/>
          <w:szCs w:val="16"/>
          <w:color w:val="auto"/>
        </w:rPr>
      </w:pPr>
    </w:p>
    <w:p>
      <w:pPr>
        <w:ind w:left="2680" w:hanging="161"/>
        <w:spacing w:after="0"/>
        <w:tabs>
          <w:tab w:leader="none" w:pos="268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8"/>
          <w:szCs w:val="18"/>
          <w:color w:val="auto"/>
        </w:rPr>
        <w:t>Chairman of the Board and Chief Executive Officer (November 2006 – October 2016)</w:t>
      </w:r>
    </w:p>
    <w:p>
      <w:pPr>
        <w:spacing w:after="0" w:line="9" w:lineRule="exact"/>
        <w:rPr>
          <w:rFonts w:ascii="Times New Roman" w:cs="Times New Roman" w:eastAsia="Times New Roman" w:hAnsi="Times New Roman"/>
          <w:sz w:val="16"/>
          <w:szCs w:val="16"/>
          <w:color w:val="auto"/>
        </w:rPr>
      </w:pPr>
    </w:p>
    <w:p>
      <w:pPr>
        <w:ind w:left="2680" w:hanging="161"/>
        <w:spacing w:after="0"/>
        <w:tabs>
          <w:tab w:leader="none" w:pos="268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8"/>
          <w:szCs w:val="18"/>
          <w:color w:val="auto"/>
        </w:rPr>
        <w:t>President (July 2004 – October 2015)</w:t>
      </w:r>
    </w:p>
    <w:p>
      <w:pPr>
        <w:sectPr>
          <w:pgSz w:w="11900" w:h="16838" w:orient="portrait"/>
          <w:cols w:equalWidth="0" w:num="1">
            <w:col w:w="11260"/>
          </w:cols>
          <w:pgMar w:left="320" w:top="121" w:right="31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Jeffrey M. Ettinger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474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 w:lineRule="exact"/>
        <w:rPr>
          <w:sz w:val="20"/>
          <w:szCs w:val="20"/>
          <w:color w:val="auto"/>
        </w:rPr>
      </w:pPr>
    </w:p>
    <w:p>
      <w:pPr>
        <w:ind w:left="80"/>
        <w:spacing w:after="0"/>
        <w:rPr>
          <w:sz w:val="20"/>
          <w:szCs w:val="20"/>
          <w:color w:val="auto"/>
        </w:rPr>
      </w:pPr>
      <w:r>
        <w:rPr>
          <w:rFonts w:ascii="Arial" w:cs="Arial" w:eastAsia="Arial" w:hAnsi="Arial"/>
          <w:sz w:val="18"/>
          <w:szCs w:val="18"/>
          <w:color w:val="auto"/>
        </w:rPr>
        <w:t>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1474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Director since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1474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8"/>
          <w:szCs w:val="18"/>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1474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Committees</w:t>
      </w:r>
    </w:p>
    <w:p>
      <w:pPr>
        <w:spacing w:after="0" w:line="4" w:lineRule="exact"/>
        <w:rPr>
          <w:sz w:val="20"/>
          <w:szCs w:val="20"/>
          <w:color w:val="auto"/>
        </w:rPr>
      </w:pPr>
    </w:p>
    <w:p>
      <w:pPr>
        <w:ind w:left="260" w:hanging="171"/>
        <w:spacing w:after="0" w:line="256" w:lineRule="auto"/>
        <w:tabs>
          <w:tab w:leader="none" w:pos="255" w:val="left"/>
        </w:tabs>
        <w:numPr>
          <w:ilvl w:val="0"/>
          <w:numId w:val="13"/>
        </w:numPr>
        <w:rPr>
          <w:rFonts w:ascii="Times New Roman" w:cs="Times New Roman" w:eastAsia="Times New Roman" w:hAnsi="Times New Roman"/>
          <w:sz w:val="15"/>
          <w:szCs w:val="15"/>
          <w:color w:val="auto"/>
        </w:rPr>
      </w:pPr>
      <w:r>
        <w:rPr>
          <w:rFonts w:ascii="Arial" w:cs="Arial" w:eastAsia="Arial" w:hAnsi="Arial"/>
          <w:sz w:val="17"/>
          <w:szCs w:val="17"/>
          <w:color w:val="auto"/>
        </w:rPr>
        <w:t>Nominating &amp; Governance (Chair)</w:t>
      </w:r>
    </w:p>
    <w:p>
      <w:pPr>
        <w:spacing w:after="0" w:line="1" w:lineRule="exact"/>
        <w:rPr>
          <w:rFonts w:ascii="Times New Roman" w:cs="Times New Roman" w:eastAsia="Times New Roman" w:hAnsi="Times New Roman"/>
          <w:sz w:val="15"/>
          <w:szCs w:val="15"/>
          <w:color w:val="auto"/>
        </w:rPr>
      </w:pPr>
    </w:p>
    <w:p>
      <w:pPr>
        <w:ind w:left="260" w:right="100" w:hanging="171"/>
        <w:spacing w:after="0" w:line="296" w:lineRule="auto"/>
        <w:tabs>
          <w:tab w:leader="none" w:pos="255" w:val="left"/>
        </w:tabs>
        <w:numPr>
          <w:ilvl w:val="0"/>
          <w:numId w:val="13"/>
        </w:numPr>
        <w:rPr>
          <w:rFonts w:ascii="Times New Roman" w:cs="Times New Roman" w:eastAsia="Times New Roman" w:hAnsi="Times New Roman"/>
          <w:sz w:val="15"/>
          <w:szCs w:val="15"/>
          <w:color w:val="auto"/>
        </w:rPr>
      </w:pPr>
      <w:r>
        <w:rPr>
          <w:rFonts w:ascii="Arial" w:cs="Arial" w:eastAsia="Arial" w:hAnsi="Arial"/>
          <w:sz w:val="17"/>
          <w:szCs w:val="17"/>
          <w:color w:val="auto"/>
        </w:rPr>
        <w:t>Compensation &amp;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723265</wp:posOffset>
            </wp:positionV>
            <wp:extent cx="1028700" cy="12426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28700" cy="124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Eric P. Hansotia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474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Arial" w:cs="Arial" w:eastAsia="Arial" w:hAnsi="Arial"/>
          <w:sz w:val="18"/>
          <w:szCs w:val="18"/>
          <w:color w:val="auto"/>
        </w:rPr>
        <w:t>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474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2" w:lineRule="exact"/>
        <w:rPr>
          <w:sz w:val="20"/>
          <w:szCs w:val="20"/>
          <w:color w:val="auto"/>
        </w:rPr>
      </w:pPr>
    </w:p>
    <w:p>
      <w:pPr>
        <w:ind w:left="80"/>
        <w:spacing w:after="0"/>
        <w:rPr>
          <w:sz w:val="20"/>
          <w:szCs w:val="20"/>
          <w:color w:val="auto"/>
        </w:rPr>
      </w:pPr>
      <w:r>
        <w:rPr>
          <w:rFonts w:ascii="Arial" w:cs="Arial" w:eastAsia="Arial" w:hAnsi="Arial"/>
          <w:sz w:val="18"/>
          <w:szCs w:val="18"/>
          <w:color w:val="auto"/>
        </w:rPr>
        <w:t>Director since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474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Arial" w:cs="Arial" w:eastAsia="Arial" w:hAnsi="Arial"/>
          <w:sz w:val="18"/>
          <w:szCs w:val="18"/>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4744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ind w:left="260" w:right="100" w:hanging="171"/>
        <w:spacing w:after="0" w:line="256" w:lineRule="auto"/>
        <w:tabs>
          <w:tab w:leader="none" w:pos="255" w:val="left"/>
        </w:tabs>
        <w:numPr>
          <w:ilvl w:val="0"/>
          <w:numId w:val="14"/>
        </w:numPr>
        <w:rPr>
          <w:rFonts w:ascii="Times New Roman" w:cs="Times New Roman" w:eastAsia="Times New Roman" w:hAnsi="Times New Roman"/>
          <w:sz w:val="15"/>
          <w:szCs w:val="15"/>
          <w:color w:val="auto"/>
        </w:rPr>
      </w:pPr>
      <w:r>
        <w:rPr>
          <w:rFonts w:ascii="Arial" w:cs="Arial" w:eastAsia="Arial" w:hAnsi="Arial"/>
          <w:sz w:val="17"/>
          <w:szCs w:val="17"/>
          <w:color w:val="auto"/>
        </w:rPr>
        <w:t>Compensation &amp; Human Resources</w:t>
      </w:r>
    </w:p>
    <w:p>
      <w:pPr>
        <w:spacing w:after="0" w:line="1" w:lineRule="exact"/>
        <w:rPr>
          <w:rFonts w:ascii="Times New Roman" w:cs="Times New Roman" w:eastAsia="Times New Roman" w:hAnsi="Times New Roman"/>
          <w:sz w:val="15"/>
          <w:szCs w:val="15"/>
          <w:color w:val="auto"/>
        </w:rPr>
      </w:pPr>
    </w:p>
    <w:p>
      <w:pPr>
        <w:ind w:left="260" w:right="520" w:hanging="171"/>
        <w:spacing w:after="0" w:line="296" w:lineRule="auto"/>
        <w:tabs>
          <w:tab w:leader="none" w:pos="255" w:val="left"/>
        </w:tabs>
        <w:numPr>
          <w:ilvl w:val="0"/>
          <w:numId w:val="14"/>
        </w:numPr>
        <w:rPr>
          <w:rFonts w:ascii="Times New Roman" w:cs="Times New Roman" w:eastAsia="Times New Roman" w:hAnsi="Times New Roman"/>
          <w:sz w:val="15"/>
          <w:szCs w:val="15"/>
          <w:color w:val="auto"/>
        </w:rPr>
      </w:pPr>
      <w:r>
        <w:rPr>
          <w:rFonts w:ascii="Arial" w:cs="Arial" w:eastAsia="Arial" w:hAnsi="Arial"/>
          <w:sz w:val="17"/>
          <w:szCs w:val="17"/>
          <w:color w:val="auto"/>
        </w:rPr>
        <w:t>Nominating &amp; Governance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17780</wp:posOffset>
            </wp:positionV>
            <wp:extent cx="55892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57" w:lineRule="exact"/>
        <w:rPr>
          <w:sz w:val="20"/>
          <w:szCs w:val="20"/>
          <w:color w:val="auto"/>
        </w:rPr>
      </w:pPr>
    </w:p>
    <w:p>
      <w:pPr>
        <w:ind w:left="41" w:right="120"/>
        <w:spacing w:after="0"/>
        <w:rPr>
          <w:sz w:val="20"/>
          <w:szCs w:val="20"/>
          <w:color w:val="auto"/>
        </w:rPr>
      </w:pPr>
      <w:r>
        <w:rPr>
          <w:rFonts w:ascii="Arial" w:cs="Arial" w:eastAsia="Arial" w:hAnsi="Arial"/>
          <w:sz w:val="18"/>
          <w:szCs w:val="18"/>
          <w:color w:val="auto"/>
        </w:rPr>
        <w:t>Mr. Ettinger brings to our Board strong business acumen, significant executive leadership attributes and relevant experience of driving growth through innovation and strategic acquisitions. Mr. Ettinger provides relevant insight and guidance with respect to numerous issues important to our Company, including, our strategy of driving growth in our business through the development of innovative, customer-valued products, expansion of our global presence through targeted acquisitions and sustainability. Additionally, as an experienced public company director and former executive, he contributes knowledge of public company requirements and issues, including those related to corporate governance and executive compensation matters.</w:t>
      </w:r>
    </w:p>
    <w:p>
      <w:pPr>
        <w:spacing w:after="0" w:line="288"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C00000"/>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17780</wp:posOffset>
            </wp:positionV>
            <wp:extent cx="55892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89270" cy="8890"/>
                    </a:xfrm>
                    <a:prstGeom prst="rect">
                      <a:avLst/>
                    </a:prstGeom>
                    <a:noFill/>
                  </pic:spPr>
                </pic:pic>
              </a:graphicData>
            </a:graphic>
          </wp:anchor>
        </w:drawing>
      </w:r>
    </w:p>
    <w:p>
      <w:pPr>
        <w:spacing w:after="0" w:line="57" w:lineRule="exact"/>
        <w:rPr>
          <w:sz w:val="20"/>
          <w:szCs w:val="20"/>
          <w:color w:val="auto"/>
        </w:rPr>
      </w:pPr>
    </w:p>
    <w:p>
      <w:pPr>
        <w:ind w:left="1801"/>
        <w:spacing w:after="0"/>
        <w:tabs>
          <w:tab w:leader="none" w:pos="5961"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14" w:lineRule="exact"/>
        <w:rPr>
          <w:sz w:val="20"/>
          <w:szCs w:val="20"/>
          <w:color w:val="auto"/>
        </w:rPr>
      </w:pPr>
    </w:p>
    <w:p>
      <w:pPr>
        <w:ind w:left="1041"/>
        <w:spacing w:after="0"/>
        <w:tabs>
          <w:tab w:leader="none" w:pos="6281" w:val="left"/>
        </w:tabs>
        <w:rPr>
          <w:sz w:val="20"/>
          <w:szCs w:val="20"/>
          <w:color w:val="auto"/>
        </w:rPr>
      </w:pPr>
      <w:r>
        <w:rPr>
          <w:rFonts w:ascii="Arial" w:cs="Arial" w:eastAsia="Arial" w:hAnsi="Arial"/>
          <w:sz w:val="18"/>
          <w:szCs w:val="18"/>
          <w:color w:val="auto"/>
        </w:rPr>
        <w:t>Ecolab Inc. (Lead Director)</w:t>
      </w:r>
      <w:r>
        <w:rPr>
          <w:sz w:val="20"/>
          <w:szCs w:val="20"/>
          <w:color w:val="auto"/>
        </w:rPr>
        <w:tab/>
      </w: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8890</wp:posOffset>
            </wp:positionV>
            <wp:extent cx="55892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43" w:lineRule="exact"/>
        <w:rPr>
          <w:sz w:val="20"/>
          <w:szCs w:val="20"/>
          <w:color w:val="auto"/>
        </w:rPr>
      </w:pPr>
    </w:p>
    <w:p>
      <w:pPr>
        <w:ind w:left="1" w:right="400"/>
        <w:spacing w:after="0" w:line="241" w:lineRule="auto"/>
        <w:rPr>
          <w:sz w:val="20"/>
          <w:szCs w:val="20"/>
          <w:color w:val="auto"/>
        </w:rPr>
      </w:pPr>
      <w:r>
        <w:rPr>
          <w:rFonts w:ascii="Arial" w:cs="Arial" w:eastAsia="Arial" w:hAnsi="Arial"/>
          <w:sz w:val="18"/>
          <w:szCs w:val="18"/>
          <w:color w:val="auto"/>
        </w:rPr>
        <w:t>Eric P. Hansotia is the Chairman, President and Chief Executive Officer of AGCO Corporation, Duluth, Georgia (a global leader in the design, manufacture and distribution of agricultural solutions). He holds or held the following positions at AGCO:</w:t>
      </w:r>
    </w:p>
    <w:p>
      <w:pPr>
        <w:spacing w:after="0" w:line="2" w:lineRule="exact"/>
        <w:rPr>
          <w:sz w:val="20"/>
          <w:szCs w:val="20"/>
          <w:color w:val="auto"/>
        </w:rPr>
      </w:pPr>
    </w:p>
    <w:p>
      <w:pPr>
        <w:ind w:left="161" w:hanging="161"/>
        <w:spacing w:after="0"/>
        <w:tabs>
          <w:tab w:leader="none" w:pos="161"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8"/>
          <w:szCs w:val="18"/>
          <w:color w:val="auto"/>
        </w:rPr>
        <w:t>Chairman, President and Chief Executive Officer (since January 2021)</w:t>
      </w:r>
    </w:p>
    <w:p>
      <w:pPr>
        <w:spacing w:after="0" w:line="9" w:lineRule="exact"/>
        <w:rPr>
          <w:rFonts w:ascii="Times New Roman" w:cs="Times New Roman" w:eastAsia="Times New Roman" w:hAnsi="Times New Roman"/>
          <w:sz w:val="16"/>
          <w:szCs w:val="16"/>
          <w:color w:val="auto"/>
        </w:rPr>
      </w:pPr>
    </w:p>
    <w:p>
      <w:pPr>
        <w:ind w:left="161" w:hanging="161"/>
        <w:spacing w:after="0"/>
        <w:tabs>
          <w:tab w:leader="none" w:pos="161"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8"/>
          <w:szCs w:val="18"/>
          <w:color w:val="auto"/>
        </w:rPr>
        <w:t>Chief Operating Officer (January 2019 – December 2020)</w:t>
      </w:r>
    </w:p>
    <w:p>
      <w:pPr>
        <w:spacing w:after="0" w:line="9" w:lineRule="exact"/>
        <w:rPr>
          <w:rFonts w:ascii="Times New Roman" w:cs="Times New Roman" w:eastAsia="Times New Roman" w:hAnsi="Times New Roman"/>
          <w:sz w:val="16"/>
          <w:szCs w:val="16"/>
          <w:color w:val="auto"/>
        </w:rPr>
      </w:pPr>
    </w:p>
    <w:p>
      <w:pPr>
        <w:ind w:left="161" w:hanging="161"/>
        <w:spacing w:after="0"/>
        <w:tabs>
          <w:tab w:leader="none" w:pos="161"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8"/>
          <w:szCs w:val="18"/>
          <w:color w:val="auto"/>
        </w:rPr>
        <w:t>Senior Vice President, Global Crop Cycle and Fuse Connected Services (January 2015 – January 2019)</w:t>
      </w:r>
    </w:p>
    <w:p>
      <w:pPr>
        <w:spacing w:after="0" w:line="9" w:lineRule="exact"/>
        <w:rPr>
          <w:rFonts w:ascii="Times New Roman" w:cs="Times New Roman" w:eastAsia="Times New Roman" w:hAnsi="Times New Roman"/>
          <w:sz w:val="16"/>
          <w:szCs w:val="16"/>
          <w:color w:val="auto"/>
        </w:rPr>
      </w:pPr>
    </w:p>
    <w:p>
      <w:pPr>
        <w:ind w:left="1" w:right="140" w:hanging="1"/>
        <w:spacing w:after="0" w:line="250" w:lineRule="auto"/>
        <w:tabs>
          <w:tab w:leader="none" w:pos="161"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8"/>
          <w:szCs w:val="18"/>
          <w:color w:val="auto"/>
        </w:rPr>
        <w:t>Senior Vice President, Global Harvesting and Advanced Technology Solutions (July 2013 – January 2015) Prior to joining AGCO, Mr. Hansotia spent 20 years at Deere &amp; Company in various leadership positions including at the general manager, vice president and senior vice president levels.</w:t>
      </w:r>
    </w:p>
    <w:p>
      <w:pPr>
        <w:spacing w:after="0" w:line="200" w:lineRule="exact"/>
        <w:rPr>
          <w:sz w:val="20"/>
          <w:szCs w:val="20"/>
          <w:color w:val="auto"/>
        </w:rPr>
      </w:pPr>
    </w:p>
    <w:p>
      <w:pPr>
        <w:spacing w:after="0" w:line="377"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17780</wp:posOffset>
            </wp:positionV>
            <wp:extent cx="55892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89270" cy="8890"/>
                    </a:xfrm>
                    <a:prstGeom prst="rect">
                      <a:avLst/>
                    </a:prstGeom>
                    <a:noFill/>
                  </pic:spPr>
                </pic:pic>
              </a:graphicData>
            </a:graphic>
          </wp:anchor>
        </w:drawing>
      </w:r>
    </w:p>
    <w:p>
      <w:pPr>
        <w:spacing w:after="0" w:line="57" w:lineRule="exact"/>
        <w:rPr>
          <w:sz w:val="20"/>
          <w:szCs w:val="20"/>
          <w:color w:val="auto"/>
        </w:rPr>
      </w:pPr>
    </w:p>
    <w:p>
      <w:pPr>
        <w:ind w:left="1" w:right="60"/>
        <w:spacing w:after="0" w:line="242" w:lineRule="auto"/>
        <w:rPr>
          <w:sz w:val="20"/>
          <w:szCs w:val="20"/>
          <w:color w:val="auto"/>
        </w:rPr>
      </w:pPr>
      <w:r>
        <w:rPr>
          <w:rFonts w:ascii="Arial" w:cs="Arial" w:eastAsia="Arial" w:hAnsi="Arial"/>
          <w:sz w:val="18"/>
          <w:szCs w:val="18"/>
          <w:color w:val="auto"/>
        </w:rPr>
        <w:t>Mr. Hansotia brings to our Board a strong strategic perspective and extensive executive leadership experience in areas critical to our Company’s success, including engineering, quality, advanced technology, manufacturing, product management, mergers and acquisitions, channel development and public company governance. He has significant international experience gained from leading global manufacturing and supply chain functions. As an individual of Indian descent, Mr. Hansotia champions diversity, equity and inclusion at AGCO and as a member of our Board.</w:t>
      </w:r>
    </w:p>
    <w:p>
      <w:pPr>
        <w:spacing w:after="0" w:line="200" w:lineRule="exact"/>
        <w:rPr>
          <w:sz w:val="20"/>
          <w:szCs w:val="20"/>
          <w:color w:val="auto"/>
        </w:rPr>
      </w:pPr>
    </w:p>
    <w:p>
      <w:pPr>
        <w:sectPr>
          <w:pgSz w:w="11900" w:h="16838" w:orient="portrait"/>
          <w:cols w:equalWidth="0" w:num="2">
            <w:col w:w="1840" w:space="679"/>
            <w:col w:w="8741"/>
          </w:cols>
          <w:pgMar w:left="320" w:top="121" w:right="319" w:bottom="1440" w:gutter="0" w:footer="0" w:header="0"/>
          <w:type w:val="continuous"/>
        </w:sectPr>
      </w:pPr>
    </w:p>
    <w:p>
      <w:pPr>
        <w:spacing w:after="0" w:line="33"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C00000"/>
        </w:rPr>
        <w:t>Other Public Company Boards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440" w:type="dxa"/>
            <w:vAlign w:val="bottom"/>
          </w:tcPr>
          <w:p>
            <w:pPr>
              <w:spacing w:after="0"/>
              <w:rPr>
                <w:sz w:val="16"/>
                <w:szCs w:val="16"/>
                <w:color w:val="auto"/>
              </w:rPr>
            </w:pPr>
          </w:p>
        </w:tc>
        <w:tc>
          <w:tcPr>
            <w:tcW w:w="3040" w:type="dxa"/>
            <w:vAlign w:val="bottom"/>
            <w:tcBorders>
              <w:top w:val="single" w:sz="8" w:color="C00000"/>
            </w:tcBorders>
          </w:tcPr>
          <w:p>
            <w:pPr>
              <w:jc w:val="center"/>
              <w:ind w:left="1270"/>
              <w:spacing w:after="0" w:line="191" w:lineRule="exact"/>
              <w:rPr>
                <w:sz w:val="20"/>
                <w:szCs w:val="20"/>
                <w:color w:val="auto"/>
              </w:rPr>
            </w:pPr>
            <w:r>
              <w:rPr>
                <w:rFonts w:ascii="Arial" w:cs="Arial" w:eastAsia="Arial" w:hAnsi="Arial"/>
                <w:sz w:val="18"/>
                <w:szCs w:val="18"/>
                <w:b w:val="1"/>
                <w:bCs w:val="1"/>
                <w:color w:val="auto"/>
                <w:w w:val="98"/>
              </w:rPr>
              <w:t>Current</w:t>
            </w:r>
          </w:p>
        </w:tc>
        <w:tc>
          <w:tcPr>
            <w:tcW w:w="5760" w:type="dxa"/>
            <w:vAlign w:val="bottom"/>
            <w:tcBorders>
              <w:top w:val="single" w:sz="8" w:color="C00000"/>
            </w:tcBorders>
          </w:tcPr>
          <w:p>
            <w:pPr>
              <w:jc w:val="center"/>
              <w:ind w:left="1250"/>
              <w:spacing w:after="0" w:line="191" w:lineRule="exact"/>
              <w:rPr>
                <w:sz w:val="20"/>
                <w:szCs w:val="20"/>
                <w:color w:val="auto"/>
              </w:rPr>
            </w:pPr>
            <w:r>
              <w:rPr>
                <w:rFonts w:ascii="Arial" w:cs="Arial" w:eastAsia="Arial" w:hAnsi="Arial"/>
                <w:sz w:val="18"/>
                <w:szCs w:val="18"/>
                <w:b w:val="1"/>
                <w:bCs w:val="1"/>
                <w:color w:val="auto"/>
                <w:w w:val="98"/>
              </w:rPr>
              <w:t>Past 5 Years</w:t>
            </w:r>
          </w:p>
        </w:tc>
        <w:tc>
          <w:tcPr>
            <w:tcW w:w="20" w:type="dxa"/>
            <w:vAlign w:val="bottom"/>
          </w:tcPr>
          <w:p>
            <w:pPr>
              <w:spacing w:after="0"/>
              <w:rPr>
                <w:sz w:val="16"/>
                <w:szCs w:val="16"/>
                <w:color w:val="auto"/>
              </w:rPr>
            </w:pPr>
          </w:p>
        </w:tc>
      </w:tr>
      <w:tr>
        <w:trPr>
          <w:trHeight w:val="239"/>
        </w:trPr>
        <w:tc>
          <w:tcPr>
            <w:tcW w:w="2440" w:type="dxa"/>
            <w:vAlign w:val="bottom"/>
          </w:tcPr>
          <w:p>
            <w:pPr>
              <w:spacing w:after="0"/>
              <w:rPr>
                <w:sz w:val="20"/>
                <w:szCs w:val="20"/>
                <w:color w:val="auto"/>
              </w:rPr>
            </w:pPr>
          </w:p>
        </w:tc>
        <w:tc>
          <w:tcPr>
            <w:tcW w:w="3040" w:type="dxa"/>
            <w:vAlign w:val="bottom"/>
          </w:tcPr>
          <w:p>
            <w:pPr>
              <w:jc w:val="center"/>
              <w:ind w:left="1270"/>
              <w:spacing w:after="0"/>
              <w:rPr>
                <w:sz w:val="20"/>
                <w:szCs w:val="20"/>
                <w:color w:val="auto"/>
              </w:rPr>
            </w:pPr>
            <w:r>
              <w:rPr>
                <w:rFonts w:ascii="Arial" w:cs="Arial" w:eastAsia="Arial" w:hAnsi="Arial"/>
                <w:sz w:val="18"/>
                <w:szCs w:val="18"/>
                <w:color w:val="auto"/>
                <w:w w:val="99"/>
              </w:rPr>
              <w:t>AGCO Corporation</w:t>
            </w:r>
          </w:p>
        </w:tc>
        <w:tc>
          <w:tcPr>
            <w:tcW w:w="5760" w:type="dxa"/>
            <w:vAlign w:val="bottom"/>
          </w:tcPr>
          <w:p>
            <w:pPr>
              <w:jc w:val="center"/>
              <w:ind w:left="1270"/>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20"/>
                <w:szCs w:val="20"/>
                <w:color w:val="auto"/>
              </w:rPr>
            </w:pPr>
          </w:p>
        </w:tc>
      </w:tr>
      <w:tr>
        <w:trPr>
          <w:trHeight w:val="851"/>
        </w:trPr>
        <w:tc>
          <w:tcPr>
            <w:tcW w:w="24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760" w:type="dxa"/>
            <w:vAlign w:val="bottom"/>
          </w:tcPr>
          <w:p>
            <w:pPr>
              <w:jc w:val="right"/>
              <w:ind w:right="547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4"/>
                <w:szCs w:val="24"/>
                <w:color w:val="auto"/>
              </w:rPr>
            </w:pPr>
          </w:p>
        </w:tc>
      </w:tr>
      <w:tr>
        <w:trPr>
          <w:trHeight w:val="98"/>
        </w:trPr>
        <w:tc>
          <w:tcPr>
            <w:tcW w:w="2440" w:type="dxa"/>
            <w:vAlign w:val="bottom"/>
            <w:tcBorders>
              <w:bottom w:val="single" w:sz="8" w:color="9A9A9A"/>
            </w:tcBorders>
          </w:tcPr>
          <w:p>
            <w:pPr>
              <w:spacing w:after="0"/>
              <w:rPr>
                <w:sz w:val="8"/>
                <w:szCs w:val="8"/>
                <w:color w:val="auto"/>
              </w:rPr>
            </w:pPr>
          </w:p>
        </w:tc>
        <w:tc>
          <w:tcPr>
            <w:tcW w:w="3040" w:type="dxa"/>
            <w:vAlign w:val="bottom"/>
            <w:tcBorders>
              <w:bottom w:val="single" w:sz="8" w:color="9A9A9A"/>
            </w:tcBorders>
          </w:tcPr>
          <w:p>
            <w:pPr>
              <w:spacing w:after="0"/>
              <w:rPr>
                <w:sz w:val="8"/>
                <w:szCs w:val="8"/>
                <w:color w:val="auto"/>
              </w:rPr>
            </w:pPr>
          </w:p>
        </w:tc>
        <w:tc>
          <w:tcPr>
            <w:tcW w:w="57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028700" cy="12344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2870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D. Christian Koch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474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8890</wp:posOffset>
            </wp:positionV>
            <wp:extent cx="55975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43"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D. Christian Koch is the Chairman, President and Chief Executive Officer of Carlisle Companies Incorporated, Scottsdale, Arizona (a diversified manufacturing company that produces and distributes a broad range of products). He holds or held the following positions, all at Carlisle:</w:t>
      </w:r>
    </w:p>
    <w:p>
      <w:pPr>
        <w:spacing w:after="0" w:line="2" w:lineRule="exact"/>
        <w:rPr>
          <w:sz w:val="20"/>
          <w:szCs w:val="20"/>
          <w:color w:val="auto"/>
        </w:rPr>
      </w:pPr>
    </w:p>
    <w:p>
      <w:pPr>
        <w:ind w:left="160" w:hanging="155"/>
        <w:spacing w:after="0"/>
        <w:tabs>
          <w:tab w:leader="none" w:pos="16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8"/>
          <w:szCs w:val="18"/>
          <w:color w:val="auto"/>
        </w:rPr>
        <w:t>Chairman (since May 2020)</w:t>
      </w:r>
    </w:p>
    <w:p>
      <w:pPr>
        <w:spacing w:after="0" w:line="9" w:lineRule="exact"/>
        <w:rPr>
          <w:rFonts w:ascii="Times New Roman" w:cs="Times New Roman" w:eastAsia="Times New Roman" w:hAnsi="Times New Roman"/>
          <w:sz w:val="16"/>
          <w:szCs w:val="16"/>
          <w:color w:val="auto"/>
        </w:rPr>
      </w:pPr>
    </w:p>
    <w:p>
      <w:pPr>
        <w:ind w:left="160" w:hanging="155"/>
        <w:spacing w:after="0"/>
        <w:tabs>
          <w:tab w:leader="none" w:pos="16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8"/>
          <w:szCs w:val="18"/>
          <w:color w:val="auto"/>
        </w:rPr>
        <w:t>President and Chief Executive Officer (since January 2016)</w:t>
      </w:r>
    </w:p>
    <w:p>
      <w:pPr>
        <w:spacing w:after="0" w:line="9" w:lineRule="exact"/>
        <w:rPr>
          <w:rFonts w:ascii="Times New Roman" w:cs="Times New Roman" w:eastAsia="Times New Roman" w:hAnsi="Times New Roman"/>
          <w:sz w:val="16"/>
          <w:szCs w:val="16"/>
          <w:color w:val="auto"/>
        </w:rPr>
      </w:pPr>
    </w:p>
    <w:p>
      <w:pPr>
        <w:ind w:left="160" w:hanging="155"/>
        <w:spacing w:after="0"/>
        <w:tabs>
          <w:tab w:leader="none" w:pos="16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8"/>
          <w:szCs w:val="18"/>
          <w:color w:val="auto"/>
        </w:rPr>
        <w:t>President and Chief Operating Officer (May 2014 – January 2016)</w:t>
      </w:r>
    </w:p>
    <w:p>
      <w:pPr>
        <w:spacing w:after="0" w:line="9" w:lineRule="exact"/>
        <w:rPr>
          <w:rFonts w:ascii="Times New Roman" w:cs="Times New Roman" w:eastAsia="Times New Roman" w:hAnsi="Times New Roman"/>
          <w:sz w:val="16"/>
          <w:szCs w:val="16"/>
          <w:color w:val="auto"/>
        </w:rPr>
      </w:pPr>
    </w:p>
    <w:p>
      <w:pPr>
        <w:ind w:left="160" w:hanging="155"/>
        <w:spacing w:after="0"/>
        <w:tabs>
          <w:tab w:leader="none" w:pos="16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8"/>
          <w:szCs w:val="18"/>
          <w:color w:val="auto"/>
        </w:rPr>
        <w:t>Group President, Carlisle Diversified Products (June 2012 – May 2014)</w:t>
      </w:r>
    </w:p>
    <w:p>
      <w:pPr>
        <w:spacing w:after="0" w:line="9" w:lineRule="exact"/>
        <w:rPr>
          <w:rFonts w:ascii="Times New Roman" w:cs="Times New Roman" w:eastAsia="Times New Roman" w:hAnsi="Times New Roman"/>
          <w:sz w:val="16"/>
          <w:szCs w:val="16"/>
          <w:color w:val="auto"/>
        </w:rPr>
      </w:pPr>
    </w:p>
    <w:p>
      <w:pPr>
        <w:ind w:left="160" w:hanging="155"/>
        <w:spacing w:after="0"/>
        <w:tabs>
          <w:tab w:leader="none" w:pos="16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8"/>
          <w:szCs w:val="18"/>
          <w:color w:val="auto"/>
        </w:rPr>
        <w:t>President, Carlisle Brake &amp; Friction (January 2009 – June 2012)</w:t>
      </w:r>
    </w:p>
    <w:p>
      <w:pPr>
        <w:spacing w:after="0" w:line="9" w:lineRule="exact"/>
        <w:rPr>
          <w:rFonts w:ascii="Times New Roman" w:cs="Times New Roman" w:eastAsia="Times New Roman" w:hAnsi="Times New Roman"/>
          <w:sz w:val="16"/>
          <w:szCs w:val="16"/>
          <w:color w:val="auto"/>
        </w:rPr>
      </w:pPr>
    </w:p>
    <w:p>
      <w:pPr>
        <w:ind w:left="160" w:hanging="155"/>
        <w:spacing w:after="0"/>
        <w:tabs>
          <w:tab w:leader="none" w:pos="16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8"/>
          <w:szCs w:val="18"/>
          <w:color w:val="auto"/>
        </w:rPr>
        <w:t>President, Carlisle Asia-Pacific (February 2008 – January 2009)</w:t>
      </w:r>
    </w:p>
    <w:p>
      <w:pPr>
        <w:spacing w:after="0" w:line="152" w:lineRule="exact"/>
        <w:rPr>
          <w:sz w:val="20"/>
          <w:szCs w:val="20"/>
          <w:color w:val="auto"/>
        </w:rPr>
      </w:pPr>
    </w:p>
    <w:p>
      <w:pPr>
        <w:sectPr>
          <w:pgSz w:w="11900" w:h="16838" w:orient="portrait"/>
          <w:cols w:equalWidth="0" w:num="2">
            <w:col w:w="1780" w:space="720"/>
            <w:col w:w="8740"/>
          </w:cols>
          <w:pgMar w:left="320" w:top="121" w:right="339" w:bottom="1440" w:gutter="0" w:footer="0" w:header="0"/>
        </w:sectPr>
      </w:pPr>
    </w:p>
    <w:tbl>
      <w:tblPr>
        <w:tblLayout w:type="fixed"/>
        <w:tblInd w:w="0" w:type="dxa"/>
        <w:tblCellMar>
          <w:top w:w="0" w:type="dxa"/>
          <w:left w:w="0" w:type="dxa"/>
          <w:bottom w:w="0" w:type="dxa"/>
          <w:right w:w="0" w:type="dxa"/>
        </w:tblCellMar>
      </w:tblPr>
      <w:tr>
        <w:trPr>
          <w:trHeight w:val="221"/>
        </w:trPr>
        <w:tc>
          <w:tcPr>
            <w:tcW w:w="2420" w:type="dxa"/>
            <w:vAlign w:val="bottom"/>
            <w:gridSpan w:val="3"/>
          </w:tcPr>
          <w:p>
            <w:pPr>
              <w:ind w:left="80"/>
              <w:spacing w:after="0"/>
              <w:rPr>
                <w:sz w:val="20"/>
                <w:szCs w:val="20"/>
                <w:color w:val="auto"/>
              </w:rPr>
            </w:pPr>
            <w:r>
              <w:rPr>
                <w:rFonts w:ascii="Arial" w:cs="Arial" w:eastAsia="Arial" w:hAnsi="Arial"/>
                <w:sz w:val="18"/>
                <w:szCs w:val="18"/>
                <w:color w:val="auto"/>
              </w:rPr>
              <w:t>Age 58</w:t>
            </w:r>
          </w:p>
        </w:tc>
        <w:tc>
          <w:tcPr>
            <w:tcW w:w="4620" w:type="dxa"/>
            <w:vAlign w:val="bottom"/>
          </w:tcPr>
          <w:p>
            <w:pPr>
              <w:ind w:left="80"/>
              <w:spacing w:after="0"/>
              <w:rPr>
                <w:sz w:val="20"/>
                <w:szCs w:val="20"/>
                <w:color w:val="auto"/>
              </w:rPr>
            </w:pPr>
            <w:r>
              <w:rPr>
                <w:rFonts w:ascii="Arial" w:cs="Arial" w:eastAsia="Arial" w:hAnsi="Arial"/>
                <w:sz w:val="18"/>
                <w:szCs w:val="18"/>
                <w:b w:val="1"/>
                <w:bCs w:val="1"/>
                <w:color w:val="C00000"/>
              </w:rPr>
              <w:t>Qualifications</w:t>
            </w:r>
          </w:p>
        </w:tc>
        <w:tc>
          <w:tcPr>
            <w:tcW w:w="4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20" w:type="dxa"/>
            <w:vAlign w:val="bottom"/>
            <w:tcBorders>
              <w:top w:val="single" w:sz="8" w:color="C00000"/>
              <w:bottom w:val="single" w:sz="8" w:color="C00000"/>
            </w:tcBorders>
            <w:gridSpan w:val="2"/>
          </w:tcPr>
          <w:p>
            <w:pPr>
              <w:ind w:left="80"/>
              <w:spacing w:after="0" w:line="196" w:lineRule="exact"/>
              <w:rPr>
                <w:sz w:val="20"/>
                <w:szCs w:val="20"/>
                <w:color w:val="auto"/>
              </w:rPr>
            </w:pPr>
            <w:r>
              <w:rPr>
                <w:rFonts w:ascii="Arial" w:cs="Arial" w:eastAsia="Arial" w:hAnsi="Arial"/>
                <w:sz w:val="18"/>
                <w:szCs w:val="18"/>
                <w:color w:val="auto"/>
              </w:rPr>
              <w:t>Director since 2016</w:t>
            </w:r>
          </w:p>
        </w:tc>
        <w:tc>
          <w:tcPr>
            <w:tcW w:w="100" w:type="dxa"/>
            <w:vAlign w:val="bottom"/>
          </w:tcPr>
          <w:p>
            <w:pPr>
              <w:spacing w:after="0"/>
              <w:rPr>
                <w:sz w:val="18"/>
                <w:szCs w:val="18"/>
                <w:color w:val="auto"/>
              </w:rPr>
            </w:pPr>
          </w:p>
        </w:tc>
        <w:tc>
          <w:tcPr>
            <w:tcW w:w="8820" w:type="dxa"/>
            <w:vAlign w:val="bottom"/>
            <w:tcBorders>
              <w:top w:val="single" w:sz="8" w:color="C00000"/>
            </w:tcBorders>
            <w:gridSpan w:val="2"/>
          </w:tcPr>
          <w:p>
            <w:pPr>
              <w:ind w:left="80"/>
              <w:spacing w:after="0" w:line="196" w:lineRule="exact"/>
              <w:rPr>
                <w:sz w:val="20"/>
                <w:szCs w:val="20"/>
                <w:color w:val="auto"/>
              </w:rPr>
            </w:pPr>
            <w:r>
              <w:rPr>
                <w:rFonts w:ascii="Arial" w:cs="Arial" w:eastAsia="Arial" w:hAnsi="Arial"/>
                <w:sz w:val="18"/>
                <w:szCs w:val="18"/>
                <w:color w:val="auto"/>
              </w:rPr>
              <w:t>Mr. Koch brings to our Board his experience as a seasoned executive with strong business acumen and</w:t>
            </w:r>
          </w:p>
        </w:tc>
        <w:tc>
          <w:tcPr>
            <w:tcW w:w="0" w:type="dxa"/>
            <w:vAlign w:val="bottom"/>
          </w:tcPr>
          <w:p>
            <w:pPr>
              <w:spacing w:after="0"/>
              <w:rPr>
                <w:sz w:val="1"/>
                <w:szCs w:val="1"/>
                <w:color w:val="auto"/>
              </w:rPr>
            </w:pPr>
          </w:p>
        </w:tc>
      </w:tr>
      <w:tr>
        <w:trPr>
          <w:trHeight w:val="209"/>
        </w:trPr>
        <w:tc>
          <w:tcPr>
            <w:tcW w:w="2320" w:type="dxa"/>
            <w:vAlign w:val="bottom"/>
            <w:tcBorders>
              <w:bottom w:val="single" w:sz="8" w:color="C00000"/>
            </w:tcBorders>
            <w:gridSpan w:val="2"/>
          </w:tcPr>
          <w:p>
            <w:pPr>
              <w:ind w:left="80"/>
              <w:spacing w:after="0"/>
              <w:rPr>
                <w:sz w:val="20"/>
                <w:szCs w:val="20"/>
                <w:color w:val="auto"/>
              </w:rPr>
            </w:pPr>
            <w:r>
              <w:rPr>
                <w:rFonts w:ascii="Arial" w:cs="Arial" w:eastAsia="Arial" w:hAnsi="Arial"/>
                <w:sz w:val="18"/>
                <w:szCs w:val="18"/>
                <w:color w:val="auto"/>
              </w:rPr>
              <w:t>Independent</w:t>
            </w:r>
          </w:p>
        </w:tc>
        <w:tc>
          <w:tcPr>
            <w:tcW w:w="100" w:type="dxa"/>
            <w:vAlign w:val="bottom"/>
          </w:tcPr>
          <w:p>
            <w:pPr>
              <w:spacing w:after="0"/>
              <w:rPr>
                <w:sz w:val="18"/>
                <w:szCs w:val="18"/>
                <w:color w:val="auto"/>
              </w:rPr>
            </w:pPr>
          </w:p>
        </w:tc>
        <w:tc>
          <w:tcPr>
            <w:tcW w:w="8820" w:type="dxa"/>
            <w:vAlign w:val="bottom"/>
            <w:gridSpan w:val="2"/>
          </w:tcPr>
          <w:p>
            <w:pPr>
              <w:ind w:left="80"/>
              <w:spacing w:after="0"/>
              <w:rPr>
                <w:sz w:val="20"/>
                <w:szCs w:val="20"/>
                <w:color w:val="auto"/>
              </w:rPr>
            </w:pPr>
            <w:r>
              <w:rPr>
                <w:rFonts w:ascii="Arial" w:cs="Arial" w:eastAsia="Arial" w:hAnsi="Arial"/>
                <w:sz w:val="18"/>
                <w:szCs w:val="18"/>
                <w:color w:val="auto"/>
              </w:rPr>
              <w:t>significant experience managing distribution, supply chain, manufacturing and sales operations around the</w:t>
            </w:r>
          </w:p>
        </w:tc>
        <w:tc>
          <w:tcPr>
            <w:tcW w:w="0" w:type="dxa"/>
            <w:vAlign w:val="bottom"/>
          </w:tcPr>
          <w:p>
            <w:pPr>
              <w:spacing w:after="0"/>
              <w:rPr>
                <w:sz w:val="1"/>
                <w:szCs w:val="1"/>
                <w:color w:val="auto"/>
              </w:rPr>
            </w:pPr>
          </w:p>
        </w:tc>
      </w:tr>
      <w:tr>
        <w:trPr>
          <w:trHeight w:val="177"/>
        </w:trPr>
        <w:tc>
          <w:tcPr>
            <w:tcW w:w="2320" w:type="dxa"/>
            <w:vAlign w:val="bottom"/>
            <w:gridSpan w:val="2"/>
          </w:tcPr>
          <w:p>
            <w:pPr>
              <w:ind w:left="80"/>
              <w:spacing w:after="0" w:line="177" w:lineRule="exact"/>
              <w:rPr>
                <w:sz w:val="20"/>
                <w:szCs w:val="20"/>
                <w:color w:val="auto"/>
              </w:rPr>
            </w:pPr>
            <w:r>
              <w:rPr>
                <w:rFonts w:ascii="Arial" w:cs="Arial" w:eastAsia="Arial" w:hAnsi="Arial"/>
                <w:sz w:val="18"/>
                <w:szCs w:val="18"/>
                <w:b w:val="1"/>
                <w:bCs w:val="1"/>
                <w:color w:val="auto"/>
              </w:rPr>
              <w:t>Committees</w:t>
            </w:r>
          </w:p>
        </w:tc>
        <w:tc>
          <w:tcPr>
            <w:tcW w:w="100" w:type="dxa"/>
            <w:vAlign w:val="bottom"/>
          </w:tcPr>
          <w:p>
            <w:pPr>
              <w:spacing w:after="0"/>
              <w:rPr>
                <w:sz w:val="15"/>
                <w:szCs w:val="15"/>
                <w:color w:val="auto"/>
              </w:rPr>
            </w:pPr>
          </w:p>
        </w:tc>
        <w:tc>
          <w:tcPr>
            <w:tcW w:w="8820" w:type="dxa"/>
            <w:vAlign w:val="bottom"/>
            <w:gridSpan w:val="2"/>
          </w:tcPr>
          <w:p>
            <w:pPr>
              <w:ind w:left="80"/>
              <w:spacing w:after="0" w:line="177" w:lineRule="exact"/>
              <w:rPr>
                <w:sz w:val="20"/>
                <w:szCs w:val="20"/>
                <w:color w:val="auto"/>
              </w:rPr>
            </w:pPr>
            <w:r>
              <w:rPr>
                <w:rFonts w:ascii="Arial" w:cs="Arial" w:eastAsia="Arial" w:hAnsi="Arial"/>
                <w:sz w:val="18"/>
                <w:szCs w:val="18"/>
                <w:color w:val="auto"/>
              </w:rPr>
              <w:t>world as well as with mergers and acquisitions. In addition, as a public company director and executive, Mr.</w:t>
            </w:r>
          </w:p>
        </w:tc>
        <w:tc>
          <w:tcPr>
            <w:tcW w:w="0" w:type="dxa"/>
            <w:vAlign w:val="bottom"/>
          </w:tcPr>
          <w:p>
            <w:pPr>
              <w:spacing w:after="0"/>
              <w:rPr>
                <w:sz w:val="1"/>
                <w:szCs w:val="1"/>
                <w:color w:val="auto"/>
              </w:rPr>
            </w:pPr>
          </w:p>
        </w:tc>
      </w:tr>
      <w:tr>
        <w:trPr>
          <w:trHeight w:val="203"/>
        </w:trPr>
        <w:tc>
          <w:tcPr>
            <w:tcW w:w="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22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Compensation &amp;</w:t>
            </w:r>
          </w:p>
        </w:tc>
        <w:tc>
          <w:tcPr>
            <w:tcW w:w="882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Koch contributes a solid understanding of financial oversight, strategic planning, executive compensation and</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2220" w:type="dxa"/>
            <w:vAlign w:val="bottom"/>
            <w:gridSpan w:val="2"/>
          </w:tcPr>
          <w:p>
            <w:pPr>
              <w:ind w:left="60"/>
              <w:spacing w:after="0"/>
              <w:rPr>
                <w:sz w:val="20"/>
                <w:szCs w:val="20"/>
                <w:color w:val="auto"/>
              </w:rPr>
            </w:pPr>
            <w:r>
              <w:rPr>
                <w:rFonts w:ascii="Arial" w:cs="Arial" w:eastAsia="Arial" w:hAnsi="Arial"/>
                <w:sz w:val="18"/>
                <w:szCs w:val="18"/>
                <w:color w:val="auto"/>
              </w:rPr>
              <w:t>Human Resources</w:t>
            </w:r>
          </w:p>
        </w:tc>
        <w:tc>
          <w:tcPr>
            <w:tcW w:w="4620" w:type="dxa"/>
            <w:vAlign w:val="bottom"/>
          </w:tcPr>
          <w:p>
            <w:pPr>
              <w:ind w:left="80"/>
              <w:spacing w:after="0"/>
              <w:rPr>
                <w:sz w:val="20"/>
                <w:szCs w:val="20"/>
                <w:color w:val="auto"/>
              </w:rPr>
            </w:pPr>
            <w:r>
              <w:rPr>
                <w:rFonts w:ascii="Arial" w:cs="Arial" w:eastAsia="Arial" w:hAnsi="Arial"/>
                <w:sz w:val="18"/>
                <w:szCs w:val="18"/>
                <w:color w:val="auto"/>
              </w:rPr>
              <w:t>corporate governance.</w:t>
            </w:r>
          </w:p>
        </w:tc>
        <w:tc>
          <w:tcPr>
            <w:tcW w:w="4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220" w:type="dxa"/>
            <w:vAlign w:val="bottom"/>
            <w:gridSpan w:val="2"/>
          </w:tcPr>
          <w:p>
            <w:pPr>
              <w:ind w:left="40"/>
              <w:spacing w:after="0"/>
              <w:rPr>
                <w:sz w:val="20"/>
                <w:szCs w:val="20"/>
                <w:color w:val="auto"/>
              </w:rPr>
            </w:pPr>
            <w:r>
              <w:rPr>
                <w:rFonts w:ascii="Arial" w:cs="Arial" w:eastAsia="Arial" w:hAnsi="Arial"/>
                <w:sz w:val="18"/>
                <w:szCs w:val="18"/>
                <w:color w:val="auto"/>
              </w:rPr>
              <w:t>Nominating &amp;</w:t>
            </w:r>
          </w:p>
        </w:tc>
        <w:tc>
          <w:tcPr>
            <w:tcW w:w="4620" w:type="dxa"/>
            <w:vAlign w:val="bottom"/>
            <w:vMerge w:val="restart"/>
          </w:tcPr>
          <w:p>
            <w:pPr>
              <w:ind w:left="80"/>
              <w:spacing w:after="0"/>
              <w:rPr>
                <w:sz w:val="20"/>
                <w:szCs w:val="20"/>
                <w:color w:val="auto"/>
              </w:rPr>
            </w:pPr>
            <w:r>
              <w:rPr>
                <w:rFonts w:ascii="Arial" w:cs="Arial" w:eastAsia="Arial" w:hAnsi="Arial"/>
                <w:sz w:val="18"/>
                <w:szCs w:val="18"/>
                <w:b w:val="1"/>
                <w:bCs w:val="1"/>
                <w:color w:val="C00000"/>
              </w:rPr>
              <w:t>Other Public Company Boards</w:t>
            </w: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200" w:type="dxa"/>
            <w:vAlign w:val="bottom"/>
          </w:tcPr>
          <w:p>
            <w:pPr>
              <w:spacing w:after="0"/>
              <w:rPr>
                <w:sz w:val="6"/>
                <w:szCs w:val="6"/>
                <w:color w:val="auto"/>
              </w:rPr>
            </w:pPr>
          </w:p>
        </w:tc>
        <w:tc>
          <w:tcPr>
            <w:tcW w:w="2220" w:type="dxa"/>
            <w:vAlign w:val="bottom"/>
            <w:gridSpan w:val="2"/>
            <w:vMerge w:val="restart"/>
          </w:tcPr>
          <w:p>
            <w:pPr>
              <w:ind w:left="60"/>
              <w:spacing w:after="0"/>
              <w:rPr>
                <w:sz w:val="20"/>
                <w:szCs w:val="20"/>
                <w:color w:val="auto"/>
              </w:rPr>
            </w:pPr>
            <w:r>
              <w:rPr>
                <w:rFonts w:ascii="Arial" w:cs="Arial" w:eastAsia="Arial" w:hAnsi="Arial"/>
                <w:sz w:val="18"/>
                <w:szCs w:val="18"/>
                <w:color w:val="auto"/>
              </w:rPr>
              <w:t>Governance</w:t>
            </w:r>
          </w:p>
        </w:tc>
        <w:tc>
          <w:tcPr>
            <w:tcW w:w="4620" w:type="dxa"/>
            <w:vAlign w:val="bottom"/>
            <w:tcBorders>
              <w:bottom w:val="single" w:sz="8" w:color="C00000"/>
            </w:tcBorders>
            <w:vMerge w:val="continue"/>
          </w:tcPr>
          <w:p>
            <w:pPr>
              <w:spacing w:after="0"/>
              <w:rPr>
                <w:sz w:val="6"/>
                <w:szCs w:val="6"/>
                <w:color w:val="auto"/>
              </w:rPr>
            </w:pPr>
          </w:p>
        </w:tc>
        <w:tc>
          <w:tcPr>
            <w:tcW w:w="4200" w:type="dxa"/>
            <w:vAlign w:val="bottom"/>
            <w:tcBorders>
              <w:bottom w:val="single" w:sz="8" w:color="C00000"/>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0" w:type="dxa"/>
            <w:vAlign w:val="bottom"/>
          </w:tcPr>
          <w:p>
            <w:pPr>
              <w:spacing w:after="0"/>
              <w:rPr>
                <w:sz w:val="12"/>
                <w:szCs w:val="12"/>
                <w:color w:val="auto"/>
              </w:rPr>
            </w:pPr>
          </w:p>
        </w:tc>
        <w:tc>
          <w:tcPr>
            <w:tcW w:w="2220" w:type="dxa"/>
            <w:vAlign w:val="bottom"/>
            <w:gridSpan w:val="2"/>
            <w:vMerge w:val="continue"/>
          </w:tcPr>
          <w:p>
            <w:pPr>
              <w:spacing w:after="0"/>
              <w:rPr>
                <w:sz w:val="12"/>
                <w:szCs w:val="12"/>
                <w:color w:val="auto"/>
              </w:rPr>
            </w:pPr>
          </w:p>
        </w:tc>
        <w:tc>
          <w:tcPr>
            <w:tcW w:w="4620" w:type="dxa"/>
            <w:vAlign w:val="bottom"/>
            <w:vMerge w:val="restart"/>
          </w:tcPr>
          <w:p>
            <w:pPr>
              <w:ind w:left="1880"/>
              <w:spacing w:after="0" w:line="191" w:lineRule="exact"/>
              <w:rPr>
                <w:sz w:val="20"/>
                <w:szCs w:val="20"/>
                <w:color w:val="auto"/>
              </w:rPr>
            </w:pPr>
            <w:r>
              <w:rPr>
                <w:rFonts w:ascii="Arial" w:cs="Arial" w:eastAsia="Arial" w:hAnsi="Arial"/>
                <w:sz w:val="18"/>
                <w:szCs w:val="18"/>
                <w:b w:val="1"/>
                <w:bCs w:val="1"/>
                <w:color w:val="auto"/>
              </w:rPr>
              <w:t>Current</w:t>
            </w:r>
          </w:p>
        </w:tc>
        <w:tc>
          <w:tcPr>
            <w:tcW w:w="4200" w:type="dxa"/>
            <w:vAlign w:val="bottom"/>
            <w:vMerge w:val="restart"/>
          </w:tcPr>
          <w:p>
            <w:pPr>
              <w:jc w:val="center"/>
              <w:ind w:right="130"/>
              <w:spacing w:after="0" w:line="191" w:lineRule="exact"/>
              <w:rPr>
                <w:sz w:val="20"/>
                <w:szCs w:val="20"/>
                <w:color w:val="auto"/>
              </w:rPr>
            </w:pPr>
            <w:r>
              <w:rPr>
                <w:rFonts w:ascii="Arial" w:cs="Arial" w:eastAsia="Arial" w:hAnsi="Arial"/>
                <w:sz w:val="18"/>
                <w:szCs w:val="18"/>
                <w:b w:val="1"/>
                <w:bCs w:val="1"/>
                <w:color w:val="auto"/>
                <w:w w:val="98"/>
              </w:rPr>
              <w:t>Past 5 Years</w:t>
            </w:r>
          </w:p>
        </w:tc>
        <w:tc>
          <w:tcPr>
            <w:tcW w:w="0" w:type="dxa"/>
            <w:vAlign w:val="bottom"/>
          </w:tcPr>
          <w:p>
            <w:pPr>
              <w:spacing w:after="0"/>
              <w:rPr>
                <w:sz w:val="1"/>
                <w:szCs w:val="1"/>
                <w:color w:val="auto"/>
              </w:rPr>
            </w:pPr>
          </w:p>
        </w:tc>
      </w:tr>
      <w:tr>
        <w:trPr>
          <w:trHeight w:val="45"/>
        </w:trPr>
        <w:tc>
          <w:tcPr>
            <w:tcW w:w="2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20" w:type="dxa"/>
            <w:vAlign w:val="bottom"/>
            <w:vMerge w:val="continue"/>
          </w:tcPr>
          <w:p>
            <w:pPr>
              <w:spacing w:after="0"/>
              <w:rPr>
                <w:sz w:val="3"/>
                <w:szCs w:val="3"/>
                <w:color w:val="auto"/>
              </w:rPr>
            </w:pPr>
          </w:p>
        </w:tc>
        <w:tc>
          <w:tcPr>
            <w:tcW w:w="4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20" w:type="dxa"/>
            <w:vAlign w:val="bottom"/>
          </w:tcPr>
          <w:p>
            <w:pPr>
              <w:ind w:left="1260"/>
              <w:spacing w:after="0"/>
              <w:rPr>
                <w:sz w:val="20"/>
                <w:szCs w:val="20"/>
                <w:color w:val="auto"/>
              </w:rPr>
            </w:pPr>
            <w:r>
              <w:rPr>
                <w:rFonts w:ascii="Arial" w:cs="Arial" w:eastAsia="Arial" w:hAnsi="Arial"/>
                <w:sz w:val="18"/>
                <w:szCs w:val="18"/>
                <w:color w:val="auto"/>
              </w:rPr>
              <w:t>Carlisle Companies Inc.</w:t>
            </w:r>
          </w:p>
        </w:tc>
        <w:tc>
          <w:tcPr>
            <w:tcW w:w="4200" w:type="dxa"/>
            <w:vAlign w:val="bottom"/>
          </w:tcPr>
          <w:p>
            <w:pPr>
              <w:jc w:val="center"/>
              <w:ind w:right="11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C00000"/>
        </w:rPr>
        <w:t>Continuing Members of the Board – Current Term Ending at the 2024 Annual Meeting</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C00000"/>
        </w:rPr>
        <w:t>Janet K.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-1413510</wp:posOffset>
            </wp:positionV>
            <wp:extent cx="1028700" cy="12255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28700" cy="1225550"/>
                    </a:xfrm>
                    <a:prstGeom prst="rect">
                      <a:avLst/>
                    </a:prstGeom>
                    <a:noFill/>
                  </pic:spPr>
                </pic:pic>
              </a:graphicData>
            </a:graphic>
          </wp:anchor>
        </w:drawing>
      </w:r>
    </w:p>
    <w:p>
      <w:pPr>
        <w:spacing w:after="0" w:line="111" w:lineRule="exact"/>
        <w:rPr>
          <w:sz w:val="20"/>
          <w:szCs w:val="20"/>
          <w:color w:val="auto"/>
        </w:rPr>
      </w:pPr>
    </w:p>
    <w:p>
      <w:pPr>
        <w:ind w:left="80"/>
        <w:spacing w:after="0"/>
        <w:rPr>
          <w:sz w:val="20"/>
          <w:szCs w:val="20"/>
          <w:color w:val="auto"/>
        </w:rPr>
      </w:pPr>
      <w:r>
        <w:rPr>
          <w:rFonts w:ascii="Arial" w:cs="Arial" w:eastAsia="Arial" w:hAnsi="Arial"/>
          <w:sz w:val="18"/>
          <w:szCs w:val="18"/>
          <w:color w:val="auto"/>
        </w:rPr>
        <w:t>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474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1474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Arial" w:cs="Arial" w:eastAsia="Arial" w:hAnsi="Arial"/>
          <w:sz w:val="18"/>
          <w:szCs w:val="18"/>
          <w:color w:val="auto"/>
        </w:rPr>
        <w:t>Director since 1994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474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Independent</w:t>
      </w:r>
    </w:p>
    <w:p>
      <w:pPr>
        <w:spacing w:after="0" w:line="7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474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70" w:lineRule="exact"/>
        <w:rPr>
          <w:sz w:val="20"/>
          <w:szCs w:val="20"/>
          <w:color w:val="auto"/>
        </w:rPr>
      </w:pPr>
    </w:p>
    <w:p>
      <w:pPr>
        <w:ind w:left="240" w:hanging="151"/>
        <w:spacing w:after="0"/>
        <w:tabs>
          <w:tab w:leader="none" w:pos="24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8"/>
          <w:szCs w:val="18"/>
          <w:color w:val="auto"/>
        </w:rPr>
        <w:t>Audit (Chair)</w:t>
      </w:r>
    </w:p>
    <w:p>
      <w:pPr>
        <w:spacing w:after="0" w:line="27" w:lineRule="exact"/>
        <w:rPr>
          <w:rFonts w:ascii="Times New Roman" w:cs="Times New Roman" w:eastAsia="Times New Roman" w:hAnsi="Times New Roman"/>
          <w:sz w:val="16"/>
          <w:szCs w:val="16"/>
          <w:color w:val="auto"/>
        </w:rPr>
      </w:pPr>
    </w:p>
    <w:p>
      <w:pPr>
        <w:ind w:left="240" w:hanging="151"/>
        <w:spacing w:after="0"/>
        <w:tabs>
          <w:tab w:leader="none" w:pos="24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8"/>
          <w:szCs w:val="18"/>
          <w:color w:val="auto"/>
        </w:rPr>
        <w:t>Finance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8890</wp:posOffset>
            </wp:positionV>
            <wp:extent cx="56064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06415" cy="8890"/>
                    </a:xfrm>
                    <a:prstGeom prst="rect">
                      <a:avLst/>
                    </a:prstGeom>
                    <a:noFill/>
                  </pic:spPr>
                </pic:pic>
              </a:graphicData>
            </a:graphic>
          </wp:anchor>
        </w:drawing>
      </w:r>
    </w:p>
    <w:p>
      <w:pPr>
        <w:spacing w:after="0" w:line="43" w:lineRule="exact"/>
        <w:rPr>
          <w:sz w:val="20"/>
          <w:szCs w:val="20"/>
          <w:color w:val="auto"/>
        </w:rPr>
      </w:pPr>
    </w:p>
    <w:p>
      <w:pPr>
        <w:ind w:left="1" w:right="620"/>
        <w:spacing w:after="0" w:line="241" w:lineRule="auto"/>
        <w:rPr>
          <w:sz w:val="20"/>
          <w:szCs w:val="20"/>
          <w:color w:val="auto"/>
        </w:rPr>
      </w:pPr>
      <w:r>
        <w:rPr>
          <w:rFonts w:ascii="Arial" w:cs="Arial" w:eastAsia="Arial" w:hAnsi="Arial"/>
          <w:sz w:val="18"/>
          <w:szCs w:val="18"/>
          <w:color w:val="auto"/>
        </w:rPr>
        <w:t>Janet K. Cooper retired from Qwest Communications International Inc., Denver, Colorado (a U.S. telecommunications company that merged with and now does business as CenturyLink). She held the following positions:</w:t>
      </w:r>
    </w:p>
    <w:p>
      <w:pPr>
        <w:spacing w:after="0" w:line="2" w:lineRule="exact"/>
        <w:rPr>
          <w:sz w:val="20"/>
          <w:szCs w:val="20"/>
          <w:color w:val="auto"/>
        </w:rPr>
      </w:pPr>
    </w:p>
    <w:p>
      <w:pPr>
        <w:ind w:left="161" w:hanging="161"/>
        <w:spacing w:after="0"/>
        <w:tabs>
          <w:tab w:leader="none" w:pos="161"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8"/>
          <w:szCs w:val="18"/>
          <w:color w:val="auto"/>
        </w:rPr>
        <w:t>Senior Vice President and Treasurer, Qwest (September 2002 – June 2008)</w:t>
      </w:r>
    </w:p>
    <w:p>
      <w:pPr>
        <w:spacing w:after="0" w:line="9" w:lineRule="exact"/>
        <w:rPr>
          <w:rFonts w:ascii="Times New Roman" w:cs="Times New Roman" w:eastAsia="Times New Roman" w:hAnsi="Times New Roman"/>
          <w:sz w:val="16"/>
          <w:szCs w:val="16"/>
          <w:color w:val="auto"/>
        </w:rPr>
      </w:pPr>
    </w:p>
    <w:p>
      <w:pPr>
        <w:ind w:left="161" w:hanging="161"/>
        <w:spacing w:after="0"/>
        <w:tabs>
          <w:tab w:leader="none" w:pos="161"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8"/>
          <w:szCs w:val="18"/>
          <w:color w:val="auto"/>
        </w:rPr>
        <w:t>Chief Financial Officer and Senior Vice President, McDATA Corporation (January 2001 – June 2002)</w:t>
      </w:r>
    </w:p>
    <w:p>
      <w:pPr>
        <w:spacing w:after="0" w:line="9" w:lineRule="exact"/>
        <w:rPr>
          <w:rFonts w:ascii="Times New Roman" w:cs="Times New Roman" w:eastAsia="Times New Roman" w:hAnsi="Times New Roman"/>
          <w:sz w:val="16"/>
          <w:szCs w:val="16"/>
          <w:color w:val="auto"/>
        </w:rPr>
      </w:pPr>
    </w:p>
    <w:p>
      <w:pPr>
        <w:ind w:left="161" w:hanging="161"/>
        <w:spacing w:after="0"/>
        <w:tabs>
          <w:tab w:leader="none" w:pos="161"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8"/>
          <w:szCs w:val="18"/>
          <w:color w:val="auto"/>
        </w:rPr>
        <w:t>Senior Vice President, Finance, Qwest (July 2000 – January 2001)</w:t>
      </w:r>
    </w:p>
    <w:p>
      <w:pPr>
        <w:spacing w:after="0" w:line="9" w:lineRule="exact"/>
        <w:rPr>
          <w:rFonts w:ascii="Times New Roman" w:cs="Times New Roman" w:eastAsia="Times New Roman" w:hAnsi="Times New Roman"/>
          <w:sz w:val="16"/>
          <w:szCs w:val="16"/>
          <w:color w:val="auto"/>
        </w:rPr>
      </w:pPr>
    </w:p>
    <w:p>
      <w:pPr>
        <w:ind w:left="161" w:hanging="161"/>
        <w:spacing w:after="0"/>
        <w:tabs>
          <w:tab w:leader="none" w:pos="161"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8"/>
          <w:szCs w:val="18"/>
          <w:color w:val="auto"/>
        </w:rPr>
        <w:t>Prior positions at U.S. West Inc. include Vice President, Finance and Controller and Vice President and</w:t>
      </w:r>
    </w:p>
    <w:p>
      <w:pPr>
        <w:spacing w:after="0" w:line="5" w:lineRule="exact"/>
        <w:rPr>
          <w:sz w:val="20"/>
          <w:szCs w:val="20"/>
          <w:color w:val="auto"/>
        </w:rPr>
      </w:pPr>
    </w:p>
    <w:p>
      <w:pPr>
        <w:ind w:left="161"/>
        <w:spacing w:after="0"/>
        <w:rPr>
          <w:sz w:val="20"/>
          <w:szCs w:val="20"/>
          <w:color w:val="auto"/>
        </w:rPr>
      </w:pPr>
      <w:r>
        <w:rPr>
          <w:rFonts w:ascii="Arial" w:cs="Arial" w:eastAsia="Arial" w:hAnsi="Arial"/>
          <w:sz w:val="18"/>
          <w:szCs w:val="18"/>
          <w:color w:val="auto"/>
        </w:rPr>
        <w:t>Treasurer</w:t>
      </w:r>
    </w:p>
    <w:p>
      <w:pPr>
        <w:ind w:left="1"/>
        <w:spacing w:after="0"/>
        <w:rPr>
          <w:sz w:val="20"/>
          <w:szCs w:val="20"/>
          <w:color w:val="auto"/>
        </w:rPr>
      </w:pPr>
      <w:r>
        <w:rPr>
          <w:rFonts w:ascii="Arial" w:cs="Arial" w:eastAsia="Arial" w:hAnsi="Arial"/>
          <w:sz w:val="18"/>
          <w:szCs w:val="18"/>
          <w:color w:val="auto"/>
        </w:rPr>
        <w:t>Ms. Cooper is a National Association of Corporate Directors, or NACD, Board Leadership Fellow.</w:t>
      </w:r>
    </w:p>
    <w:p>
      <w:pPr>
        <w:spacing w:after="0" w:line="4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248920</wp:posOffset>
            </wp:positionV>
            <wp:extent cx="56064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064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 w:right="120"/>
        <w:spacing w:after="0"/>
        <w:rPr>
          <w:sz w:val="20"/>
          <w:szCs w:val="20"/>
          <w:color w:val="auto"/>
        </w:rPr>
      </w:pPr>
      <w:r>
        <w:rPr>
          <w:rFonts w:ascii="Arial" w:cs="Arial" w:eastAsia="Arial" w:hAnsi="Arial"/>
          <w:sz w:val="18"/>
          <w:szCs w:val="18"/>
          <w:color w:val="auto"/>
        </w:rPr>
        <w:t>Ms. Cooper brings to our Board substantial financial and accounting knowledge and expertise. Ms. Cooper’s experience as a public company director and audit committee member, financial expertise and acumen in capital markets, audit, tax, accounting, treasury and risk-management, including related to information systems and cybersecurity, and her commitment to diversity, equity and inclusion assists our Board in providing oversight to Management on these matters. Ms. Cooper’s senior leadership experience also enables her to provide strategic input to our Board, in addition to her financial expertise, discipline and oversight.</w:t>
      </w:r>
    </w:p>
    <w:p>
      <w:pPr>
        <w:spacing w:after="0" w:line="23" w:lineRule="exact"/>
        <w:rPr>
          <w:sz w:val="20"/>
          <w:szCs w:val="20"/>
          <w:color w:val="auto"/>
        </w:rPr>
      </w:pPr>
    </w:p>
    <w:p>
      <w:pPr>
        <w:ind w:left="21"/>
        <w:spacing w:after="0"/>
        <w:rPr>
          <w:sz w:val="20"/>
          <w:szCs w:val="20"/>
          <w:color w:val="auto"/>
        </w:rPr>
      </w:pPr>
      <w:r>
        <w:rPr>
          <w:rFonts w:ascii="Arial" w:cs="Arial" w:eastAsia="Arial" w:hAnsi="Arial"/>
          <w:sz w:val="18"/>
          <w:szCs w:val="18"/>
          <w:b w:val="1"/>
          <w:bCs w:val="1"/>
          <w:color w:val="C00000"/>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17780</wp:posOffset>
            </wp:positionV>
            <wp:extent cx="56064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06415" cy="8255"/>
                    </a:xfrm>
                    <a:prstGeom prst="rect">
                      <a:avLst/>
                    </a:prstGeom>
                    <a:noFill/>
                  </pic:spPr>
                </pic:pic>
              </a:graphicData>
            </a:graphic>
          </wp:anchor>
        </w:drawing>
      </w:r>
    </w:p>
    <w:p>
      <w:pPr>
        <w:spacing w:after="0" w:line="57" w:lineRule="exact"/>
        <w:rPr>
          <w:sz w:val="20"/>
          <w:szCs w:val="20"/>
          <w:color w:val="auto"/>
        </w:rPr>
      </w:pPr>
    </w:p>
    <w:p>
      <w:pPr>
        <w:ind w:left="1801"/>
        <w:spacing w:after="0"/>
        <w:tabs>
          <w:tab w:leader="none" w:pos="6001"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9" w:lineRule="exact"/>
        <w:rPr>
          <w:sz w:val="20"/>
          <w:szCs w:val="20"/>
          <w:color w:val="auto"/>
        </w:rPr>
      </w:pPr>
    </w:p>
    <w:p>
      <w:pPr>
        <w:ind w:left="1141"/>
        <w:spacing w:after="0"/>
        <w:tabs>
          <w:tab w:leader="none" w:pos="5981" w:val="left"/>
        </w:tabs>
        <w:rPr>
          <w:sz w:val="20"/>
          <w:szCs w:val="20"/>
          <w:color w:val="auto"/>
        </w:rPr>
      </w:pPr>
      <w:r>
        <w:rPr>
          <w:rFonts w:ascii="Arial" w:cs="Arial" w:eastAsia="Arial" w:hAnsi="Arial"/>
          <w:sz w:val="18"/>
          <w:szCs w:val="18"/>
          <w:color w:val="auto"/>
        </w:rPr>
        <w:t>Lennox International Inc.</w:t>
      </w:r>
      <w:r>
        <w:rPr>
          <w:sz w:val="20"/>
          <w:szCs w:val="20"/>
          <w:color w:val="auto"/>
        </w:rPr>
        <w:tab/>
      </w:r>
      <w:r>
        <w:rPr>
          <w:rFonts w:ascii="Arial" w:cs="Arial" w:eastAsia="Arial" w:hAnsi="Arial"/>
          <w:sz w:val="17"/>
          <w:szCs w:val="17"/>
          <w:color w:val="auto"/>
        </w:rPr>
        <w:t>Resonant Inc.</w:t>
      </w:r>
    </w:p>
    <w:p>
      <w:pPr>
        <w:ind w:left="5601"/>
        <w:spacing w:after="0"/>
        <w:rPr>
          <w:sz w:val="20"/>
          <w:szCs w:val="20"/>
          <w:color w:val="auto"/>
        </w:rPr>
      </w:pPr>
      <w:r>
        <w:rPr>
          <w:rFonts w:ascii="Arial" w:cs="Arial" w:eastAsia="Arial" w:hAnsi="Arial"/>
          <w:sz w:val="18"/>
          <w:szCs w:val="18"/>
          <w:color w:val="auto"/>
        </w:rPr>
        <w:t>CPI Aerostructures, Inc.</w:t>
      </w:r>
    </w:p>
    <w:p>
      <w:pPr>
        <w:spacing w:after="0" w:line="200" w:lineRule="exact"/>
        <w:rPr>
          <w:sz w:val="20"/>
          <w:szCs w:val="20"/>
          <w:color w:val="auto"/>
        </w:rPr>
      </w:pPr>
    </w:p>
    <w:p>
      <w:pPr>
        <w:sectPr>
          <w:pgSz w:w="11900" w:h="16838" w:orient="portrait"/>
          <w:cols w:equalWidth="0" w:num="2">
            <w:col w:w="1799" w:space="720"/>
            <w:col w:w="8721"/>
          </w:cols>
          <w:pgMar w:left="320" w:top="121" w:right="339"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028700" cy="12344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2870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Gary L.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474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Arial" w:cs="Arial" w:eastAsia="Arial" w:hAnsi="Arial"/>
          <w:sz w:val="18"/>
          <w:szCs w:val="18"/>
          <w:color w:val="auto"/>
        </w:rPr>
        <w:t>Age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474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Director since 2006</w:t>
      </w:r>
    </w:p>
    <w:p>
      <w:pPr>
        <w:spacing w:after="0" w:line="27" w:lineRule="exact"/>
        <w:rPr>
          <w:sz w:val="20"/>
          <w:szCs w:val="20"/>
          <w:color w:val="auto"/>
        </w:rPr>
      </w:pPr>
    </w:p>
    <w:p>
      <w:pPr>
        <w:ind w:left="80"/>
        <w:spacing w:after="0" w:line="283" w:lineRule="auto"/>
        <w:rPr>
          <w:sz w:val="20"/>
          <w:szCs w:val="20"/>
          <w:color w:val="auto"/>
        </w:rPr>
      </w:pPr>
      <w:r>
        <w:rPr>
          <w:rFonts w:ascii="Arial" w:cs="Arial" w:eastAsia="Arial" w:hAnsi="Arial"/>
          <w:sz w:val="18"/>
          <w:szCs w:val="18"/>
          <w:color w:val="auto"/>
        </w:rPr>
        <w:t xml:space="preserve">Lead Independent Director </w:t>
      </w:r>
      <w:r>
        <w:rPr>
          <w:rFonts w:ascii="Arial" w:cs="Arial" w:eastAsia="Arial" w:hAnsi="Arial"/>
          <w:sz w:val="18"/>
          <w:szCs w:val="18"/>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474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1474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ind w:left="240" w:hanging="151"/>
        <w:spacing w:after="0"/>
        <w:tabs>
          <w:tab w:leader="none" w:pos="24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8"/>
          <w:szCs w:val="18"/>
          <w:color w:val="auto"/>
        </w:rPr>
        <w:t>Audit</w:t>
      </w:r>
    </w:p>
    <w:p>
      <w:pPr>
        <w:spacing w:after="0" w:line="28" w:lineRule="exact"/>
        <w:rPr>
          <w:rFonts w:ascii="Times New Roman" w:cs="Times New Roman" w:eastAsia="Times New Roman" w:hAnsi="Times New Roman"/>
          <w:sz w:val="16"/>
          <w:szCs w:val="16"/>
          <w:color w:val="auto"/>
        </w:rPr>
      </w:pPr>
    </w:p>
    <w:p>
      <w:pPr>
        <w:ind w:left="240" w:hanging="151"/>
        <w:spacing w:after="0"/>
        <w:tabs>
          <w:tab w:leader="none" w:pos="24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8"/>
          <w:szCs w:val="18"/>
          <w:color w:val="auto"/>
        </w:rPr>
        <w:t>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937895</wp:posOffset>
            </wp:positionV>
            <wp:extent cx="1019810" cy="12255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19810"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Jill M. Pemberton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474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Arial" w:cs="Arial" w:eastAsia="Arial" w:hAnsi="Arial"/>
          <w:sz w:val="18"/>
          <w:szCs w:val="18"/>
          <w:color w:val="auto"/>
        </w:rPr>
        <w:t>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4744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Director since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4744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Arial" w:cs="Arial" w:eastAsia="Arial" w:hAnsi="Arial"/>
          <w:sz w:val="18"/>
          <w:szCs w:val="18"/>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474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b w:val="1"/>
          <w:bCs w:val="1"/>
          <w:color w:val="auto"/>
        </w:rPr>
        <w:t>Committees</w:t>
      </w:r>
    </w:p>
    <w:p>
      <w:pPr>
        <w:ind w:left="240" w:hanging="151"/>
        <w:spacing w:after="0"/>
        <w:tabs>
          <w:tab w:leader="none" w:pos="2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8"/>
          <w:szCs w:val="18"/>
          <w:color w:val="auto"/>
        </w:rPr>
        <w:t>Audit</w:t>
      </w:r>
    </w:p>
    <w:p>
      <w:pPr>
        <w:spacing w:after="0" w:line="9" w:lineRule="exact"/>
        <w:rPr>
          <w:rFonts w:ascii="Times New Roman" w:cs="Times New Roman" w:eastAsia="Times New Roman" w:hAnsi="Times New Roman"/>
          <w:sz w:val="16"/>
          <w:szCs w:val="16"/>
          <w:color w:val="auto"/>
        </w:rPr>
      </w:pPr>
    </w:p>
    <w:p>
      <w:pPr>
        <w:ind w:left="240" w:hanging="151"/>
        <w:spacing w:after="0"/>
        <w:tabs>
          <w:tab w:leader="none" w:pos="2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8"/>
          <w:szCs w:val="18"/>
          <w:color w:val="auto"/>
        </w:rPr>
        <w:t>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55892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43" w:lineRule="exact"/>
        <w:rPr>
          <w:sz w:val="20"/>
          <w:szCs w:val="20"/>
          <w:color w:val="auto"/>
        </w:rPr>
      </w:pPr>
    </w:p>
    <w:p>
      <w:pPr>
        <w:ind w:left="80" w:right="600"/>
        <w:spacing w:after="0" w:line="245" w:lineRule="auto"/>
        <w:rPr>
          <w:sz w:val="20"/>
          <w:szCs w:val="20"/>
          <w:color w:val="auto"/>
        </w:rPr>
      </w:pPr>
      <w:r>
        <w:rPr>
          <w:rFonts w:ascii="Arial" w:cs="Arial" w:eastAsia="Arial" w:hAnsi="Arial"/>
          <w:sz w:val="18"/>
          <w:szCs w:val="18"/>
          <w:color w:val="auto"/>
        </w:rPr>
        <w:t>Gary L. Ellis retired from Medtronic plc, Dublin, Ireland (a global medical technology company). He held the following positions, all at Medtronic:</w:t>
      </w:r>
    </w:p>
    <w:p>
      <w:pPr>
        <w:ind w:left="240" w:right="120" w:hanging="161"/>
        <w:spacing w:after="0" w:line="242" w:lineRule="auto"/>
        <w:tabs>
          <w:tab w:leader="none" w:pos="224"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8"/>
          <w:szCs w:val="18"/>
          <w:color w:val="auto"/>
        </w:rPr>
        <w:t>Executive Vice President, Global Operations, Information Technology and Facilities &amp; Real Estate (June 2016 – December 2016)</w:t>
      </w:r>
    </w:p>
    <w:p>
      <w:pPr>
        <w:spacing w:after="0" w:line="1" w:lineRule="exact"/>
        <w:rPr>
          <w:rFonts w:ascii="Times New Roman" w:cs="Times New Roman" w:eastAsia="Times New Roman" w:hAnsi="Times New Roman"/>
          <w:sz w:val="16"/>
          <w:szCs w:val="16"/>
          <w:color w:val="auto"/>
        </w:rPr>
      </w:pPr>
    </w:p>
    <w:p>
      <w:pPr>
        <w:ind w:left="220" w:hanging="141"/>
        <w:spacing w:after="0"/>
        <w:tabs>
          <w:tab w:leader="none" w:pos="22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8"/>
          <w:szCs w:val="18"/>
          <w:color w:val="auto"/>
        </w:rPr>
        <w:t>Executive Vice President and Chief Financial Officer (April 2014 – June 2016)</w:t>
      </w:r>
    </w:p>
    <w:p>
      <w:pPr>
        <w:spacing w:after="0" w:line="9" w:lineRule="exact"/>
        <w:rPr>
          <w:rFonts w:ascii="Times New Roman" w:cs="Times New Roman" w:eastAsia="Times New Roman" w:hAnsi="Times New Roman"/>
          <w:sz w:val="16"/>
          <w:szCs w:val="16"/>
          <w:color w:val="auto"/>
        </w:rPr>
      </w:pPr>
    </w:p>
    <w:p>
      <w:pPr>
        <w:ind w:left="220" w:hanging="141"/>
        <w:spacing w:after="0"/>
        <w:tabs>
          <w:tab w:leader="none" w:pos="22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8"/>
          <w:szCs w:val="18"/>
          <w:color w:val="auto"/>
        </w:rPr>
        <w:t>Senior Vice President and Chief Financial Officer (May 2005 – April 2014)</w:t>
      </w:r>
    </w:p>
    <w:p>
      <w:pPr>
        <w:spacing w:after="0" w:line="9" w:lineRule="exact"/>
        <w:rPr>
          <w:rFonts w:ascii="Times New Roman" w:cs="Times New Roman" w:eastAsia="Times New Roman" w:hAnsi="Times New Roman"/>
          <w:sz w:val="16"/>
          <w:szCs w:val="16"/>
          <w:color w:val="auto"/>
        </w:rPr>
      </w:pPr>
    </w:p>
    <w:p>
      <w:pPr>
        <w:ind w:left="220" w:hanging="141"/>
        <w:spacing w:after="0"/>
        <w:tabs>
          <w:tab w:leader="none" w:pos="22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8"/>
          <w:szCs w:val="18"/>
          <w:color w:val="auto"/>
        </w:rPr>
        <w:t>Vice President, Corporate Controller and Treasurer (October 1999 – May 2005)</w:t>
      </w:r>
    </w:p>
    <w:p>
      <w:pPr>
        <w:spacing w:after="0" w:line="23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55892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43" w:lineRule="exact"/>
        <w:rPr>
          <w:sz w:val="20"/>
          <w:szCs w:val="20"/>
          <w:color w:val="auto"/>
        </w:rPr>
      </w:pPr>
    </w:p>
    <w:p>
      <w:pPr>
        <w:ind w:left="80" w:right="40"/>
        <w:spacing w:after="0"/>
        <w:rPr>
          <w:sz w:val="20"/>
          <w:szCs w:val="20"/>
          <w:color w:val="auto"/>
        </w:rPr>
      </w:pPr>
      <w:r>
        <w:rPr>
          <w:rFonts w:ascii="Arial" w:cs="Arial" w:eastAsia="Arial" w:hAnsi="Arial"/>
          <w:sz w:val="18"/>
          <w:szCs w:val="18"/>
          <w:color w:val="auto"/>
        </w:rPr>
        <w:t>Mr. Ellis brings extensive financial leadership experience and expertise to the lead independent director role and generally to our Board to provide oversight regarding capital structure, financial condition and policies, long-range financial objectives, tax strategies, financing requirements and arrangements, capital budgets and expenditures, risk-management, insurance coverage and strategic planning matters. As a former executive of a public company and an experienced public company director, Mr. Ellis contributes enhanced knowledge of public company requirements and issues. Additionally, Mr. Ellis contributes his experience managing worldwide financial operations and analyzing financial implications of merger and acquisition transactions, as well as aligning business strategies and financial decisions.</w:t>
      </w:r>
    </w:p>
    <w:p>
      <w:pPr>
        <w:spacing w:after="0" w:line="1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55892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57" w:lineRule="exact"/>
        <w:rPr>
          <w:sz w:val="20"/>
          <w:szCs w:val="20"/>
          <w:color w:val="auto"/>
        </w:rPr>
      </w:pPr>
    </w:p>
    <w:p>
      <w:pPr>
        <w:ind w:left="1880"/>
        <w:spacing w:after="0"/>
        <w:tabs>
          <w:tab w:leader="none" w:pos="6040"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14" w:lineRule="exact"/>
        <w:rPr>
          <w:sz w:val="20"/>
          <w:szCs w:val="20"/>
          <w:color w:val="auto"/>
        </w:rPr>
      </w:pPr>
    </w:p>
    <w:p>
      <w:pPr>
        <w:ind w:left="1020"/>
        <w:spacing w:after="0"/>
        <w:tabs>
          <w:tab w:leader="none" w:pos="5660" w:val="left"/>
        </w:tabs>
        <w:rPr>
          <w:sz w:val="20"/>
          <w:szCs w:val="20"/>
          <w:color w:val="auto"/>
        </w:rPr>
      </w:pPr>
      <w:r>
        <w:rPr>
          <w:rFonts w:ascii="Arial" w:cs="Arial" w:eastAsia="Arial" w:hAnsi="Arial"/>
          <w:sz w:val="18"/>
          <w:szCs w:val="18"/>
          <w:color w:val="auto"/>
        </w:rPr>
        <w:t>Inspire Medical Systems, Inc.</w:t>
      </w:r>
      <w:r>
        <w:rPr>
          <w:sz w:val="20"/>
          <w:szCs w:val="20"/>
          <w:color w:val="auto"/>
        </w:rPr>
        <w:tab/>
      </w:r>
      <w:r>
        <w:rPr>
          <w:rFonts w:ascii="Arial" w:cs="Arial" w:eastAsia="Arial" w:hAnsi="Arial"/>
          <w:sz w:val="18"/>
          <w:szCs w:val="18"/>
          <w:color w:val="auto"/>
        </w:rPr>
        <w:t>Hill-Rom Holdings, Inc.</w:t>
      </w:r>
    </w:p>
    <w:p>
      <w:pPr>
        <w:spacing w:after="0" w:line="200" w:lineRule="exact"/>
        <w:rPr>
          <w:sz w:val="20"/>
          <w:szCs w:val="20"/>
          <w:color w:val="auto"/>
        </w:rPr>
      </w:pPr>
    </w:p>
    <w:p>
      <w:pPr>
        <w:spacing w:after="0" w:line="22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55892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43" w:lineRule="exact"/>
        <w:rPr>
          <w:sz w:val="20"/>
          <w:szCs w:val="20"/>
          <w:color w:val="auto"/>
        </w:rPr>
      </w:pPr>
    </w:p>
    <w:p>
      <w:pPr>
        <w:jc w:val="both"/>
        <w:ind w:left="80" w:right="120"/>
        <w:spacing w:after="0" w:line="241" w:lineRule="auto"/>
        <w:rPr>
          <w:sz w:val="20"/>
          <w:szCs w:val="20"/>
          <w:color w:val="auto"/>
        </w:rPr>
      </w:pPr>
      <w:r>
        <w:rPr>
          <w:rFonts w:ascii="Arial" w:cs="Arial" w:eastAsia="Arial" w:hAnsi="Arial"/>
          <w:sz w:val="18"/>
          <w:szCs w:val="18"/>
          <w:color w:val="auto"/>
        </w:rPr>
        <w:t>Jill M. Pemberton is the Chief Financial Officer, North America of LVMH Moët Hennessy Louis Vuitton, Paris, France (a global luxury product company), a position she has held since July 2020. Prior to her current role, she held the following positions:</w:t>
      </w:r>
    </w:p>
    <w:p>
      <w:pPr>
        <w:spacing w:after="0" w:line="2" w:lineRule="exact"/>
        <w:rPr>
          <w:sz w:val="20"/>
          <w:szCs w:val="20"/>
          <w:color w:val="auto"/>
        </w:rPr>
      </w:pPr>
    </w:p>
    <w:p>
      <w:pPr>
        <w:ind w:left="240" w:right="580" w:hanging="161"/>
        <w:spacing w:after="0" w:line="242" w:lineRule="auto"/>
        <w:tabs>
          <w:tab w:leader="none" w:pos="235"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8"/>
          <w:szCs w:val="18"/>
          <w:color w:val="auto"/>
        </w:rPr>
        <w:t>Senior Vice President, Corporate Financial Planning &amp; Analysis, Viacom Inc. (a leading global media company) (July 2019 to January 2020)</w:t>
      </w:r>
    </w:p>
    <w:p>
      <w:pPr>
        <w:spacing w:after="0" w:line="1" w:lineRule="exact"/>
        <w:rPr>
          <w:rFonts w:ascii="Times New Roman" w:cs="Times New Roman" w:eastAsia="Times New Roman" w:hAnsi="Times New Roman"/>
          <w:sz w:val="16"/>
          <w:szCs w:val="16"/>
          <w:color w:val="auto"/>
        </w:rPr>
      </w:pPr>
    </w:p>
    <w:p>
      <w:pPr>
        <w:ind w:left="240" w:right="320" w:hanging="161"/>
        <w:spacing w:after="0" w:line="256" w:lineRule="auto"/>
        <w:tabs>
          <w:tab w:leader="none" w:pos="235" w:val="left"/>
        </w:tabs>
        <w:numPr>
          <w:ilvl w:val="0"/>
          <w:numId w:val="22"/>
        </w:numPr>
        <w:rPr>
          <w:rFonts w:ascii="Times New Roman" w:cs="Times New Roman" w:eastAsia="Times New Roman" w:hAnsi="Times New Roman"/>
          <w:sz w:val="15"/>
          <w:szCs w:val="15"/>
          <w:color w:val="auto"/>
        </w:rPr>
      </w:pPr>
      <w:r>
        <w:rPr>
          <w:rFonts w:ascii="Arial" w:cs="Arial" w:eastAsia="Arial" w:hAnsi="Arial"/>
          <w:sz w:val="17"/>
          <w:szCs w:val="17"/>
          <w:color w:val="auto"/>
        </w:rPr>
        <w:t>Vice President, Finance, Source COE, Supply Chain (February 2017 to June 2019); Vice President, Finance, Global Franchise Organization, Consumer (March 2014 to February 2017; and Vice President,</w:t>
      </w:r>
    </w:p>
    <w:p>
      <w:pPr>
        <w:spacing w:after="0" w:line="1" w:lineRule="exact"/>
        <w:rPr>
          <w:sz w:val="20"/>
          <w:szCs w:val="20"/>
          <w:color w:val="auto"/>
        </w:rPr>
      </w:pPr>
    </w:p>
    <w:p>
      <w:pPr>
        <w:ind w:left="80" w:right="260" w:firstLine="166"/>
        <w:spacing w:after="0" w:line="248" w:lineRule="auto"/>
        <w:rPr>
          <w:sz w:val="20"/>
          <w:szCs w:val="20"/>
          <w:color w:val="auto"/>
        </w:rPr>
      </w:pPr>
      <w:r>
        <w:rPr>
          <w:rFonts w:ascii="Arial" w:cs="Arial" w:eastAsia="Arial" w:hAnsi="Arial"/>
          <w:sz w:val="17"/>
          <w:szCs w:val="17"/>
          <w:color w:val="auto"/>
        </w:rPr>
        <w:t>Finance (September 2013 to March 2014), all at Johnson &amp; Johnson (a global health care company) Prior to these roles, Ms. Pemberton served in various finance roles of increasing responsibility at the Kraft Heinz Company, Delta Air Lines, Inc. and ZF Group Inc. She holds a Directorship Certification from NACD.</w:t>
      </w:r>
    </w:p>
    <w:p>
      <w:pPr>
        <w:spacing w:after="0" w:line="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280670</wp:posOffset>
            </wp:positionV>
            <wp:extent cx="55892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80" w:right="40"/>
        <w:spacing w:after="0"/>
        <w:rPr>
          <w:sz w:val="20"/>
          <w:szCs w:val="20"/>
          <w:color w:val="auto"/>
        </w:rPr>
      </w:pPr>
      <w:r>
        <w:rPr>
          <w:rFonts w:ascii="Arial" w:cs="Arial" w:eastAsia="Arial" w:hAnsi="Arial"/>
          <w:sz w:val="18"/>
          <w:szCs w:val="18"/>
          <w:color w:val="auto"/>
        </w:rPr>
        <w:t>Ms. Pemberton brings to our Board strong and broad financial experience and acumen, enterprise risk management knowledge including relating to cybersecurity and business continuity, investor perspective, strong brand experience and sourcing and supply chain oversight. In addition, she contributes a strategic perspective, with significant acquisition and integration experience, all of which will assist our Board in providing guidance and oversight in these areas. As a female, black leader, Ms. Pemberton champions diversity, equity and inclusion initiatives as an Executive Sponsor of LVMH North America’s Women and Black Employee Resource Groups and as a member of our Board.</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Other Public Company Boards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820" w:type="dxa"/>
            <w:vAlign w:val="bottom"/>
            <w:tcBorders>
              <w:top w:val="single" w:sz="8" w:color="C00000"/>
            </w:tcBorders>
          </w:tcPr>
          <w:p>
            <w:pPr>
              <w:jc w:val="center"/>
              <w:ind w:left="1490"/>
              <w:spacing w:after="0" w:line="191" w:lineRule="exact"/>
              <w:rPr>
                <w:sz w:val="20"/>
                <w:szCs w:val="20"/>
                <w:color w:val="auto"/>
              </w:rPr>
            </w:pPr>
            <w:r>
              <w:rPr>
                <w:rFonts w:ascii="Arial" w:cs="Arial" w:eastAsia="Arial" w:hAnsi="Arial"/>
                <w:sz w:val="18"/>
                <w:szCs w:val="18"/>
                <w:b w:val="1"/>
                <w:bCs w:val="1"/>
                <w:color w:val="auto"/>
                <w:w w:val="98"/>
              </w:rPr>
              <w:t>Current</w:t>
            </w:r>
          </w:p>
        </w:tc>
        <w:tc>
          <w:tcPr>
            <w:tcW w:w="5980" w:type="dxa"/>
            <w:vAlign w:val="bottom"/>
            <w:tcBorders>
              <w:top w:val="single" w:sz="8" w:color="C00000"/>
            </w:tcBorders>
          </w:tcPr>
          <w:p>
            <w:pPr>
              <w:jc w:val="center"/>
              <w:ind w:left="1470"/>
              <w:spacing w:after="0" w:line="191" w:lineRule="exact"/>
              <w:rPr>
                <w:sz w:val="20"/>
                <w:szCs w:val="20"/>
                <w:color w:val="auto"/>
              </w:rPr>
            </w:pPr>
            <w:r>
              <w:rPr>
                <w:rFonts w:ascii="Arial" w:cs="Arial" w:eastAsia="Arial" w:hAnsi="Arial"/>
                <w:sz w:val="18"/>
                <w:szCs w:val="18"/>
                <w:b w:val="1"/>
                <w:bCs w:val="1"/>
                <w:color w:val="auto"/>
                <w:w w:val="98"/>
              </w:rPr>
              <w:t>Past 5 Years</w:t>
            </w:r>
          </w:p>
        </w:tc>
      </w:tr>
      <w:tr>
        <w:trPr>
          <w:trHeight w:val="239"/>
        </w:trPr>
        <w:tc>
          <w:tcPr>
            <w:tcW w:w="2820" w:type="dxa"/>
            <w:vAlign w:val="bottom"/>
          </w:tcPr>
          <w:p>
            <w:pPr>
              <w:jc w:val="center"/>
              <w:ind w:left="1490"/>
              <w:spacing w:after="0"/>
              <w:rPr>
                <w:sz w:val="20"/>
                <w:szCs w:val="20"/>
                <w:color w:val="auto"/>
              </w:rPr>
            </w:pPr>
            <w:r>
              <w:rPr>
                <w:rFonts w:ascii="Arial" w:cs="Arial" w:eastAsia="Arial" w:hAnsi="Arial"/>
                <w:sz w:val="18"/>
                <w:szCs w:val="18"/>
                <w:color w:val="auto"/>
              </w:rPr>
              <w:t>None</w:t>
            </w:r>
          </w:p>
        </w:tc>
        <w:tc>
          <w:tcPr>
            <w:tcW w:w="5980" w:type="dxa"/>
            <w:vAlign w:val="bottom"/>
          </w:tcPr>
          <w:p>
            <w:pPr>
              <w:jc w:val="center"/>
              <w:ind w:left="1490"/>
              <w:spacing w:after="0"/>
              <w:rPr>
                <w:sz w:val="20"/>
                <w:szCs w:val="20"/>
                <w:color w:val="auto"/>
              </w:rPr>
            </w:pPr>
            <w:r>
              <w:rPr>
                <w:rFonts w:ascii="Arial" w:cs="Arial" w:eastAsia="Arial" w:hAnsi="Arial"/>
                <w:sz w:val="18"/>
                <w:szCs w:val="18"/>
                <w:color w:val="auto"/>
              </w:rPr>
              <w:t>None</w:t>
            </w:r>
          </w:p>
        </w:tc>
      </w:tr>
      <w:tr>
        <w:trPr>
          <w:trHeight w:val="932"/>
        </w:trPr>
        <w:tc>
          <w:tcPr>
            <w:tcW w:w="2820" w:type="dxa"/>
            <w:vAlign w:val="bottom"/>
          </w:tcPr>
          <w:p>
            <w:pPr>
              <w:spacing w:after="0"/>
              <w:rPr>
                <w:sz w:val="24"/>
                <w:szCs w:val="24"/>
                <w:color w:val="auto"/>
              </w:rPr>
            </w:pPr>
          </w:p>
        </w:tc>
        <w:tc>
          <w:tcPr>
            <w:tcW w:w="5980" w:type="dxa"/>
            <w:vAlign w:val="bottom"/>
          </w:tcPr>
          <w:p>
            <w:pPr>
              <w:jc w:val="right"/>
              <w:ind w:right="5470"/>
              <w:spacing w:after="0"/>
              <w:rPr>
                <w:sz w:val="20"/>
                <w:szCs w:val="20"/>
                <w:color w:val="auto"/>
              </w:rPr>
            </w:pPr>
            <w:r>
              <w:rPr>
                <w:rFonts w:ascii="Arial" w:cs="Arial" w:eastAsia="Arial" w:hAnsi="Arial"/>
                <w:sz w:val="18"/>
                <w:szCs w:val="18"/>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44450</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2">
            <w:col w:w="2220" w:space="220"/>
            <w:col w:w="880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019810" cy="12261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19810" cy="122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C00000"/>
        </w:rPr>
        <w:t>Michael G. Vale, Ph.D.</w:t>
      </w:r>
    </w:p>
    <w:p>
      <w:pPr>
        <w:spacing w:after="0" w:line="61" w:lineRule="exact"/>
        <w:rPr>
          <w:sz w:val="20"/>
          <w:szCs w:val="20"/>
          <w:color w:val="auto"/>
        </w:rPr>
      </w:pPr>
    </w:p>
    <w:p>
      <w:pPr>
        <w:ind w:left="80"/>
        <w:spacing w:after="0"/>
        <w:rPr>
          <w:sz w:val="20"/>
          <w:szCs w:val="20"/>
          <w:color w:val="auto"/>
        </w:rPr>
      </w:pPr>
      <w:r>
        <w:rPr>
          <w:rFonts w:ascii="Arial" w:cs="Arial" w:eastAsia="Arial" w:hAnsi="Arial"/>
          <w:sz w:val="18"/>
          <w:szCs w:val="18"/>
          <w:color w:val="auto"/>
        </w:rPr>
        <w:t>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474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 w:lineRule="exact"/>
        <w:rPr>
          <w:sz w:val="20"/>
          <w:szCs w:val="20"/>
          <w:color w:val="auto"/>
        </w:rPr>
      </w:pPr>
    </w:p>
    <w:p>
      <w:pPr>
        <w:ind w:left="80"/>
        <w:spacing w:after="0"/>
        <w:rPr>
          <w:sz w:val="20"/>
          <w:szCs w:val="20"/>
          <w:color w:val="auto"/>
        </w:rPr>
      </w:pPr>
      <w:r>
        <w:rPr>
          <w:rFonts w:ascii="Arial" w:cs="Arial" w:eastAsia="Arial" w:hAnsi="Arial"/>
          <w:sz w:val="18"/>
          <w:szCs w:val="18"/>
          <w:color w:val="auto"/>
        </w:rPr>
        <w:t>Director since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474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43" w:lineRule="exact"/>
        <w:rPr>
          <w:sz w:val="20"/>
          <w:szCs w:val="20"/>
          <w:color w:val="auto"/>
        </w:rPr>
      </w:pPr>
    </w:p>
    <w:p>
      <w:pPr>
        <w:ind w:left="80"/>
        <w:spacing w:after="0"/>
        <w:rPr>
          <w:sz w:val="20"/>
          <w:szCs w:val="20"/>
          <w:color w:val="auto"/>
        </w:rPr>
      </w:pPr>
      <w:r>
        <w:rPr>
          <w:rFonts w:ascii="Arial" w:cs="Arial" w:eastAsia="Arial" w:hAnsi="Arial"/>
          <w:sz w:val="18"/>
          <w:szCs w:val="18"/>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474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474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 w:lineRule="exact"/>
        <w:rPr>
          <w:sz w:val="20"/>
          <w:szCs w:val="20"/>
          <w:color w:val="auto"/>
        </w:rPr>
      </w:pPr>
    </w:p>
    <w:p>
      <w:pPr>
        <w:ind w:left="240" w:hanging="151"/>
        <w:spacing w:after="0"/>
        <w:tabs>
          <w:tab w:leader="none" w:pos="2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8"/>
          <w:szCs w:val="18"/>
          <w:color w:val="auto"/>
        </w:rPr>
        <w:t>Audit</w:t>
      </w:r>
    </w:p>
    <w:p>
      <w:pPr>
        <w:spacing w:after="0" w:line="32" w:lineRule="exact"/>
        <w:rPr>
          <w:rFonts w:ascii="Times New Roman" w:cs="Times New Roman" w:eastAsia="Times New Roman" w:hAnsi="Times New Roman"/>
          <w:sz w:val="16"/>
          <w:szCs w:val="16"/>
          <w:color w:val="auto"/>
        </w:rPr>
      </w:pPr>
    </w:p>
    <w:p>
      <w:pPr>
        <w:ind w:left="240" w:hanging="151"/>
        <w:spacing w:after="0"/>
        <w:tabs>
          <w:tab w:leader="none" w:pos="2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8"/>
          <w:szCs w:val="18"/>
          <w:color w:val="auto"/>
        </w:rPr>
        <w:t>Finance</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8890</wp:posOffset>
            </wp:positionV>
            <wp:extent cx="55892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43" w:lineRule="exact"/>
        <w:rPr>
          <w:sz w:val="20"/>
          <w:szCs w:val="20"/>
          <w:color w:val="auto"/>
        </w:rPr>
      </w:pPr>
    </w:p>
    <w:p>
      <w:pPr>
        <w:ind w:left="1" w:right="300"/>
        <w:spacing w:after="0" w:line="259" w:lineRule="auto"/>
        <w:rPr>
          <w:sz w:val="20"/>
          <w:szCs w:val="20"/>
          <w:color w:val="auto"/>
        </w:rPr>
      </w:pPr>
      <w:r>
        <w:rPr>
          <w:rFonts w:ascii="Arial" w:cs="Arial" w:eastAsia="Arial" w:hAnsi="Arial"/>
          <w:sz w:val="17"/>
          <w:szCs w:val="17"/>
          <w:color w:val="auto"/>
        </w:rPr>
        <w:t>Michael G. Vale, Ph.D., is the Group President, Safety &amp; Industrial of 3M Company, St. Paul, Minnesota (a global diversified technology company). Prior to his current role, he held the following positions, all at 3M:</w:t>
      </w:r>
    </w:p>
    <w:p>
      <w:pPr>
        <w:spacing w:after="0" w:line="1" w:lineRule="exact"/>
        <w:rPr>
          <w:sz w:val="20"/>
          <w:szCs w:val="20"/>
          <w:color w:val="auto"/>
        </w:rPr>
      </w:pPr>
    </w:p>
    <w:p>
      <w:pPr>
        <w:ind w:left="161" w:hanging="161"/>
        <w:spacing w:after="0"/>
        <w:tabs>
          <w:tab w:leader="none" w:pos="161"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8"/>
          <w:szCs w:val="18"/>
          <w:color w:val="auto"/>
        </w:rPr>
        <w:t>Executive Vice President, Safety &amp; Industrial Business Group (since May 2019)</w:t>
      </w:r>
    </w:p>
    <w:p>
      <w:pPr>
        <w:spacing w:after="0" w:line="9" w:lineRule="exact"/>
        <w:rPr>
          <w:rFonts w:ascii="Times New Roman" w:cs="Times New Roman" w:eastAsia="Times New Roman" w:hAnsi="Times New Roman"/>
          <w:sz w:val="16"/>
          <w:szCs w:val="16"/>
          <w:color w:val="auto"/>
        </w:rPr>
      </w:pPr>
    </w:p>
    <w:p>
      <w:pPr>
        <w:ind w:left="161" w:hanging="161"/>
        <w:spacing w:after="0"/>
        <w:tabs>
          <w:tab w:leader="none" w:pos="161"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8"/>
          <w:szCs w:val="18"/>
          <w:color w:val="auto"/>
        </w:rPr>
        <w:t>Executive Vice President, Health Care Business Group (July 2016 – April 2019)</w:t>
      </w:r>
    </w:p>
    <w:p>
      <w:pPr>
        <w:spacing w:after="0" w:line="9" w:lineRule="exact"/>
        <w:rPr>
          <w:rFonts w:ascii="Times New Roman" w:cs="Times New Roman" w:eastAsia="Times New Roman" w:hAnsi="Times New Roman"/>
          <w:sz w:val="16"/>
          <w:szCs w:val="16"/>
          <w:color w:val="auto"/>
        </w:rPr>
      </w:pPr>
    </w:p>
    <w:p>
      <w:pPr>
        <w:ind w:left="161" w:hanging="161"/>
        <w:spacing w:after="0"/>
        <w:tabs>
          <w:tab w:leader="none" w:pos="161"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8"/>
          <w:szCs w:val="18"/>
          <w:color w:val="auto"/>
        </w:rPr>
        <w:t>Executive Vice President, Consumer Business Group (August 2011 – July 2016)</w:t>
      </w:r>
    </w:p>
    <w:p>
      <w:pPr>
        <w:spacing w:after="0" w:line="9" w:lineRule="exact"/>
        <w:rPr>
          <w:rFonts w:ascii="Times New Roman" w:cs="Times New Roman" w:eastAsia="Times New Roman" w:hAnsi="Times New Roman"/>
          <w:sz w:val="16"/>
          <w:szCs w:val="16"/>
          <w:color w:val="auto"/>
        </w:rPr>
      </w:pPr>
    </w:p>
    <w:p>
      <w:pPr>
        <w:ind w:left="161" w:right="560" w:hanging="161"/>
        <w:spacing w:after="0" w:line="266" w:lineRule="auto"/>
        <w:tabs>
          <w:tab w:leader="none" w:pos="156"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8"/>
          <w:szCs w:val="18"/>
          <w:color w:val="auto"/>
        </w:rPr>
        <w:t>Prior positions include product development engineer; manufacturing director; managing director, 3M Spain; and managing director, 3M Brazil</w:t>
      </w:r>
    </w:p>
    <w:p>
      <w:pPr>
        <w:spacing w:after="0" w:line="9"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8890</wp:posOffset>
            </wp:positionV>
            <wp:extent cx="55892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43" w:lineRule="exact"/>
        <w:rPr>
          <w:sz w:val="20"/>
          <w:szCs w:val="20"/>
          <w:color w:val="auto"/>
        </w:rPr>
      </w:pPr>
    </w:p>
    <w:p>
      <w:pPr>
        <w:ind w:left="1" w:right="180"/>
        <w:spacing w:after="0"/>
        <w:rPr>
          <w:sz w:val="20"/>
          <w:szCs w:val="20"/>
          <w:color w:val="auto"/>
        </w:rPr>
      </w:pPr>
      <w:r>
        <w:rPr>
          <w:rFonts w:ascii="Arial" w:cs="Arial" w:eastAsia="Arial" w:hAnsi="Arial"/>
          <w:sz w:val="18"/>
          <w:szCs w:val="18"/>
          <w:color w:val="auto"/>
        </w:rPr>
        <w:t>Dr. Vale brings to our Board extensive global business experience and expertise in research and development, technology and manufacturing. Dr. Vale also contributes substantial knowledge of consumer marketing, distribution channels, supply chain, mergers and acquisitions and managing customer relationships, all of which provide valuable management insight with respect to our strategic planning and assist our Board in providing oversight to our businesses. Born and raised in South Texas and of Mexican-American descent, Dr. Vale champions diversity, equity and inclusion initiatives as the Executive Sponsor of 3M’s Latino Resource Network and as a member of our Board.</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C00000"/>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8890</wp:posOffset>
            </wp:positionV>
            <wp:extent cx="55892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43" w:lineRule="exact"/>
        <w:rPr>
          <w:sz w:val="20"/>
          <w:szCs w:val="20"/>
          <w:color w:val="auto"/>
        </w:rPr>
      </w:pPr>
    </w:p>
    <w:p>
      <w:pPr>
        <w:ind w:left="1801"/>
        <w:spacing w:after="0"/>
        <w:tabs>
          <w:tab w:leader="none" w:pos="5961"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14" w:lineRule="exact"/>
        <w:rPr>
          <w:sz w:val="20"/>
          <w:szCs w:val="20"/>
          <w:color w:val="auto"/>
        </w:rPr>
      </w:pPr>
    </w:p>
    <w:p>
      <w:pPr>
        <w:ind w:left="1901"/>
        <w:spacing w:after="0"/>
        <w:tabs>
          <w:tab w:leader="none" w:pos="6281" w:val="left"/>
        </w:tabs>
        <w:rPr>
          <w:sz w:val="20"/>
          <w:szCs w:val="20"/>
          <w:color w:val="auto"/>
        </w:rPr>
      </w:pPr>
      <w:r>
        <w:rPr>
          <w:rFonts w:ascii="Arial" w:cs="Arial" w:eastAsia="Arial" w:hAnsi="Arial"/>
          <w:sz w:val="18"/>
          <w:szCs w:val="18"/>
          <w:color w:val="auto"/>
        </w:rPr>
        <w:t>None</w:t>
      </w:r>
      <w:r>
        <w:rPr>
          <w:sz w:val="20"/>
          <w:szCs w:val="20"/>
          <w:color w:val="auto"/>
        </w:rPr>
        <w:tab/>
      </w:r>
      <w:r>
        <w:rPr>
          <w:rFonts w:ascii="Arial" w:cs="Arial" w:eastAsia="Arial" w:hAnsi="Arial"/>
          <w:sz w:val="18"/>
          <w:szCs w:val="18"/>
          <w:color w:val="auto"/>
        </w:rPr>
        <w:t>None</w:t>
      </w:r>
    </w:p>
    <w:p>
      <w:pPr>
        <w:spacing w:after="0" w:line="200" w:lineRule="exact"/>
        <w:rPr>
          <w:sz w:val="20"/>
          <w:szCs w:val="20"/>
          <w:color w:val="auto"/>
        </w:rPr>
      </w:pPr>
    </w:p>
    <w:p>
      <w:pPr>
        <w:sectPr>
          <w:pgSz w:w="11900" w:h="16838" w:orient="portrait"/>
          <w:cols w:equalWidth="0" w:num="2">
            <w:col w:w="1960" w:space="559"/>
            <w:col w:w="8721"/>
          </w:cols>
          <w:pgMar w:left="320" w:top="121" w:right="339" w:bottom="1440" w:gutter="0" w:footer="0" w:header="0"/>
        </w:sectPr>
      </w:pP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C00000"/>
        </w:rPr>
        <w:t>Continuing Members of the Board – Current Term Ending at the 2025 Annual Meeting</w:t>
      </w:r>
    </w:p>
    <w:p>
      <w:pPr>
        <w:spacing w:after="0" w:line="223"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344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234440"/>
                    </a:xfrm>
                    <a:prstGeom prst="rect">
                      <a:avLst/>
                    </a:prstGeom>
                    <a:noFill/>
                  </pic:spPr>
                </pic:pic>
              </a:graphicData>
            </a:graphic>
          </wp:anchor>
        </w:drawing>
      </w:r>
    </w:p>
    <w:p>
      <w:pPr>
        <w:spacing w:after="0" w:line="43" w:lineRule="exact"/>
        <w:rPr>
          <w:sz w:val="20"/>
          <w:szCs w:val="20"/>
          <w:color w:val="auto"/>
        </w:rPr>
      </w:pPr>
    </w:p>
    <w:p>
      <w:pPr>
        <w:ind w:left="2520" w:right="360"/>
        <w:spacing w:after="0" w:line="241" w:lineRule="auto"/>
        <w:rPr>
          <w:sz w:val="20"/>
          <w:szCs w:val="20"/>
          <w:color w:val="auto"/>
        </w:rPr>
      </w:pPr>
      <w:r>
        <w:rPr>
          <w:rFonts w:ascii="Arial" w:cs="Arial" w:eastAsia="Arial" w:hAnsi="Arial"/>
          <w:sz w:val="18"/>
          <w:szCs w:val="18"/>
          <w:color w:val="auto"/>
        </w:rPr>
        <w:t>Jeffrey L. Harmening is the Chairman and Chief Executive Officer of General Mills, Inc., Minneapolis, Minnesota (a global manufacturer, marketer and supplier of food products). He holds or held the following positions, all at General Mills:</w:t>
      </w:r>
    </w:p>
    <w:p>
      <w:pPr>
        <w:spacing w:after="0" w:line="2" w:lineRule="exact"/>
        <w:rPr>
          <w:sz w:val="20"/>
          <w:szCs w:val="20"/>
          <w:color w:val="auto"/>
        </w:rPr>
      </w:pPr>
    </w:p>
    <w:p>
      <w:pPr>
        <w:ind w:left="2680" w:hanging="161"/>
        <w:spacing w:after="0"/>
        <w:tabs>
          <w:tab w:leader="none" w:pos="268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8"/>
          <w:szCs w:val="18"/>
          <w:color w:val="auto"/>
        </w:rPr>
        <w:t>Chairman and Chief Executive Officer (since January 2018)</w:t>
      </w:r>
    </w:p>
    <w:p>
      <w:pPr>
        <w:spacing w:after="0" w:line="9" w:lineRule="exact"/>
        <w:rPr>
          <w:rFonts w:ascii="Times New Roman" w:cs="Times New Roman" w:eastAsia="Times New Roman" w:hAnsi="Times New Roman"/>
          <w:sz w:val="16"/>
          <w:szCs w:val="16"/>
          <w:color w:val="auto"/>
        </w:rPr>
      </w:pPr>
    </w:p>
    <w:p>
      <w:pPr>
        <w:ind w:left="2680" w:hanging="161"/>
        <w:spacing w:after="0"/>
        <w:tabs>
          <w:tab w:leader="none" w:pos="268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8"/>
          <w:szCs w:val="18"/>
          <w:color w:val="auto"/>
        </w:rPr>
        <w:t>Chief Executive Officer (June 2017 – January 2018)</w:t>
      </w:r>
    </w:p>
    <w:p>
      <w:pPr>
        <w:spacing w:after="0" w:line="9" w:lineRule="exact"/>
        <w:rPr>
          <w:rFonts w:ascii="Times New Roman" w:cs="Times New Roman" w:eastAsia="Times New Roman" w:hAnsi="Times New Roman"/>
          <w:sz w:val="16"/>
          <w:szCs w:val="16"/>
          <w:color w:val="auto"/>
        </w:rPr>
      </w:pPr>
    </w:p>
    <w:p>
      <w:pPr>
        <w:ind w:left="2680" w:hanging="161"/>
        <w:spacing w:after="0"/>
        <w:tabs>
          <w:tab w:leader="none" w:pos="268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8"/>
          <w:szCs w:val="18"/>
          <w:color w:val="auto"/>
        </w:rPr>
        <w:t>President and Chief Operating Officer (July 2016 – May 2017)</w:t>
      </w:r>
    </w:p>
    <w:p>
      <w:pPr>
        <w:spacing w:after="0" w:line="9" w:lineRule="exact"/>
        <w:rPr>
          <w:rFonts w:ascii="Times New Roman" w:cs="Times New Roman" w:eastAsia="Times New Roman" w:hAnsi="Times New Roman"/>
          <w:sz w:val="16"/>
          <w:szCs w:val="16"/>
          <w:color w:val="auto"/>
        </w:rPr>
      </w:pPr>
    </w:p>
    <w:p>
      <w:pPr>
        <w:ind w:left="2680" w:hanging="161"/>
        <w:spacing w:after="0"/>
        <w:tabs>
          <w:tab w:leader="none" w:pos="268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8"/>
          <w:szCs w:val="18"/>
          <w:color w:val="auto"/>
        </w:rPr>
        <w:t>Executive Vice President, Chief Operating Officer, U.S. Retail (May 2014 – June 2016)</w:t>
      </w:r>
    </w:p>
    <w:p>
      <w:pPr>
        <w:spacing w:after="0" w:line="9" w:lineRule="exact"/>
        <w:rPr>
          <w:rFonts w:ascii="Times New Roman" w:cs="Times New Roman" w:eastAsia="Times New Roman" w:hAnsi="Times New Roman"/>
          <w:sz w:val="16"/>
          <w:szCs w:val="16"/>
          <w:color w:val="auto"/>
        </w:rPr>
      </w:pPr>
    </w:p>
    <w:p>
      <w:pPr>
        <w:ind w:left="2680" w:hanging="161"/>
        <w:spacing w:after="0"/>
        <w:tabs>
          <w:tab w:leader="none" w:pos="268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8"/>
          <w:szCs w:val="18"/>
          <w:color w:val="auto"/>
        </w:rPr>
        <w:t>Senior Vice President, Chief Executive Officer, Cereal Partners Worldwide (July 2012 – April 2014)</w:t>
      </w:r>
    </w:p>
    <w:p>
      <w:pPr>
        <w:sectPr>
          <w:pgSz w:w="11900" w:h="16838" w:orient="portrait"/>
          <w:cols w:equalWidth="0" w:num="1">
            <w:col w:w="11240"/>
          </w:cols>
          <w:pgMar w:left="320" w:top="121" w:right="339" w:bottom="1440" w:gutter="0" w:footer="0" w:header="0"/>
          <w:type w:val="continuous"/>
        </w:sectPr>
      </w:pPr>
    </w:p>
    <w:p>
      <w:pPr>
        <w:spacing w:after="0" w:line="27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Jeffrey L. Harmening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4744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Arial" w:cs="Arial" w:eastAsia="Arial" w:hAnsi="Arial"/>
          <w:sz w:val="18"/>
          <w:szCs w:val="18"/>
          <w:color w:val="auto"/>
        </w:rPr>
        <w:t>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474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Director since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4744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14744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Committees</w:t>
      </w:r>
    </w:p>
    <w:p>
      <w:pPr>
        <w:spacing w:after="0" w:line="18" w:lineRule="exact"/>
        <w:rPr>
          <w:sz w:val="20"/>
          <w:szCs w:val="20"/>
          <w:color w:val="auto"/>
        </w:rPr>
      </w:pPr>
    </w:p>
    <w:p>
      <w:pPr>
        <w:ind w:left="240" w:hanging="151"/>
        <w:spacing w:after="0"/>
        <w:tabs>
          <w:tab w:leader="none" w:pos="2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8"/>
          <w:szCs w:val="18"/>
          <w:color w:val="auto"/>
        </w:rPr>
        <w:t>Finance (Chair)</w:t>
      </w:r>
    </w:p>
    <w:p>
      <w:pPr>
        <w:spacing w:after="0" w:line="9" w:lineRule="exact"/>
        <w:rPr>
          <w:rFonts w:ascii="Times New Roman" w:cs="Times New Roman" w:eastAsia="Times New Roman" w:hAnsi="Times New Roman"/>
          <w:sz w:val="16"/>
          <w:szCs w:val="16"/>
          <w:color w:val="auto"/>
        </w:rPr>
      </w:pPr>
    </w:p>
    <w:p>
      <w:pPr>
        <w:ind w:left="240" w:hanging="151"/>
        <w:spacing w:after="0"/>
        <w:tabs>
          <w:tab w:leader="none" w:pos="2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8"/>
          <w:szCs w:val="18"/>
          <w:color w:val="auto"/>
        </w:rPr>
        <w:t>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17780</wp:posOffset>
            </wp:positionV>
            <wp:extent cx="55892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57"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Mr. Harmening brings to our Board extensive experience as a seasoned executive with strong business and financial acumen and experience implementing the strategic direction for a publicly traded company with extensive distribution channels and supply chain operations. Furthermore, he brings experience in driving growth through customer-valued products and acquisitions and advancing diversity, equity and inclusion matters. In addition, he has significant experience managing operations around the world, including having lived in Europe for six years during his tenure at General Mills.</w:t>
      </w:r>
    </w:p>
    <w:p>
      <w:pPr>
        <w:spacing w:after="0" w:line="71" w:lineRule="exact"/>
        <w:rPr>
          <w:sz w:val="20"/>
          <w:szCs w:val="20"/>
          <w:color w:val="auto"/>
        </w:rPr>
      </w:pPr>
    </w:p>
    <w:p>
      <w:pPr>
        <w:sectPr>
          <w:pgSz w:w="11900" w:h="16838" w:orient="portrait"/>
          <w:cols w:equalWidth="0" w:num="2">
            <w:col w:w="1880" w:space="640"/>
            <w:col w:w="8720"/>
          </w:cols>
          <w:pgMar w:left="320" w:top="121" w:right="339" w:bottom="1440" w:gutter="0" w:footer="0" w:header="0"/>
          <w:type w:val="continuous"/>
        </w:sectPr>
      </w:pPr>
    </w:p>
    <w:p>
      <w:pPr>
        <w:ind w:left="2520"/>
        <w:spacing w:after="0"/>
        <w:rPr>
          <w:sz w:val="20"/>
          <w:szCs w:val="20"/>
          <w:color w:val="auto"/>
        </w:rPr>
      </w:pPr>
      <w:r>
        <w:rPr>
          <w:rFonts w:ascii="Arial" w:cs="Arial" w:eastAsia="Arial" w:hAnsi="Arial"/>
          <w:sz w:val="18"/>
          <w:szCs w:val="18"/>
          <w:b w:val="1"/>
          <w:bCs w:val="1"/>
          <w:color w:val="C00000"/>
        </w:rPr>
        <w:t>Other Public Company Boards</w:t>
      </w:r>
    </w:p>
    <w:p>
      <w:pPr>
        <w:spacing w:after="0" w:line="14" w:lineRule="exact"/>
        <w:rPr>
          <w:sz w:val="20"/>
          <w:szCs w:val="20"/>
          <w:color w:val="auto"/>
        </w:rPr>
      </w:pPr>
    </w:p>
    <w:tbl>
      <w:tblPr>
        <w:tblLayout w:type="fixed"/>
        <w:tblInd w:w="2440" w:type="dxa"/>
        <w:tblCellMar>
          <w:top w:w="0" w:type="dxa"/>
          <w:left w:w="0" w:type="dxa"/>
          <w:bottom w:w="0" w:type="dxa"/>
          <w:right w:w="0" w:type="dxa"/>
        </w:tblCellMar>
      </w:tblPr>
      <w:tr>
        <w:trPr>
          <w:trHeight w:val="191"/>
        </w:trPr>
        <w:tc>
          <w:tcPr>
            <w:tcW w:w="4500" w:type="dxa"/>
            <w:vAlign w:val="bottom"/>
            <w:tcBorders>
              <w:top w:val="single" w:sz="8" w:color="C00000"/>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8"/>
              </w:rPr>
              <w:t>Current</w:t>
            </w:r>
          </w:p>
        </w:tc>
        <w:tc>
          <w:tcPr>
            <w:tcW w:w="4300" w:type="dxa"/>
            <w:vAlign w:val="bottom"/>
            <w:tcBorders>
              <w:top w:val="single" w:sz="8" w:color="C00000"/>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98"/>
              </w:rPr>
              <w:t>Past 5 Years</w:t>
            </w:r>
          </w:p>
        </w:tc>
      </w:tr>
      <w:tr>
        <w:trPr>
          <w:trHeight w:val="239"/>
        </w:trPr>
        <w:tc>
          <w:tcPr>
            <w:tcW w:w="4500" w:type="dxa"/>
            <w:vAlign w:val="bottom"/>
          </w:tcPr>
          <w:p>
            <w:pPr>
              <w:jc w:val="center"/>
              <w:ind w:right="10"/>
              <w:spacing w:after="0"/>
              <w:rPr>
                <w:sz w:val="20"/>
                <w:szCs w:val="20"/>
                <w:color w:val="auto"/>
              </w:rPr>
            </w:pPr>
            <w:r>
              <w:rPr>
                <w:rFonts w:ascii="Arial" w:cs="Arial" w:eastAsia="Arial" w:hAnsi="Arial"/>
                <w:sz w:val="18"/>
                <w:szCs w:val="18"/>
                <w:color w:val="auto"/>
                <w:w w:val="99"/>
              </w:rPr>
              <w:t>General Mills, Inc.</w:t>
            </w:r>
          </w:p>
        </w:tc>
        <w:tc>
          <w:tcPr>
            <w:tcW w:w="4300" w:type="dxa"/>
            <w:vAlign w:val="bottom"/>
          </w:tcPr>
          <w:p>
            <w:pPr>
              <w:jc w:val="center"/>
              <w:ind w:right="10"/>
              <w:spacing w:after="0"/>
              <w:rPr>
                <w:sz w:val="20"/>
                <w:szCs w:val="20"/>
                <w:color w:val="auto"/>
              </w:rPr>
            </w:pPr>
            <w:r>
              <w:rPr>
                <w:rFonts w:ascii="Arial" w:cs="Arial" w:eastAsia="Arial" w:hAnsi="Arial"/>
                <w:sz w:val="18"/>
                <w:szCs w:val="18"/>
                <w:color w:val="auto"/>
              </w:rPr>
              <w:t>None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019810" cy="12261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19810" cy="122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Joyce A. Mullen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474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Arial" w:cs="Arial" w:eastAsia="Arial" w:hAnsi="Arial"/>
          <w:sz w:val="18"/>
          <w:szCs w:val="18"/>
          <w:color w:val="auto"/>
        </w:rPr>
        <w:t>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474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Director since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1474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8"/>
          <w:szCs w:val="18"/>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474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ind w:left="260" w:hanging="171"/>
        <w:spacing w:after="0" w:line="256" w:lineRule="auto"/>
        <w:tabs>
          <w:tab w:leader="none" w:pos="255" w:val="left"/>
        </w:tabs>
        <w:numPr>
          <w:ilvl w:val="0"/>
          <w:numId w:val="27"/>
        </w:numPr>
        <w:rPr>
          <w:rFonts w:ascii="Times New Roman" w:cs="Times New Roman" w:eastAsia="Times New Roman" w:hAnsi="Times New Roman"/>
          <w:sz w:val="15"/>
          <w:szCs w:val="15"/>
          <w:color w:val="auto"/>
        </w:rPr>
      </w:pPr>
      <w:r>
        <w:rPr>
          <w:rFonts w:ascii="Arial" w:cs="Arial" w:eastAsia="Arial" w:hAnsi="Arial"/>
          <w:sz w:val="17"/>
          <w:szCs w:val="17"/>
          <w:color w:val="auto"/>
        </w:rPr>
        <w:t>Compensation &amp; Human Resources</w:t>
      </w:r>
    </w:p>
    <w:p>
      <w:pPr>
        <w:spacing w:after="0" w:line="1" w:lineRule="exact"/>
        <w:rPr>
          <w:rFonts w:ascii="Times New Roman" w:cs="Times New Roman" w:eastAsia="Times New Roman" w:hAnsi="Times New Roman"/>
          <w:sz w:val="15"/>
          <w:szCs w:val="15"/>
          <w:color w:val="auto"/>
        </w:rPr>
      </w:pPr>
    </w:p>
    <w:p>
      <w:pPr>
        <w:ind w:left="260" w:right="420" w:hanging="171"/>
        <w:spacing w:after="0" w:line="296" w:lineRule="auto"/>
        <w:tabs>
          <w:tab w:leader="none" w:pos="255" w:val="left"/>
        </w:tabs>
        <w:numPr>
          <w:ilvl w:val="0"/>
          <w:numId w:val="27"/>
        </w:numPr>
        <w:rPr>
          <w:rFonts w:ascii="Times New Roman" w:cs="Times New Roman" w:eastAsia="Times New Roman" w:hAnsi="Times New Roman"/>
          <w:sz w:val="15"/>
          <w:szCs w:val="15"/>
          <w:color w:val="auto"/>
        </w:rPr>
      </w:pPr>
      <w:r>
        <w:rPr>
          <w:rFonts w:ascii="Arial" w:cs="Arial" w:eastAsia="Arial" w:hAnsi="Arial"/>
          <w:sz w:val="17"/>
          <w:szCs w:val="17"/>
          <w:color w:val="auto"/>
        </w:rPr>
        <w:t>Nominating &amp;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980440</wp:posOffset>
            </wp:positionV>
            <wp:extent cx="1028700" cy="12344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2870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4744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81" w:lineRule="exact"/>
        <w:rPr>
          <w:sz w:val="20"/>
          <w:szCs w:val="20"/>
          <w:color w:val="auto"/>
        </w:rPr>
      </w:pPr>
    </w:p>
    <w:p>
      <w:pPr>
        <w:ind w:left="80"/>
        <w:spacing w:after="0"/>
        <w:rPr>
          <w:sz w:val="20"/>
          <w:szCs w:val="20"/>
          <w:color w:val="auto"/>
        </w:rPr>
      </w:pPr>
      <w:r>
        <w:rPr>
          <w:rFonts w:ascii="Arial" w:cs="Arial" w:eastAsia="Arial" w:hAnsi="Arial"/>
          <w:sz w:val="18"/>
          <w:szCs w:val="18"/>
          <w:color w:val="auto"/>
        </w:rPr>
        <w:t>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474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Arial" w:cs="Arial" w:eastAsia="Arial" w:hAnsi="Arial"/>
          <w:sz w:val="18"/>
          <w:szCs w:val="18"/>
          <w:color w:val="auto"/>
        </w:rPr>
        <w:t>Director since 2016</w:t>
      </w:r>
    </w:p>
    <w:p>
      <w:pPr>
        <w:spacing w:after="0" w:line="200" w:lineRule="exact"/>
        <w:rPr>
          <w:sz w:val="20"/>
          <w:szCs w:val="20"/>
          <w:color w:val="auto"/>
        </w:rPr>
      </w:pPr>
    </w:p>
    <w:p>
      <w:pPr>
        <w:spacing w:after="0" w:line="21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4744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55892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151" w:lineRule="exact"/>
        <w:rPr>
          <w:sz w:val="20"/>
          <w:szCs w:val="20"/>
          <w:color w:val="auto"/>
        </w:rPr>
      </w:pPr>
    </w:p>
    <w:p>
      <w:pPr>
        <w:ind w:left="80" w:right="200"/>
        <w:spacing w:after="0" w:line="238" w:lineRule="auto"/>
        <w:rPr>
          <w:sz w:val="20"/>
          <w:szCs w:val="20"/>
          <w:color w:val="auto"/>
        </w:rPr>
      </w:pPr>
      <w:r>
        <w:rPr>
          <w:rFonts w:ascii="Arial" w:cs="Arial" w:eastAsia="Arial" w:hAnsi="Arial"/>
          <w:sz w:val="18"/>
          <w:szCs w:val="18"/>
          <w:color w:val="auto"/>
        </w:rPr>
        <w:t>Joyce A. Mullen is the President and Chief Executive Officer of Insight Enterprises, Inc., Chandler, Arizona (an information technology company), a role she has held since January 1, 2022. Previously, she served as President of North American Businesses of Insight Enterprises, Inc., a role she held from October 2020 to December 2021. Prior to that, she held the following positions at Dell Technologies (a digital technology solutions company):</w:t>
      </w:r>
    </w:p>
    <w:p>
      <w:pPr>
        <w:spacing w:after="0" w:line="4" w:lineRule="exact"/>
        <w:rPr>
          <w:sz w:val="20"/>
          <w:szCs w:val="20"/>
          <w:color w:val="auto"/>
        </w:rPr>
      </w:pPr>
    </w:p>
    <w:p>
      <w:pPr>
        <w:ind w:left="240" w:hanging="161"/>
        <w:spacing w:after="0"/>
        <w:tabs>
          <w:tab w:leader="none" w:pos="2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8"/>
          <w:szCs w:val="18"/>
          <w:color w:val="auto"/>
        </w:rPr>
        <w:t>President, Global Channel, OEM and IoT (November 2017-August 2020)</w:t>
      </w:r>
    </w:p>
    <w:p>
      <w:pPr>
        <w:spacing w:after="0" w:line="9" w:lineRule="exact"/>
        <w:rPr>
          <w:rFonts w:ascii="Times New Roman" w:cs="Times New Roman" w:eastAsia="Times New Roman" w:hAnsi="Times New Roman"/>
          <w:sz w:val="16"/>
          <w:szCs w:val="16"/>
          <w:color w:val="auto"/>
        </w:rPr>
      </w:pPr>
    </w:p>
    <w:p>
      <w:pPr>
        <w:ind w:left="240" w:right="200" w:hanging="161"/>
        <w:spacing w:after="0" w:line="242" w:lineRule="auto"/>
        <w:tabs>
          <w:tab w:leader="none" w:pos="235"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8"/>
          <w:szCs w:val="18"/>
          <w:color w:val="auto"/>
        </w:rPr>
        <w:t>Senior Vice President and General Manager, Global OEM and IoT Solutions (February 2015 – November 2017)</w:t>
      </w:r>
    </w:p>
    <w:p>
      <w:pPr>
        <w:spacing w:after="0" w:line="1" w:lineRule="exact"/>
        <w:rPr>
          <w:rFonts w:ascii="Times New Roman" w:cs="Times New Roman" w:eastAsia="Times New Roman" w:hAnsi="Times New Roman"/>
          <w:sz w:val="16"/>
          <w:szCs w:val="16"/>
          <w:color w:val="auto"/>
        </w:rPr>
      </w:pPr>
    </w:p>
    <w:p>
      <w:pPr>
        <w:ind w:left="240" w:hanging="161"/>
        <w:spacing w:after="0"/>
        <w:tabs>
          <w:tab w:leader="none" w:pos="2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8"/>
          <w:szCs w:val="18"/>
          <w:color w:val="auto"/>
        </w:rPr>
        <w:t>Vice President and General Manager, Global OEM Solutions (February 2012 – February 2015)</w:t>
      </w:r>
    </w:p>
    <w:p>
      <w:pPr>
        <w:spacing w:after="0" w:line="9" w:lineRule="exact"/>
        <w:rPr>
          <w:sz w:val="20"/>
          <w:szCs w:val="20"/>
          <w:color w:val="auto"/>
        </w:rPr>
      </w:pPr>
    </w:p>
    <w:p>
      <w:pPr>
        <w:ind w:left="80" w:right="540" w:hanging="3"/>
        <w:spacing w:after="0" w:line="250" w:lineRule="auto"/>
        <w:rPr>
          <w:sz w:val="20"/>
          <w:szCs w:val="20"/>
          <w:color w:val="auto"/>
        </w:rPr>
      </w:pPr>
      <w:r>
        <w:rPr>
          <w:rFonts w:ascii="Arial" w:cs="Arial" w:eastAsia="Arial" w:hAnsi="Arial"/>
          <w:sz w:val="18"/>
          <w:szCs w:val="18"/>
          <w:color w:val="auto"/>
        </w:rPr>
        <w:t>Ms. Mullen also spent 10 years in various leadership positions at Cummins Engine Company, including distribution, manufacturing and international business development.</w:t>
      </w:r>
    </w:p>
    <w:p>
      <w:pPr>
        <w:spacing w:after="0" w:line="7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163195</wp:posOffset>
            </wp:positionV>
            <wp:extent cx="55892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286" w:lineRule="exact"/>
        <w:rPr>
          <w:sz w:val="20"/>
          <w:szCs w:val="20"/>
          <w:color w:val="auto"/>
        </w:rPr>
      </w:pPr>
    </w:p>
    <w:p>
      <w:pPr>
        <w:ind w:left="80" w:right="180"/>
        <w:spacing w:after="0" w:line="244" w:lineRule="auto"/>
        <w:rPr>
          <w:sz w:val="20"/>
          <w:szCs w:val="20"/>
          <w:color w:val="auto"/>
        </w:rPr>
      </w:pPr>
      <w:r>
        <w:rPr>
          <w:rFonts w:ascii="Arial" w:cs="Arial" w:eastAsia="Arial" w:hAnsi="Arial"/>
          <w:sz w:val="18"/>
          <w:szCs w:val="18"/>
          <w:color w:val="auto"/>
        </w:rPr>
        <w:t>Ms. Mullen brings to our Board significant executive leadership skills, technology and smart-connected products expertise, strategic and innovative thinking and strong international business experience. She also contributes substantial knowledge of worldwide manufacturing, distribution channels, cybersecurity, digital product development and supply chain strategies, including improving efficiencies in manufacturing operations using Six Sigma, Kaizen and Lean techniques.</w:t>
      </w:r>
    </w:p>
    <w:p>
      <w:pPr>
        <w:spacing w:after="0" w:line="21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55892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43" w:lineRule="exact"/>
        <w:rPr>
          <w:sz w:val="20"/>
          <w:szCs w:val="20"/>
          <w:color w:val="auto"/>
        </w:rPr>
      </w:pPr>
    </w:p>
    <w:p>
      <w:pPr>
        <w:ind w:left="1880"/>
        <w:spacing w:after="0"/>
        <w:tabs>
          <w:tab w:leader="none" w:pos="6040"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14" w:lineRule="exact"/>
        <w:rPr>
          <w:sz w:val="20"/>
          <w:szCs w:val="20"/>
          <w:color w:val="auto"/>
        </w:rPr>
      </w:pPr>
    </w:p>
    <w:p>
      <w:pPr>
        <w:ind w:left="1260"/>
        <w:spacing w:after="0"/>
        <w:tabs>
          <w:tab w:leader="none" w:pos="6360" w:val="left"/>
        </w:tabs>
        <w:rPr>
          <w:sz w:val="20"/>
          <w:szCs w:val="20"/>
          <w:color w:val="auto"/>
        </w:rPr>
      </w:pPr>
      <w:r>
        <w:rPr>
          <w:rFonts w:ascii="Arial" w:cs="Arial" w:eastAsia="Arial" w:hAnsi="Arial"/>
          <w:sz w:val="18"/>
          <w:szCs w:val="18"/>
          <w:color w:val="auto"/>
        </w:rPr>
        <w:t>Insight Enterprises, Inc.</w:t>
      </w:r>
      <w:r>
        <w:rPr>
          <w:sz w:val="20"/>
          <w:szCs w:val="20"/>
          <w:color w:val="auto"/>
        </w:rPr>
        <w:tab/>
      </w:r>
      <w:r>
        <w:rPr>
          <w:rFonts w:ascii="Arial" w:cs="Arial" w:eastAsia="Arial" w:hAnsi="Arial"/>
          <w:sz w:val="18"/>
          <w:szCs w:val="18"/>
          <w:color w:val="auto"/>
        </w:rPr>
        <w:t>None</w:t>
      </w:r>
    </w:p>
    <w:p>
      <w:pPr>
        <w:spacing w:after="0" w:line="200" w:lineRule="exact"/>
        <w:rPr>
          <w:sz w:val="20"/>
          <w:szCs w:val="20"/>
          <w:color w:val="auto"/>
        </w:rPr>
      </w:pPr>
    </w:p>
    <w:p>
      <w:pPr>
        <w:spacing w:after="0" w:line="22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86360</wp:posOffset>
            </wp:positionV>
            <wp:extent cx="55892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165" w:lineRule="exact"/>
        <w:rPr>
          <w:sz w:val="20"/>
          <w:szCs w:val="20"/>
          <w:color w:val="auto"/>
        </w:rPr>
      </w:pPr>
    </w:p>
    <w:p>
      <w:pPr>
        <w:ind w:left="80" w:right="200"/>
        <w:spacing w:after="0" w:line="245" w:lineRule="auto"/>
        <w:rPr>
          <w:sz w:val="20"/>
          <w:szCs w:val="20"/>
          <w:color w:val="auto"/>
        </w:rPr>
      </w:pPr>
      <w:r>
        <w:rPr>
          <w:rFonts w:ascii="Arial" w:cs="Arial" w:eastAsia="Arial" w:hAnsi="Arial"/>
          <w:sz w:val="18"/>
          <w:szCs w:val="18"/>
          <w:color w:val="auto"/>
        </w:rPr>
        <w:t>Richard M. Olson is our Chairman of the Board, President and Chief Executive Officer. He holds or held the following positions, all at The Toro Company:</w:t>
      </w:r>
    </w:p>
    <w:p>
      <w:pPr>
        <w:ind w:left="240" w:hanging="161"/>
        <w:spacing w:after="0"/>
        <w:tabs>
          <w:tab w:leader="none" w:pos="24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8"/>
          <w:szCs w:val="18"/>
          <w:color w:val="auto"/>
        </w:rPr>
        <w:t>Chairman (since November 2017)</w:t>
      </w:r>
    </w:p>
    <w:p>
      <w:pPr>
        <w:spacing w:after="0" w:line="9" w:lineRule="exact"/>
        <w:rPr>
          <w:rFonts w:ascii="Times New Roman" w:cs="Times New Roman" w:eastAsia="Times New Roman" w:hAnsi="Times New Roman"/>
          <w:sz w:val="16"/>
          <w:szCs w:val="16"/>
          <w:color w:val="auto"/>
        </w:rPr>
      </w:pPr>
    </w:p>
    <w:p>
      <w:pPr>
        <w:ind w:left="240" w:hanging="161"/>
        <w:spacing w:after="0"/>
        <w:tabs>
          <w:tab w:leader="none" w:pos="24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8"/>
          <w:szCs w:val="18"/>
          <w:color w:val="auto"/>
        </w:rPr>
        <w:t>Chief Executive Officer (since November 2016)</w:t>
      </w:r>
    </w:p>
    <w:p>
      <w:pPr>
        <w:spacing w:after="0" w:line="9" w:lineRule="exact"/>
        <w:rPr>
          <w:rFonts w:ascii="Times New Roman" w:cs="Times New Roman" w:eastAsia="Times New Roman" w:hAnsi="Times New Roman"/>
          <w:sz w:val="16"/>
          <w:szCs w:val="16"/>
          <w:color w:val="auto"/>
        </w:rPr>
      </w:pPr>
    </w:p>
    <w:p>
      <w:pPr>
        <w:ind w:left="240" w:hanging="161"/>
        <w:spacing w:after="0"/>
        <w:tabs>
          <w:tab w:leader="none" w:pos="24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8"/>
          <w:szCs w:val="18"/>
          <w:color w:val="auto"/>
        </w:rPr>
        <w:t>President (since September 2015)</w:t>
      </w:r>
    </w:p>
    <w:p>
      <w:pPr>
        <w:spacing w:after="0" w:line="9" w:lineRule="exact"/>
        <w:rPr>
          <w:rFonts w:ascii="Times New Roman" w:cs="Times New Roman" w:eastAsia="Times New Roman" w:hAnsi="Times New Roman"/>
          <w:sz w:val="16"/>
          <w:szCs w:val="16"/>
          <w:color w:val="auto"/>
        </w:rPr>
      </w:pPr>
    </w:p>
    <w:p>
      <w:pPr>
        <w:ind w:left="240" w:hanging="161"/>
        <w:spacing w:after="0"/>
        <w:tabs>
          <w:tab w:leader="none" w:pos="24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8"/>
          <w:szCs w:val="18"/>
          <w:color w:val="auto"/>
        </w:rPr>
        <w:t>Chief Operating Officer (September 2015 – October 2016)</w:t>
      </w:r>
    </w:p>
    <w:p>
      <w:pPr>
        <w:spacing w:after="0" w:line="9" w:lineRule="exact"/>
        <w:rPr>
          <w:rFonts w:ascii="Times New Roman" w:cs="Times New Roman" w:eastAsia="Times New Roman" w:hAnsi="Times New Roman"/>
          <w:sz w:val="16"/>
          <w:szCs w:val="16"/>
          <w:color w:val="auto"/>
        </w:rPr>
      </w:pPr>
    </w:p>
    <w:p>
      <w:pPr>
        <w:ind w:left="240" w:right="80" w:hanging="161"/>
        <w:spacing w:after="0" w:line="242" w:lineRule="auto"/>
        <w:tabs>
          <w:tab w:leader="none" w:pos="235"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8"/>
          <w:szCs w:val="18"/>
          <w:color w:val="auto"/>
        </w:rPr>
        <w:t>Group Vice President, International Business, Micro Irrigation Business and Distributor Development (June 2014 – September 2015)</w:t>
      </w:r>
    </w:p>
    <w:p>
      <w:pPr>
        <w:spacing w:after="0" w:line="1" w:lineRule="exact"/>
        <w:rPr>
          <w:rFonts w:ascii="Times New Roman" w:cs="Times New Roman" w:eastAsia="Times New Roman" w:hAnsi="Times New Roman"/>
          <w:sz w:val="16"/>
          <w:szCs w:val="16"/>
          <w:color w:val="auto"/>
        </w:rPr>
      </w:pPr>
    </w:p>
    <w:p>
      <w:pPr>
        <w:ind w:left="240" w:hanging="161"/>
        <w:spacing w:after="0"/>
        <w:tabs>
          <w:tab w:leader="none" w:pos="24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8"/>
          <w:szCs w:val="18"/>
          <w:color w:val="auto"/>
        </w:rPr>
        <w:t>Vice President, International Business (March 2013 – June 2014)</w:t>
      </w:r>
    </w:p>
    <w:p>
      <w:pPr>
        <w:spacing w:after="0" w:line="9" w:lineRule="exact"/>
        <w:rPr>
          <w:rFonts w:ascii="Times New Roman" w:cs="Times New Roman" w:eastAsia="Times New Roman" w:hAnsi="Times New Roman"/>
          <w:sz w:val="16"/>
          <w:szCs w:val="16"/>
          <w:color w:val="auto"/>
        </w:rPr>
      </w:pPr>
    </w:p>
    <w:p>
      <w:pPr>
        <w:ind w:left="240" w:hanging="161"/>
        <w:spacing w:after="0"/>
        <w:tabs>
          <w:tab w:leader="none" w:pos="24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8"/>
          <w:szCs w:val="18"/>
          <w:color w:val="auto"/>
        </w:rPr>
        <w:t>Vice President, Exmark (March 2012 – March 2013)</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55892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43" w:lineRule="exact"/>
        <w:rPr>
          <w:sz w:val="20"/>
          <w:szCs w:val="20"/>
          <w:color w:val="auto"/>
        </w:rPr>
      </w:pPr>
    </w:p>
    <w:p>
      <w:pPr>
        <w:ind w:left="80" w:right="20"/>
        <w:spacing w:after="0" w:line="239" w:lineRule="auto"/>
        <w:rPr>
          <w:sz w:val="20"/>
          <w:szCs w:val="20"/>
          <w:color w:val="auto"/>
        </w:rPr>
      </w:pPr>
      <w:r>
        <w:rPr>
          <w:rFonts w:ascii="Arial" w:cs="Arial" w:eastAsia="Arial" w:hAnsi="Arial"/>
          <w:sz w:val="18"/>
          <w:szCs w:val="18"/>
          <w:color w:val="auto"/>
        </w:rPr>
        <w:t>In his more than 35 years with our Company, Mr. Olson has developed and brings to our Board rich knowledge of the Company, including, in particular, our global businesses and operations, manufacturing processes, supply chain, distribution and channel development, and product development strategies. In addition, the broad experience he has gained through his past leadership of our various businesses and manufacturing operations provides him with a unique perspective regarding our growth initiatives and strategic direction. He contributes a deep commitment to quality, technological advancements, innovation, sustainability, diversity, ethical values and business conduct, and focus on customer service. As a result of his dual role as Chairman and CEO, Mr. Olson provides unique insight into our Company’s future strategies, opportunities and challenges and serves as a unifying element between our Board and Management.</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Other Public Company Boards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680" w:type="dxa"/>
            <w:vAlign w:val="bottom"/>
            <w:tcBorders>
              <w:top w:val="single" w:sz="8" w:color="C00000"/>
            </w:tcBorders>
          </w:tcPr>
          <w:p>
            <w:pPr>
              <w:jc w:val="center"/>
              <w:ind w:right="190"/>
              <w:spacing w:after="0" w:line="191" w:lineRule="exact"/>
              <w:rPr>
                <w:sz w:val="20"/>
                <w:szCs w:val="20"/>
                <w:color w:val="auto"/>
              </w:rPr>
            </w:pPr>
            <w:r>
              <w:rPr>
                <w:rFonts w:ascii="Arial" w:cs="Arial" w:eastAsia="Arial" w:hAnsi="Arial"/>
                <w:sz w:val="18"/>
                <w:szCs w:val="18"/>
                <w:b w:val="1"/>
                <w:bCs w:val="1"/>
                <w:color w:val="auto"/>
                <w:w w:val="98"/>
              </w:rPr>
              <w:t>Current</w:t>
            </w:r>
          </w:p>
        </w:tc>
        <w:tc>
          <w:tcPr>
            <w:tcW w:w="4120" w:type="dxa"/>
            <w:vAlign w:val="bottom"/>
            <w:tcBorders>
              <w:top w:val="single" w:sz="8" w:color="C00000"/>
            </w:tcBorders>
          </w:tcPr>
          <w:p>
            <w:pPr>
              <w:jc w:val="center"/>
              <w:ind w:right="210"/>
              <w:spacing w:after="0" w:line="191" w:lineRule="exact"/>
              <w:rPr>
                <w:sz w:val="20"/>
                <w:szCs w:val="20"/>
                <w:color w:val="auto"/>
              </w:rPr>
            </w:pPr>
            <w:r>
              <w:rPr>
                <w:rFonts w:ascii="Arial" w:cs="Arial" w:eastAsia="Arial" w:hAnsi="Arial"/>
                <w:sz w:val="18"/>
                <w:szCs w:val="18"/>
                <w:b w:val="1"/>
                <w:bCs w:val="1"/>
                <w:color w:val="auto"/>
                <w:w w:val="98"/>
              </w:rPr>
              <w:t>Past 5 Years</w:t>
            </w:r>
          </w:p>
        </w:tc>
      </w:tr>
      <w:tr>
        <w:trPr>
          <w:trHeight w:val="239"/>
        </w:trPr>
        <w:tc>
          <w:tcPr>
            <w:tcW w:w="4680" w:type="dxa"/>
            <w:vAlign w:val="bottom"/>
          </w:tcPr>
          <w:p>
            <w:pPr>
              <w:jc w:val="center"/>
              <w:ind w:right="190"/>
              <w:spacing w:after="0"/>
              <w:rPr>
                <w:sz w:val="20"/>
                <w:szCs w:val="20"/>
                <w:color w:val="auto"/>
              </w:rPr>
            </w:pPr>
            <w:r>
              <w:rPr>
                <w:rFonts w:ascii="Arial" w:cs="Arial" w:eastAsia="Arial" w:hAnsi="Arial"/>
                <w:sz w:val="18"/>
                <w:szCs w:val="18"/>
                <w:color w:val="auto"/>
                <w:w w:val="98"/>
              </w:rPr>
              <w:t>Donaldson Company, Inc.</w:t>
            </w:r>
          </w:p>
        </w:tc>
        <w:tc>
          <w:tcPr>
            <w:tcW w:w="4120" w:type="dxa"/>
            <w:vAlign w:val="bottom"/>
          </w:tcPr>
          <w:p>
            <w:pPr>
              <w:jc w:val="center"/>
              <w:ind w:right="190"/>
              <w:spacing w:after="0"/>
              <w:rPr>
                <w:sz w:val="20"/>
                <w:szCs w:val="20"/>
                <w:color w:val="auto"/>
              </w:rPr>
            </w:pPr>
            <w:r>
              <w:rPr>
                <w:rFonts w:ascii="Arial" w:cs="Arial" w:eastAsia="Arial" w:hAnsi="Arial"/>
                <w:sz w:val="18"/>
                <w:szCs w:val="18"/>
                <w:color w:val="auto"/>
              </w:rPr>
              <w:t>None</w:t>
            </w:r>
          </w:p>
        </w:tc>
      </w:tr>
      <w:tr>
        <w:trPr>
          <w:trHeight w:val="851"/>
        </w:trPr>
        <w:tc>
          <w:tcPr>
            <w:tcW w:w="4680" w:type="dxa"/>
            <w:vAlign w:val="bottom"/>
          </w:tcPr>
          <w:p>
            <w:pPr>
              <w:jc w:val="right"/>
              <w:ind w:right="1310"/>
              <w:spacing w:after="0"/>
              <w:rPr>
                <w:sz w:val="20"/>
                <w:szCs w:val="20"/>
                <w:color w:val="auto"/>
              </w:rPr>
            </w:pPr>
            <w:r>
              <w:rPr>
                <w:rFonts w:ascii="Arial" w:cs="Arial" w:eastAsia="Arial" w:hAnsi="Arial"/>
                <w:sz w:val="18"/>
                <w:szCs w:val="18"/>
                <w:color w:val="auto"/>
              </w:rPr>
              <w:t>11</w:t>
            </w:r>
          </w:p>
        </w:tc>
        <w:tc>
          <w:tcPr>
            <w:tcW w:w="4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44450</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2">
            <w:col w:w="1740" w:space="700"/>
            <w:col w:w="880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028700" cy="12344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2870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James C. O’Rourke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474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Arial" w:cs="Arial" w:eastAsia="Arial" w:hAnsi="Arial"/>
          <w:sz w:val="18"/>
          <w:szCs w:val="18"/>
          <w:color w:val="auto"/>
        </w:rPr>
        <w:t>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474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Director since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1474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8"/>
          <w:szCs w:val="18"/>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1474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Committees</w:t>
      </w:r>
    </w:p>
    <w:p>
      <w:pPr>
        <w:spacing w:after="0" w:line="31" w:lineRule="exact"/>
        <w:rPr>
          <w:sz w:val="20"/>
          <w:szCs w:val="20"/>
          <w:color w:val="auto"/>
        </w:rPr>
      </w:pPr>
    </w:p>
    <w:p>
      <w:pPr>
        <w:ind w:left="260" w:hanging="171"/>
        <w:spacing w:after="0"/>
        <w:tabs>
          <w:tab w:leader="none" w:pos="255"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8"/>
          <w:szCs w:val="18"/>
          <w:color w:val="auto"/>
        </w:rPr>
        <w:t>Compensation &amp; Human Resources (Chair)</w:t>
      </w:r>
    </w:p>
    <w:p>
      <w:pPr>
        <w:ind w:left="260" w:right="420" w:hanging="171"/>
        <w:spacing w:after="0" w:line="296" w:lineRule="auto"/>
        <w:tabs>
          <w:tab w:leader="none" w:pos="255" w:val="left"/>
        </w:tabs>
        <w:numPr>
          <w:ilvl w:val="0"/>
          <w:numId w:val="30"/>
        </w:numPr>
        <w:rPr>
          <w:rFonts w:ascii="Times New Roman" w:cs="Times New Roman" w:eastAsia="Times New Roman" w:hAnsi="Times New Roman"/>
          <w:sz w:val="15"/>
          <w:szCs w:val="15"/>
          <w:color w:val="auto"/>
        </w:rPr>
      </w:pPr>
      <w:r>
        <w:rPr>
          <w:rFonts w:ascii="Arial" w:cs="Arial" w:eastAsia="Arial" w:hAnsi="Arial"/>
          <w:sz w:val="17"/>
          <w:szCs w:val="17"/>
          <w:color w:val="auto"/>
        </w:rPr>
        <w:t>Nominating &amp;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55892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43" w:lineRule="exact"/>
        <w:rPr>
          <w:sz w:val="20"/>
          <w:szCs w:val="20"/>
          <w:color w:val="auto"/>
        </w:rPr>
      </w:pPr>
    </w:p>
    <w:p>
      <w:pPr>
        <w:jc w:val="both"/>
        <w:ind w:left="80" w:right="160"/>
        <w:spacing w:after="0" w:line="241" w:lineRule="auto"/>
        <w:rPr>
          <w:sz w:val="20"/>
          <w:szCs w:val="20"/>
          <w:color w:val="auto"/>
        </w:rPr>
      </w:pPr>
      <w:r>
        <w:rPr>
          <w:rFonts w:ascii="Arial" w:cs="Arial" w:eastAsia="Arial" w:hAnsi="Arial"/>
          <w:sz w:val="18"/>
          <w:szCs w:val="18"/>
          <w:color w:val="auto"/>
        </w:rPr>
        <w:t>James C. O’Rourke is the President and Chief Executive Officer of The Mosaic Company, Tampa, Florida (a global producer and marketer of combined concentrated phosphate and potash crop nutrients for the global agriculture industry). He holds or held the following positions, all at The Mosaic Company:</w:t>
      </w:r>
    </w:p>
    <w:p>
      <w:pPr>
        <w:spacing w:after="0" w:line="2" w:lineRule="exact"/>
        <w:rPr>
          <w:sz w:val="20"/>
          <w:szCs w:val="20"/>
          <w:color w:val="auto"/>
        </w:rPr>
      </w:pPr>
    </w:p>
    <w:p>
      <w:pPr>
        <w:ind w:left="240" w:hanging="161"/>
        <w:spacing w:after="0"/>
        <w:tabs>
          <w:tab w:leader="none" w:pos="24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8"/>
          <w:szCs w:val="18"/>
          <w:color w:val="auto"/>
        </w:rPr>
        <w:t>President and Chief Executive Officer (since August 2015)</w:t>
      </w:r>
    </w:p>
    <w:p>
      <w:pPr>
        <w:spacing w:after="0" w:line="9" w:lineRule="exact"/>
        <w:rPr>
          <w:rFonts w:ascii="Times New Roman" w:cs="Times New Roman" w:eastAsia="Times New Roman" w:hAnsi="Times New Roman"/>
          <w:sz w:val="16"/>
          <w:szCs w:val="16"/>
          <w:color w:val="auto"/>
        </w:rPr>
      </w:pPr>
    </w:p>
    <w:p>
      <w:pPr>
        <w:ind w:left="240" w:hanging="161"/>
        <w:spacing w:after="0"/>
        <w:tabs>
          <w:tab w:leader="none" w:pos="24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8"/>
          <w:szCs w:val="18"/>
          <w:color w:val="auto"/>
        </w:rPr>
        <w:t>Executive Vice President—Operations and Chief Operating Officer (August 2012 – August 2015)</w:t>
      </w:r>
    </w:p>
    <w:p>
      <w:pPr>
        <w:spacing w:after="0" w:line="9" w:lineRule="exact"/>
        <w:rPr>
          <w:rFonts w:ascii="Times New Roman" w:cs="Times New Roman" w:eastAsia="Times New Roman" w:hAnsi="Times New Roman"/>
          <w:sz w:val="16"/>
          <w:szCs w:val="16"/>
          <w:color w:val="auto"/>
        </w:rPr>
      </w:pPr>
    </w:p>
    <w:p>
      <w:pPr>
        <w:ind w:left="240" w:hanging="161"/>
        <w:spacing w:after="0"/>
        <w:tabs>
          <w:tab w:leader="none" w:pos="24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8"/>
          <w:szCs w:val="18"/>
          <w:color w:val="auto"/>
        </w:rPr>
        <w:t>Executive Vice President—Operations (January 2009 – August 2012)</w:t>
      </w:r>
    </w:p>
    <w:p>
      <w:pPr>
        <w:spacing w:after="0" w:line="4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55892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192" w:lineRule="exact"/>
        <w:rPr>
          <w:sz w:val="20"/>
          <w:szCs w:val="20"/>
          <w:color w:val="auto"/>
        </w:rPr>
      </w:pPr>
    </w:p>
    <w:p>
      <w:pPr>
        <w:ind w:left="80" w:right="80"/>
        <w:spacing w:after="0" w:line="244" w:lineRule="auto"/>
        <w:rPr>
          <w:sz w:val="20"/>
          <w:szCs w:val="20"/>
          <w:color w:val="auto"/>
        </w:rPr>
      </w:pPr>
      <w:r>
        <w:rPr>
          <w:rFonts w:ascii="Arial" w:cs="Arial" w:eastAsia="Arial" w:hAnsi="Arial"/>
          <w:sz w:val="18"/>
          <w:szCs w:val="18"/>
          <w:color w:val="auto"/>
        </w:rPr>
        <w:t>Mr. O’Rourke brings to our Board significant leadership skills, strategic and innovative thinking and strong international business expertise. He also contributes substantial knowledge of worldwide manufacturing, distribution and supply chain strategies and environmental, health and safety matters. In addition, as a public company director and executive, Mr. O’Rourke contributes a solid understanding of executive compensation and corporate governance matters.</w:t>
      </w:r>
    </w:p>
    <w:p>
      <w:pPr>
        <w:spacing w:after="0" w:line="17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Other Public Company Boards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00" w:type="dxa"/>
            <w:vAlign w:val="bottom"/>
            <w:tcBorders>
              <w:top w:val="single" w:sz="8" w:color="C00000"/>
            </w:tcBorders>
          </w:tcPr>
          <w:p>
            <w:pPr>
              <w:ind w:left="1920"/>
              <w:spacing w:after="0"/>
              <w:rPr>
                <w:sz w:val="20"/>
                <w:szCs w:val="20"/>
                <w:color w:val="auto"/>
              </w:rPr>
            </w:pPr>
            <w:r>
              <w:rPr>
                <w:rFonts w:ascii="Arial" w:cs="Arial" w:eastAsia="Arial" w:hAnsi="Arial"/>
                <w:sz w:val="18"/>
                <w:szCs w:val="18"/>
                <w:b w:val="1"/>
                <w:bCs w:val="1"/>
                <w:color w:val="auto"/>
              </w:rPr>
              <w:t>Current</w:t>
            </w:r>
          </w:p>
        </w:tc>
        <w:tc>
          <w:tcPr>
            <w:tcW w:w="4200" w:type="dxa"/>
            <w:vAlign w:val="bottom"/>
            <w:tcBorders>
              <w:top w:val="single" w:sz="8" w:color="C00000"/>
            </w:tcBorders>
          </w:tcPr>
          <w:p>
            <w:pPr>
              <w:ind w:left="1500"/>
              <w:spacing w:after="0"/>
              <w:rPr>
                <w:sz w:val="20"/>
                <w:szCs w:val="20"/>
                <w:color w:val="auto"/>
              </w:rPr>
            </w:pPr>
            <w:r>
              <w:rPr>
                <w:rFonts w:ascii="Arial" w:cs="Arial" w:eastAsia="Arial" w:hAnsi="Arial"/>
                <w:sz w:val="18"/>
                <w:szCs w:val="18"/>
                <w:b w:val="1"/>
                <w:bCs w:val="1"/>
                <w:color w:val="auto"/>
              </w:rPr>
              <w:t>Past 5 Years</w:t>
            </w:r>
          </w:p>
        </w:tc>
      </w:tr>
      <w:tr>
        <w:trPr>
          <w:trHeight w:val="239"/>
        </w:trPr>
        <w:tc>
          <w:tcPr>
            <w:tcW w:w="4600" w:type="dxa"/>
            <w:vAlign w:val="bottom"/>
          </w:tcPr>
          <w:p>
            <w:pPr>
              <w:ind w:left="1320"/>
              <w:spacing w:after="0"/>
              <w:rPr>
                <w:sz w:val="20"/>
                <w:szCs w:val="20"/>
                <w:color w:val="auto"/>
              </w:rPr>
            </w:pPr>
            <w:r>
              <w:rPr>
                <w:rFonts w:ascii="Arial" w:cs="Arial" w:eastAsia="Arial" w:hAnsi="Arial"/>
                <w:sz w:val="18"/>
                <w:szCs w:val="18"/>
                <w:color w:val="auto"/>
              </w:rPr>
              <w:t>The Mosaic Company</w:t>
            </w:r>
          </w:p>
        </w:tc>
        <w:tc>
          <w:tcPr>
            <w:tcW w:w="4200" w:type="dxa"/>
            <w:vAlign w:val="bottom"/>
          </w:tcPr>
          <w:p>
            <w:pPr>
              <w:ind w:left="1780"/>
              <w:spacing w:after="0"/>
              <w:rPr>
                <w:sz w:val="20"/>
                <w:szCs w:val="20"/>
                <w:color w:val="auto"/>
              </w:rPr>
            </w:pPr>
            <w:r>
              <w:rPr>
                <w:rFonts w:ascii="Arial" w:cs="Arial" w:eastAsia="Arial" w:hAnsi="Arial"/>
                <w:sz w:val="18"/>
                <w:szCs w:val="18"/>
                <w:color w:val="auto"/>
              </w:rPr>
              <w:t>None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64770</wp:posOffset>
            </wp:positionV>
            <wp:extent cx="71748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2">
            <w:col w:w="1740" w:space="700"/>
            <w:col w:w="880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2057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FFFFFF"/>
        </w:rPr>
        <w:t>CORPORATE GOVERNANCE</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Corporate Governance Guidelines</w:t>
      </w:r>
    </w:p>
    <w:p>
      <w:pPr>
        <w:spacing w:after="0" w:line="99" w:lineRule="exact"/>
        <w:rPr>
          <w:sz w:val="20"/>
          <w:szCs w:val="20"/>
          <w:color w:val="auto"/>
        </w:rPr>
      </w:pPr>
    </w:p>
    <w:p>
      <w:pPr>
        <w:ind w:firstLine="401"/>
        <w:spacing w:after="0" w:line="244" w:lineRule="auto"/>
        <w:rPr>
          <w:sz w:val="20"/>
          <w:szCs w:val="20"/>
          <w:color w:val="auto"/>
        </w:rPr>
      </w:pPr>
      <w:r>
        <w:rPr>
          <w:rFonts w:ascii="Arial" w:cs="Arial" w:eastAsia="Arial" w:hAnsi="Arial"/>
          <w:sz w:val="18"/>
          <w:szCs w:val="18"/>
          <w:color w:val="auto"/>
        </w:rPr>
        <w:t>The Board has adopted Corporate Governance Guidelines, which describe our corporate governance practices and policies and provide a framework for our Board governance. The topics addressed in our Corporate Governance Guidelines include: director qualifications and responsibilities; Board committees; director board limits; director access to officers and employees; director compensation; director independence; related party transactions; director orientation and continuing education; CEO evaluation and management succession; and Board annual self-evaluation. Our Corporate Governance Guidelines provide, among other things, that:</w:t>
      </w:r>
    </w:p>
    <w:p>
      <w:pPr>
        <w:spacing w:after="0" w:line="176" w:lineRule="exact"/>
        <w:rPr>
          <w:sz w:val="20"/>
          <w:szCs w:val="20"/>
          <w:color w:val="auto"/>
        </w:rPr>
      </w:pPr>
    </w:p>
    <w:p>
      <w:pPr>
        <w:ind w:left="800" w:right="200" w:hanging="401"/>
        <w:spacing w:after="0" w:line="271" w:lineRule="auto"/>
        <w:tabs>
          <w:tab w:leader="none" w:pos="80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8"/>
          <w:szCs w:val="18"/>
          <w:color w:val="auto"/>
        </w:rPr>
        <w:t>The Board will have a majority of directors who meet the criteria for independence required by law, the SEC and the NYSE listing standards;</w:t>
      </w:r>
    </w:p>
    <w:p>
      <w:pPr>
        <w:spacing w:after="0" w:line="45" w:lineRule="exact"/>
        <w:rPr>
          <w:rFonts w:ascii="Times New Roman" w:cs="Times New Roman" w:eastAsia="Times New Roman" w:hAnsi="Times New Roman"/>
          <w:sz w:val="16"/>
          <w:szCs w:val="16"/>
          <w:color w:val="auto"/>
        </w:rPr>
      </w:pPr>
    </w:p>
    <w:p>
      <w:pPr>
        <w:ind w:left="800" w:right="60" w:hanging="401"/>
        <w:spacing w:after="0" w:line="253" w:lineRule="auto"/>
        <w:tabs>
          <w:tab w:leader="none" w:pos="80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8"/>
          <w:szCs w:val="18"/>
          <w:color w:val="auto"/>
        </w:rPr>
        <w:t>No director that is either a CEO or other executive officer of another public company shall sit on the board of directors of more than two publicly held companies and no other director shall sit on the board of more than four publicly held companies, each without the approval of the Nominating &amp; Governance Committee;</w:t>
      </w:r>
    </w:p>
    <w:p>
      <w:pPr>
        <w:spacing w:after="0" w:line="60" w:lineRule="exact"/>
        <w:rPr>
          <w:rFonts w:ascii="Times New Roman" w:cs="Times New Roman" w:eastAsia="Times New Roman" w:hAnsi="Times New Roman"/>
          <w:sz w:val="16"/>
          <w:szCs w:val="16"/>
          <w:color w:val="auto"/>
        </w:rPr>
      </w:pPr>
    </w:p>
    <w:p>
      <w:pPr>
        <w:ind w:left="800" w:right="100" w:hanging="401"/>
        <w:spacing w:after="0" w:line="301" w:lineRule="auto"/>
        <w:tabs>
          <w:tab w:leader="none" w:pos="800" w:val="left"/>
        </w:tabs>
        <w:numPr>
          <w:ilvl w:val="0"/>
          <w:numId w:val="32"/>
        </w:numPr>
        <w:rPr>
          <w:rFonts w:ascii="Times New Roman" w:cs="Times New Roman" w:eastAsia="Times New Roman" w:hAnsi="Times New Roman"/>
          <w:sz w:val="15"/>
          <w:szCs w:val="15"/>
          <w:color w:val="auto"/>
        </w:rPr>
      </w:pPr>
      <w:r>
        <w:rPr>
          <w:rFonts w:ascii="Arial" w:cs="Arial" w:eastAsia="Arial" w:hAnsi="Arial"/>
          <w:sz w:val="17"/>
          <w:szCs w:val="17"/>
          <w:color w:val="auto"/>
        </w:rPr>
        <w:t>No director who is an active, full-time employee of our Company shall serve as a director of more than one other publicly held company and there shall be no interlocking board memberships without the approval of the Nominating &amp; Governance Committee;</w:t>
      </w:r>
    </w:p>
    <w:p>
      <w:pPr>
        <w:spacing w:after="0" w:line="22" w:lineRule="exact"/>
        <w:rPr>
          <w:rFonts w:ascii="Times New Roman" w:cs="Times New Roman" w:eastAsia="Times New Roman" w:hAnsi="Times New Roman"/>
          <w:sz w:val="15"/>
          <w:szCs w:val="15"/>
          <w:color w:val="auto"/>
        </w:rPr>
      </w:pPr>
    </w:p>
    <w:p>
      <w:pPr>
        <w:ind w:left="800" w:right="100" w:hanging="401"/>
        <w:spacing w:after="0" w:line="271" w:lineRule="auto"/>
        <w:tabs>
          <w:tab w:leader="none" w:pos="80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8"/>
          <w:szCs w:val="18"/>
          <w:color w:val="auto"/>
        </w:rPr>
        <w:t>While the Board does not believe it should establish age limits, any director who has attained the age of 70 should volunteer not to stand for re-election;</w:t>
      </w:r>
    </w:p>
    <w:p>
      <w:pPr>
        <w:spacing w:after="0" w:line="45" w:lineRule="exact"/>
        <w:rPr>
          <w:rFonts w:ascii="Times New Roman" w:cs="Times New Roman" w:eastAsia="Times New Roman" w:hAnsi="Times New Roman"/>
          <w:sz w:val="16"/>
          <w:szCs w:val="16"/>
          <w:color w:val="auto"/>
        </w:rPr>
      </w:pPr>
    </w:p>
    <w:p>
      <w:pPr>
        <w:ind w:left="800" w:right="400" w:hanging="401"/>
        <w:spacing w:after="0" w:line="253" w:lineRule="auto"/>
        <w:tabs>
          <w:tab w:leader="none" w:pos="80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8"/>
          <w:szCs w:val="18"/>
          <w:color w:val="auto"/>
        </w:rPr>
        <w:t>The CEO will annually review with the Board top management succession plans, including development plans for succession candidates, and will periodically review with the Board an emergency leadership preparedness plan applicable in the event the CEO unexpectedly becomes incapacitated or otherwise is unable to serve; and</w:t>
      </w:r>
    </w:p>
    <w:p>
      <w:pPr>
        <w:spacing w:after="0" w:line="60" w:lineRule="exact"/>
        <w:rPr>
          <w:rFonts w:ascii="Times New Roman" w:cs="Times New Roman" w:eastAsia="Times New Roman" w:hAnsi="Times New Roman"/>
          <w:sz w:val="16"/>
          <w:szCs w:val="16"/>
          <w:color w:val="auto"/>
        </w:rPr>
      </w:pPr>
    </w:p>
    <w:p>
      <w:pPr>
        <w:ind w:left="800" w:hanging="401"/>
        <w:spacing w:after="0"/>
        <w:tabs>
          <w:tab w:leader="none" w:pos="80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8"/>
          <w:szCs w:val="18"/>
          <w:color w:val="auto"/>
        </w:rPr>
        <w:t>The Board will conduct an annual self-evaluation to determine whether it and its committees are functioning effectively.</w:t>
      </w:r>
    </w:p>
    <w:p>
      <w:pPr>
        <w:spacing w:after="0" w:line="104" w:lineRule="exact"/>
        <w:rPr>
          <w:sz w:val="20"/>
          <w:szCs w:val="20"/>
          <w:color w:val="auto"/>
        </w:rPr>
      </w:pPr>
    </w:p>
    <w:p>
      <w:pPr>
        <w:ind w:right="220" w:firstLine="401"/>
        <w:spacing w:after="0" w:line="253" w:lineRule="auto"/>
        <w:rPr>
          <w:sz w:val="20"/>
          <w:szCs w:val="20"/>
          <w:color w:val="auto"/>
        </w:rPr>
      </w:pPr>
      <w:r>
        <w:rPr>
          <w:rFonts w:ascii="Arial" w:cs="Arial" w:eastAsia="Arial" w:hAnsi="Arial"/>
          <w:sz w:val="18"/>
          <w:szCs w:val="18"/>
          <w:color w:val="auto"/>
        </w:rPr>
        <w:t>From time to time the Board, upon recommendation of the Nominating &amp; Governance Committee, reviews and updates our Corporate Governance Guidelines as it deems necessary and appropriate. Our Corporate Governance Guidelines can be found on our website at www.thetorocompany.com/corporategovernance.</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Board Leadership Structure</w:t>
      </w:r>
    </w:p>
    <w:p>
      <w:pPr>
        <w:spacing w:after="0" w:line="99" w:lineRule="exact"/>
        <w:rPr>
          <w:sz w:val="20"/>
          <w:szCs w:val="20"/>
          <w:color w:val="auto"/>
        </w:rPr>
      </w:pPr>
    </w:p>
    <w:p>
      <w:pPr>
        <w:ind w:right="140" w:firstLine="401"/>
        <w:spacing w:after="0" w:line="255" w:lineRule="auto"/>
        <w:rPr>
          <w:sz w:val="20"/>
          <w:szCs w:val="20"/>
          <w:color w:val="auto"/>
        </w:rPr>
      </w:pPr>
      <w:r>
        <w:rPr>
          <w:rFonts w:ascii="Arial" w:cs="Arial" w:eastAsia="Arial" w:hAnsi="Arial"/>
          <w:sz w:val="17"/>
          <w:szCs w:val="17"/>
          <w:color w:val="auto"/>
        </w:rPr>
        <w:t>Our Corporate Governance Guidelines provide that (i) our Board has no policy with respect to the separation of the offices of the Chairman and the CEO; (ii) our Board believes that this issue is part of the succession planning process and will be reviewed as the Nominating &amp; Governance Committee deems it appropriate; and (iii) (a) if the offices of Chairman and CEO are held by the same person, or</w:t>
      </w:r>
    </w:p>
    <w:p>
      <w:pPr>
        <w:spacing w:after="0" w:line="2" w:lineRule="exact"/>
        <w:rPr>
          <w:sz w:val="20"/>
          <w:szCs w:val="20"/>
          <w:color w:val="auto"/>
        </w:rPr>
      </w:pPr>
    </w:p>
    <w:p>
      <w:pPr>
        <w:ind w:right="40" w:firstLine="8"/>
        <w:spacing w:after="0" w:line="237" w:lineRule="auto"/>
        <w:tabs>
          <w:tab w:leader="none" w:pos="27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Chairman does not meet the criteria for “independence” as established by applicable law, the rules and regulations of the SEC or the NYSE listing standards, then the Board, upon recommendation of the Nominating &amp; Governance Committee, shall appoint a Lead Independent Director, who shall have such duties as are described in the Corporate Governance Guidelines or otherwise determined by the Board. The Board believes it is appropriate not to have a policy requiring the separation of the offices of the Chairman and the CEO so that the Board may make this determination based on what it believes is best under the current circumstances. However, the Board endorses the concept of an independent, non-employee director being in a position of leadership, and, thus, our Corporate Governance Guidelines require a Lead Independent Director when the Chairman is not independent.</w:t>
      </w:r>
    </w:p>
    <w:p>
      <w:pPr>
        <w:spacing w:after="0" w:line="77" w:lineRule="exact"/>
        <w:rPr>
          <w:sz w:val="20"/>
          <w:szCs w:val="20"/>
          <w:color w:val="auto"/>
        </w:rPr>
      </w:pPr>
    </w:p>
    <w:p>
      <w:pPr>
        <w:ind w:right="40" w:firstLine="401"/>
        <w:spacing w:after="0"/>
        <w:rPr>
          <w:sz w:val="20"/>
          <w:szCs w:val="20"/>
          <w:color w:val="auto"/>
        </w:rPr>
      </w:pPr>
      <w:r>
        <w:rPr>
          <w:rFonts w:ascii="Arial" w:cs="Arial" w:eastAsia="Arial" w:hAnsi="Arial"/>
          <w:sz w:val="18"/>
          <w:szCs w:val="18"/>
          <w:color w:val="auto"/>
        </w:rPr>
        <w:t>Our Board is currently chaired by Richard M. Olson, our Chairman and CEO. Our Lead Independent Director, selected by the Board, is Gary L. Ellis. Our Nominating &amp; Governance Committee and Board believe that our current Board leadership structure ensures a strong and independent Board of Directors, provides effective governance, creates appropriate oversight for the long-term benefit of our shareholders and is appropriate for several reasons, including: (i) Mr. Olson’s extensive knowledge of our Company, our business, operations and industry, obtained through his more than 36 years of service to our Company, which benefit Board leadership and the Board’s decision-making process through his active role as Chairman; (ii) unification of Board leadership and strategic direction as implemented by our Management; and (iii) appropriate balance of risks relating to concentration of authority through the oversight of our independent and engaged Lead Independent Director and Board.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103" w:lineRule="exact"/>
        <w:rPr>
          <w:sz w:val="20"/>
          <w:szCs w:val="20"/>
          <w:color w:val="auto"/>
        </w:rPr>
      </w:pPr>
    </w:p>
    <w:p>
      <w:pPr>
        <w:ind w:right="100" w:firstLine="401"/>
        <w:spacing w:after="0"/>
        <w:rPr>
          <w:sz w:val="20"/>
          <w:szCs w:val="20"/>
          <w:color w:val="auto"/>
        </w:rPr>
      </w:pPr>
      <w:r>
        <w:rPr>
          <w:rFonts w:ascii="Arial" w:cs="Arial" w:eastAsia="Arial" w:hAnsi="Arial"/>
          <w:sz w:val="18"/>
          <w:szCs w:val="18"/>
          <w:color w:val="auto"/>
        </w:rPr>
        <w:t>As our Lead Independent Director, Mr. Ellis (i) assists Mr. Olson in establishing the agendas for Board meetings and the schedule of agenda subjects to be discussed during the year, to the extent such subjects can be foreseen; (ii) presides at regularly scheduled executive sessions of the non-employee directors without Management present; (iii) together with the Chair of the Compensation &amp; Human Resources Committee, communicates to Mr. Olson the results of his annual performance review and compensation; and (iv) together with the Chair of the Nominating &amp; Governance Committee, leads the Board’s annual self-evaluation. With more than 16 years of continuous service on our Board, Mr. Ellis has developed considerable knowledge of our Company, our business and our industry. Mr. Ellis also has significant public company experience.</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Director Independence</w:t>
      </w:r>
    </w:p>
    <w:p>
      <w:pPr>
        <w:spacing w:after="0" w:line="99" w:lineRule="exact"/>
        <w:rPr>
          <w:sz w:val="20"/>
          <w:szCs w:val="20"/>
          <w:color w:val="auto"/>
        </w:rPr>
      </w:pPr>
    </w:p>
    <w:p>
      <w:pPr>
        <w:jc w:val="both"/>
        <w:ind w:right="100" w:firstLine="401"/>
        <w:spacing w:after="0" w:line="241" w:lineRule="auto"/>
        <w:rPr>
          <w:sz w:val="20"/>
          <w:szCs w:val="20"/>
          <w:color w:val="auto"/>
        </w:rPr>
      </w:pPr>
      <w:r>
        <w:rPr>
          <w:rFonts w:ascii="Arial" w:cs="Arial" w:eastAsia="Arial" w:hAnsi="Arial"/>
          <w:sz w:val="18"/>
          <w:szCs w:val="18"/>
          <w:color w:val="auto"/>
        </w:rPr>
        <w:t>The Board, following consideration of all relevant facts and circumstances and upon recommendation of the Nominating &amp; Governance Committee, has affirmatively determined that each director who served as a member of our Board during fiscal 2022 (Janet K. Cooper, Gary L. Ellis, Jeffrey M. Ettinger, Eric P. Hansotia, Katherine J. Harless, Jeffrey L. Harmening, D. Christian Koch, Joyce A. Mullen, Jill M.</w:t>
      </w:r>
    </w:p>
    <w:p>
      <w:pPr>
        <w:spacing w:after="0" w:line="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Pemberton, James C. O’Rourke and Michael G. Vale) other than Richard M. Olson, our Chairman and CEO, is independent. These determinations were made because each such person has no material relationship with our Company, our Management, our independent registered public accounting firm, or external auditor, our independent external compensation consultant or our external compensation legal advisers and otherwise meets the independence requirements as established by applicable law, the rules and regulations of the SEC and the NYSE listing standards. The Board based its independence determinations, in part, upon a review by the Nominating &amp; Governance Committee and the Board of certain transactions between us and the employers of certain of our directors, each of which was deemed to be pre-approved under our Corporate Governance Guidelines in that each such transaction was made in the ordinary course of business, at arm’s length, at prices and on terms customarily available to unrelated third party vendors or customers generally, in amounts that are not material to us or such unaffiliated corporation and in which the director had no direct or indirect personal interest, nor received any personal benefit.</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Director Attendance; Executive Sessions</w:t>
      </w:r>
    </w:p>
    <w:p>
      <w:pPr>
        <w:spacing w:after="0" w:line="99" w:lineRule="exact"/>
        <w:rPr>
          <w:sz w:val="20"/>
          <w:szCs w:val="20"/>
          <w:color w:val="auto"/>
        </w:rPr>
      </w:pPr>
    </w:p>
    <w:p>
      <w:pPr>
        <w:ind w:right="40" w:firstLine="401"/>
        <w:spacing w:after="0" w:line="244" w:lineRule="auto"/>
        <w:rPr>
          <w:sz w:val="20"/>
          <w:szCs w:val="20"/>
          <w:color w:val="auto"/>
        </w:rPr>
      </w:pPr>
      <w:r>
        <w:rPr>
          <w:rFonts w:ascii="Arial" w:cs="Arial" w:eastAsia="Arial" w:hAnsi="Arial"/>
          <w:sz w:val="18"/>
          <w:szCs w:val="18"/>
          <w:color w:val="auto"/>
        </w:rPr>
        <w:t>The Board held seven meetings during fiscal 2022. Each incumbent director attended at least 75% of the aggregate total number of meetings held by the Board and all committees on which he or she served. Our Corporate Governance Guidelines provide that the non-employee directors will meet in regularly scheduled executive sessions without Management. At each regular Board meeting held during fiscal 2022 our non-employee directors met in executive session without Management present and such meetings were presided over by our Lead Independent Director.</w:t>
      </w:r>
    </w:p>
    <w:p>
      <w:pPr>
        <w:spacing w:after="0" w:line="68" w:lineRule="exact"/>
        <w:rPr>
          <w:sz w:val="20"/>
          <w:szCs w:val="20"/>
          <w:color w:val="auto"/>
        </w:rPr>
      </w:pPr>
    </w:p>
    <w:p>
      <w:pPr>
        <w:ind w:right="480" w:firstLine="401"/>
        <w:spacing w:after="0" w:line="271" w:lineRule="auto"/>
        <w:rPr>
          <w:sz w:val="20"/>
          <w:szCs w:val="20"/>
          <w:color w:val="auto"/>
        </w:rPr>
      </w:pPr>
      <w:r>
        <w:rPr>
          <w:rFonts w:ascii="Arial" w:cs="Arial" w:eastAsia="Arial" w:hAnsi="Arial"/>
          <w:sz w:val="18"/>
          <w:szCs w:val="18"/>
          <w:color w:val="auto"/>
        </w:rPr>
        <w:t>We expect all of our directors to attend the annual meeting. All of our current directors serving at the time of the Annual Meeting of Shareholders held on March 15, 2022, attended that meeting.</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Board Committees</w:t>
      </w:r>
    </w:p>
    <w:p>
      <w:pPr>
        <w:spacing w:after="0" w:line="99" w:lineRule="exact"/>
        <w:rPr>
          <w:sz w:val="20"/>
          <w:szCs w:val="20"/>
          <w:color w:val="auto"/>
        </w:rPr>
      </w:pPr>
    </w:p>
    <w:p>
      <w:pPr>
        <w:ind w:right="60" w:firstLine="401"/>
        <w:spacing w:after="0" w:line="238" w:lineRule="auto"/>
        <w:rPr>
          <w:sz w:val="20"/>
          <w:szCs w:val="20"/>
          <w:color w:val="auto"/>
        </w:rPr>
      </w:pPr>
      <w:r>
        <w:rPr>
          <w:rFonts w:ascii="Arial" w:cs="Arial" w:eastAsia="Arial" w:hAnsi="Arial"/>
          <w:sz w:val="18"/>
          <w:szCs w:val="18"/>
          <w:color w:val="auto"/>
        </w:rPr>
        <w:t>The Board has four committees, the Audit Committee, Compensation &amp; Human Resources Committee, Nominating &amp; Governance Committee and Finance Committee. Each committee has a charter that is posted on our website at www.thetorocompany.com/corporategovernance. The charter of each committee describes the principal functions of the committee. As provided in their respective charters, each of the Compensation &amp; Human Resources Committee, Nominating &amp; Governance Committee and Finance Committee may form and delegate authority to subcommittees when appropriate. Additionally, the Compensation &amp; Human Resources Committee may delegate to one or more executive officers of the Company the authority to approve equity compensation awards under established equity compensation plans of the Company to employees other than the executive officers of the Company. On an annual basis the Audit Committee, Nominating &amp; Governance Committee and Compensation &amp; Human Resources Committee review the adequacy of their charter and their performance. The Finance Committee periodically reviews its charter and performance, with such review historically conducted on an annual basis. The Chair of each Board committee provides a summary of the matters discussed in their committee meeting to the full Board.</w:t>
      </w:r>
    </w:p>
    <w:p>
      <w:pPr>
        <w:spacing w:after="0" w:line="78" w:lineRule="exact"/>
        <w:rPr>
          <w:sz w:val="20"/>
          <w:szCs w:val="20"/>
          <w:color w:val="auto"/>
        </w:rPr>
      </w:pPr>
    </w:p>
    <w:p>
      <w:pPr>
        <w:ind w:right="460" w:firstLine="401"/>
        <w:spacing w:after="0" w:line="253" w:lineRule="auto"/>
        <w:rPr>
          <w:sz w:val="20"/>
          <w:szCs w:val="20"/>
          <w:color w:val="auto"/>
        </w:rPr>
      </w:pPr>
      <w:r>
        <w:rPr>
          <w:rFonts w:ascii="Arial" w:cs="Arial" w:eastAsia="Arial" w:hAnsi="Arial"/>
          <w:sz w:val="18"/>
          <w:szCs w:val="18"/>
          <w:color w:val="auto"/>
        </w:rPr>
        <w:t>The Board has determined that each of the members of the Audit Committee, Compensation &amp; Human Resources Committee and Nominating &amp; Governance Committee meets the independence and other requirements established by applicable law, the rules and regulations of the SEC and the NYSE listing standards and the Internal Revenue Code of 1986, as amended, or Code, as applicable.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103" w:lineRule="exact"/>
        <w:rPr>
          <w:sz w:val="20"/>
          <w:szCs w:val="20"/>
          <w:color w:val="auto"/>
        </w:rPr>
      </w:pPr>
    </w:p>
    <w:p>
      <w:pPr>
        <w:ind w:firstLine="401"/>
        <w:spacing w:after="0" w:line="247" w:lineRule="auto"/>
        <w:rPr>
          <w:sz w:val="20"/>
          <w:szCs w:val="20"/>
          <w:color w:val="auto"/>
        </w:rPr>
      </w:pPr>
      <w:r>
        <w:rPr>
          <w:rFonts w:ascii="Arial" w:cs="Arial" w:eastAsia="Arial" w:hAnsi="Arial"/>
          <w:sz w:val="18"/>
          <w:szCs w:val="18"/>
          <w:color w:val="auto"/>
        </w:rPr>
        <w:t>The current membership of each committee, the number of times each committee met, including by executive session, during fiscal 2022 and key functions of each committee are noted in the following table. Mr. Olson is not a member of any Board committee. In fiscal 2022 Mr. Olson attended, and currently may attend, various committee meetings, or portions of such meetings as appropriate, as a member of Management at the invitation of such Board committees.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FFFFFF"/>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-1019175</wp:posOffset>
            </wp:positionV>
            <wp:extent cx="1174115" cy="2074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74115" cy="207454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b w:val="1"/>
          <w:bCs w:val="1"/>
          <w:color w:val="FFFFFF"/>
        </w:rPr>
        <w:t>Committee</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Key Committee Functions</w:t>
      </w:r>
    </w:p>
    <w:p>
      <w:pPr>
        <w:spacing w:after="0" w:line="39" w:lineRule="exact"/>
        <w:rPr>
          <w:sz w:val="20"/>
          <w:szCs w:val="20"/>
          <w:color w:val="auto"/>
        </w:rPr>
      </w:pPr>
    </w:p>
    <w:p>
      <w:pPr>
        <w:ind w:left="140" w:hanging="130"/>
        <w:spacing w:after="0" w:line="244" w:lineRule="auto"/>
        <w:tabs>
          <w:tab w:leader="none" w:pos="117"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Oversees the accounting and financial reporting processes, audits of consolidated financial statements and internal controls over financial reporting</w:t>
      </w:r>
    </w:p>
    <w:p>
      <w:pPr>
        <w:ind w:left="140" w:right="420" w:hanging="130"/>
        <w:spacing w:after="0" w:line="246" w:lineRule="auto"/>
        <w:tabs>
          <w:tab w:leader="none" w:pos="117"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Selects, compensates, evaluates and reviews critical audit matters with independent external auditor</w:t>
      </w:r>
    </w:p>
    <w:p>
      <w:pPr>
        <w:ind w:left="140" w:right="240" w:hanging="130"/>
        <w:spacing w:after="0" w:line="246" w:lineRule="auto"/>
        <w:tabs>
          <w:tab w:leader="none" w:pos="117"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Reviews with Management and external auditor Annual Reports on Form 10-K, Quarterly Reports on Form 10-Q and earnings releases</w:t>
      </w:r>
    </w:p>
    <w:p>
      <w:pPr>
        <w:ind w:left="140" w:hanging="130"/>
        <w:spacing w:after="0" w:line="246" w:lineRule="auto"/>
        <w:tabs>
          <w:tab w:leader="none" w:pos="117"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Reviews internal audit’s annual audit plans, performance, audit recommendations and applicable responses from Management</w:t>
      </w:r>
    </w:p>
    <w:p>
      <w:pPr>
        <w:ind w:left="140" w:right="160" w:hanging="130"/>
        <w:spacing w:after="0" w:line="267" w:lineRule="auto"/>
        <w:tabs>
          <w:tab w:leader="none" w:pos="117"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Reviews Information Technology strategy and security activities</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ind w:left="133" w:right="20" w:hanging="133"/>
        <w:spacing w:after="0" w:line="242" w:lineRule="auto"/>
        <w:tabs>
          <w:tab w:leader="none" w:pos="11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Reviews general policies and procedures with respect to accounting and financial matters, internal controls and disclosure controls and procedures, and sustainability metrics and disclosures</w:t>
      </w:r>
    </w:p>
    <w:p>
      <w:pPr>
        <w:spacing w:after="0" w:line="3" w:lineRule="exact"/>
        <w:rPr>
          <w:rFonts w:ascii="Times New Roman" w:cs="Times New Roman" w:eastAsia="Times New Roman" w:hAnsi="Times New Roman"/>
          <w:sz w:val="16"/>
          <w:szCs w:val="16"/>
          <w:color w:val="auto"/>
        </w:rPr>
      </w:pPr>
    </w:p>
    <w:p>
      <w:pPr>
        <w:ind w:left="133" w:hanging="133"/>
        <w:spacing w:after="0" w:line="241" w:lineRule="auto"/>
        <w:tabs>
          <w:tab w:leader="none" w:pos="11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Reviews Code of Conduct and Code of Ethics for CEO and Senior Financial Personnel, and policies and procedures for the receipt, retention and treatment of complaints from employees on accounting, internal accounting controls or auditing matters</w:t>
      </w:r>
    </w:p>
    <w:p>
      <w:pPr>
        <w:spacing w:after="0" w:line="2" w:lineRule="exact"/>
        <w:rPr>
          <w:rFonts w:ascii="Times New Roman" w:cs="Times New Roman" w:eastAsia="Times New Roman" w:hAnsi="Times New Roman"/>
          <w:sz w:val="16"/>
          <w:szCs w:val="16"/>
          <w:color w:val="auto"/>
        </w:rPr>
      </w:pPr>
    </w:p>
    <w:p>
      <w:pPr>
        <w:ind w:left="133" w:right="120" w:hanging="133"/>
        <w:spacing w:after="0" w:line="267" w:lineRule="auto"/>
        <w:tabs>
          <w:tab w:leader="none" w:pos="11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Provides oversight for the Enterprise Risk Management, or ERM,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-2202815</wp:posOffset>
            </wp:positionH>
            <wp:positionV relativeFrom="paragraph">
              <wp:posOffset>262890</wp:posOffset>
            </wp:positionV>
            <wp:extent cx="59575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575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auto"/>
        <w:rPr>
          <w:sz w:val="20"/>
          <w:szCs w:val="20"/>
          <w:color w:val="auto"/>
        </w:rPr>
      </w:pPr>
      <w:r>
        <w:rPr>
          <w:rFonts w:ascii="Arial" w:cs="Arial" w:eastAsia="Arial" w:hAnsi="Arial"/>
          <w:sz w:val="16"/>
          <w:szCs w:val="16"/>
          <w:b w:val="1"/>
          <w:bCs w:val="1"/>
          <w:color w:val="C00000"/>
        </w:rPr>
        <w:t>Committee Members</w:t>
      </w:r>
      <w:r>
        <w:rPr>
          <w:rFonts w:ascii="Arial" w:cs="Arial" w:eastAsia="Arial" w:hAnsi="Arial"/>
          <w:sz w:val="27"/>
          <w:szCs w:val="27"/>
          <w:b w:val="1"/>
          <w:bCs w:val="1"/>
          <w:color w:val="C00000"/>
          <w:vertAlign w:val="superscript"/>
        </w:rPr>
        <w:t>(1)</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Ms. Cooper (Chair)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Mr. Ellis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Ms. Harless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Mr. Harmening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Ms. Pemberton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Dr. Vale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During Fiscal 2022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Number of Meetings: 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Number of Executive Sessions:</w:t>
      </w:r>
    </w:p>
    <w:p>
      <w:pPr>
        <w:spacing w:after="0" w:line="21" w:lineRule="exact"/>
        <w:rPr>
          <w:sz w:val="20"/>
          <w:szCs w:val="20"/>
          <w:color w:val="auto"/>
        </w:rPr>
      </w:pPr>
    </w:p>
    <w:p>
      <w:pPr>
        <w:ind w:right="660"/>
        <w:spacing w:after="0" w:line="252" w:lineRule="auto"/>
        <w:rPr>
          <w:sz w:val="20"/>
          <w:szCs w:val="20"/>
          <w:color w:val="auto"/>
        </w:rPr>
      </w:pPr>
      <w:r>
        <w:rPr>
          <w:rFonts w:ascii="Arial" w:cs="Arial" w:eastAsia="Arial" w:hAnsi="Arial"/>
          <w:sz w:val="16"/>
          <w:szCs w:val="16"/>
          <w:color w:val="auto"/>
        </w:rPr>
        <w:t>with Committee – 6 with Management – 3 with internal auditor – 4 with external auditor – 4</w:t>
      </w:r>
    </w:p>
    <w:p>
      <w:pPr>
        <w:spacing w:after="0" w:line="277" w:lineRule="exact"/>
        <w:rPr>
          <w:sz w:val="20"/>
          <w:szCs w:val="20"/>
          <w:color w:val="auto"/>
        </w:rPr>
      </w:pPr>
    </w:p>
    <w:p>
      <w:pPr>
        <w:sectPr>
          <w:pgSz w:w="11900" w:h="16838" w:orient="portrait"/>
          <w:cols w:equalWidth="0" w:num="4">
            <w:col w:w="1400" w:space="500"/>
            <w:col w:w="3220" w:space="207"/>
            <w:col w:w="3213" w:space="260"/>
            <w:col w:w="2380"/>
          </w:cols>
          <w:pgMar w:left="320" w:top="121" w:right="399" w:bottom="1440" w:gutter="0" w:footer="0" w:header="0"/>
          <w:type w:val="continuous"/>
        </w:sectPr>
      </w:pPr>
    </w:p>
    <w:p>
      <w:pPr>
        <w:ind w:left="340" w:right="120" w:hanging="323"/>
        <w:spacing w:after="0" w:line="259" w:lineRule="auto"/>
        <w:rPr>
          <w:sz w:val="20"/>
          <w:szCs w:val="20"/>
          <w:color w:val="auto"/>
        </w:rPr>
      </w:pPr>
      <w:r>
        <w:rPr>
          <w:rFonts w:ascii="Arial" w:cs="Arial" w:eastAsia="Arial" w:hAnsi="Arial"/>
          <w:sz w:val="14"/>
          <w:szCs w:val="14"/>
          <w:color w:val="auto"/>
        </w:rPr>
        <w:t>(1)</w:t>
      </w:r>
      <w:r>
        <w:rPr>
          <w:rFonts w:ascii="Arial" w:cs="Arial" w:eastAsia="Arial" w:hAnsi="Arial"/>
          <w:sz w:val="16"/>
          <w:szCs w:val="16"/>
          <w:color w:val="auto"/>
        </w:rPr>
        <w:t>The Board has determined that all members of the Audit Committee are financially literate and that each of Janet K. Cooper, Gary L. Ellis and Jill M.</w:t>
      </w:r>
      <w:r>
        <w:rPr>
          <w:rFonts w:ascii="Arial" w:cs="Arial" w:eastAsia="Arial" w:hAnsi="Arial"/>
          <w:sz w:val="14"/>
          <w:szCs w:val="14"/>
          <w:color w:val="auto"/>
        </w:rPr>
        <w:t xml:space="preserve"> </w:t>
      </w:r>
      <w:r>
        <w:rPr>
          <w:rFonts w:ascii="Arial" w:cs="Arial" w:eastAsia="Arial" w:hAnsi="Arial"/>
          <w:sz w:val="16"/>
          <w:szCs w:val="16"/>
          <w:color w:val="auto"/>
        </w:rPr>
        <w:t>Pemberton meets the definition of “audit committee financial expert.” Other members of the Audit Committee who currently are serving or have served as chief executive officers or chief financial officers of other public companies also may be considered financial experts, but the Board has not so designated them.</w:t>
      </w:r>
    </w:p>
    <w:p>
      <w:pPr>
        <w:sectPr>
          <w:pgSz w:w="11900" w:h="16838" w:orient="portrait"/>
          <w:cols w:equalWidth="0" w:num="1">
            <w:col w:w="11180"/>
          </w:cols>
          <w:pgMar w:left="320" w:top="121"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FFFFFF"/>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-667385</wp:posOffset>
            </wp:positionV>
            <wp:extent cx="1174115" cy="14998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74115" cy="1499870"/>
                    </a:xfrm>
                    <a:prstGeom prst="rect">
                      <a:avLst/>
                    </a:prstGeom>
                    <a:noFill/>
                  </pic:spPr>
                </pic:pic>
              </a:graphicData>
            </a:graphic>
          </wp:anchor>
        </w:drawing>
      </w:r>
    </w:p>
    <w:p>
      <w:pPr>
        <w:ind w:left="460" w:hanging="407"/>
        <w:spacing w:after="0" w:line="260" w:lineRule="auto"/>
        <w:tabs>
          <w:tab w:leader="none" w:pos="225" w:val="left"/>
        </w:tabs>
        <w:numPr>
          <w:ilvl w:val="0"/>
          <w:numId w:val="36"/>
        </w:numPr>
        <w:rPr>
          <w:rFonts w:ascii="Arial" w:cs="Arial" w:eastAsia="Arial" w:hAnsi="Arial"/>
          <w:sz w:val="18"/>
          <w:szCs w:val="18"/>
          <w:b w:val="1"/>
          <w:bCs w:val="1"/>
          <w:color w:val="FFFFFF"/>
        </w:rPr>
      </w:pPr>
      <w:r>
        <w:rPr>
          <w:rFonts w:ascii="Arial" w:cs="Arial" w:eastAsia="Arial" w:hAnsi="Arial"/>
          <w:sz w:val="18"/>
          <w:szCs w:val="18"/>
          <w:b w:val="1"/>
          <w:bCs w:val="1"/>
          <w:color w:val="FFFFFF"/>
        </w:rPr>
        <w:t>Human Resources Committee</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Key Committee Functions</w:t>
      </w:r>
    </w:p>
    <w:p>
      <w:pPr>
        <w:spacing w:after="0" w:line="39" w:lineRule="exact"/>
        <w:rPr>
          <w:sz w:val="20"/>
          <w:szCs w:val="20"/>
          <w:color w:val="auto"/>
        </w:rPr>
      </w:pPr>
    </w:p>
    <w:p>
      <w:pPr>
        <w:ind w:left="140" w:hanging="130"/>
        <w:spacing w:after="0" w:line="243" w:lineRule="auto"/>
        <w:tabs>
          <w:tab w:leader="none" w:pos="117"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Approves the annual base salaries, annual and long-term incentive opportunities and other compensation arrangements for the CEO and other executive officers</w:t>
      </w:r>
    </w:p>
    <w:p>
      <w:pPr>
        <w:spacing w:after="0" w:line="2" w:lineRule="exact"/>
        <w:rPr>
          <w:rFonts w:ascii="Times New Roman" w:cs="Times New Roman" w:eastAsia="Times New Roman" w:hAnsi="Times New Roman"/>
          <w:sz w:val="16"/>
          <w:szCs w:val="16"/>
          <w:color w:val="auto"/>
        </w:rPr>
      </w:pPr>
    </w:p>
    <w:p>
      <w:pPr>
        <w:ind w:left="140" w:right="40" w:hanging="130"/>
        <w:spacing w:after="0" w:line="241" w:lineRule="auto"/>
        <w:tabs>
          <w:tab w:leader="none" w:pos="117"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Reviews compensation policies and practices as they affect all employees and relate to risk management practices and risk-taking incentives</w:t>
      </w:r>
    </w:p>
    <w:p>
      <w:pPr>
        <w:spacing w:after="0" w:line="2" w:lineRule="exact"/>
        <w:rPr>
          <w:rFonts w:ascii="Times New Roman" w:cs="Times New Roman" w:eastAsia="Times New Roman" w:hAnsi="Times New Roman"/>
          <w:sz w:val="16"/>
          <w:szCs w:val="16"/>
          <w:color w:val="auto"/>
        </w:rPr>
      </w:pPr>
    </w:p>
    <w:p>
      <w:pPr>
        <w:ind w:left="140" w:right="220" w:hanging="130"/>
        <w:spacing w:after="0" w:line="249" w:lineRule="auto"/>
        <w:tabs>
          <w:tab w:leader="none" w:pos="112"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Oversees human capital management activities, including diversity, equity and inclusion initiatives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left="113" w:hanging="113"/>
        <w:spacing w:after="0"/>
        <w:tabs>
          <w:tab w:leader="none" w:pos="113"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Evaluates the CEO’s performance</w:t>
      </w:r>
    </w:p>
    <w:p>
      <w:pPr>
        <w:spacing w:after="0" w:line="29" w:lineRule="exact"/>
        <w:rPr>
          <w:rFonts w:ascii="Times New Roman" w:cs="Times New Roman" w:eastAsia="Times New Roman" w:hAnsi="Times New Roman"/>
          <w:sz w:val="16"/>
          <w:szCs w:val="16"/>
          <w:color w:val="auto"/>
        </w:rPr>
      </w:pPr>
    </w:p>
    <w:p>
      <w:pPr>
        <w:ind w:left="133" w:right="860" w:hanging="133"/>
        <w:spacing w:after="0" w:line="254" w:lineRule="auto"/>
        <w:tabs>
          <w:tab w:leader="none" w:pos="11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Approves performance goals for performance based awards</w:t>
      </w:r>
    </w:p>
    <w:p>
      <w:pPr>
        <w:spacing w:after="0" w:line="1" w:lineRule="exact"/>
        <w:rPr>
          <w:rFonts w:ascii="Times New Roman" w:cs="Times New Roman" w:eastAsia="Times New Roman" w:hAnsi="Times New Roman"/>
          <w:sz w:val="16"/>
          <w:szCs w:val="16"/>
          <w:color w:val="auto"/>
        </w:rPr>
      </w:pPr>
    </w:p>
    <w:p>
      <w:pPr>
        <w:ind w:left="133" w:hanging="133"/>
        <w:spacing w:after="0"/>
        <w:tabs>
          <w:tab w:leader="none" w:pos="11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Reviews with Management the Compensation Discussion and Analysis, the Committee report on executive compensation and any compensation-related proposals, including say-on-pay and frequency of say-on-pay proposals</w:t>
      </w:r>
    </w:p>
    <w:p>
      <w:pPr>
        <w:spacing w:after="0" w:line="3" w:lineRule="exact"/>
        <w:rPr>
          <w:rFonts w:ascii="Times New Roman" w:cs="Times New Roman" w:eastAsia="Times New Roman" w:hAnsi="Times New Roman"/>
          <w:sz w:val="16"/>
          <w:szCs w:val="16"/>
          <w:color w:val="auto"/>
        </w:rPr>
      </w:pPr>
    </w:p>
    <w:p>
      <w:pPr>
        <w:ind w:left="133" w:right="220" w:hanging="133"/>
        <w:spacing w:after="0" w:line="267" w:lineRule="auto"/>
        <w:tabs>
          <w:tab w:leader="none" w:pos="11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Reviews non-employee director compensation components and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-2202815</wp:posOffset>
            </wp:positionH>
            <wp:positionV relativeFrom="paragraph">
              <wp:posOffset>-2540</wp:posOffset>
            </wp:positionV>
            <wp:extent cx="59575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575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Committee Members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Mr. O’Rourke (Chair)</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Mr. Ettinger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Mr. Hansotia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Mr. Koch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Ms. Mullen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During Fiscal 2022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Number of Meetings: 3</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Number of Executive Sessions: 3</w:t>
      </w:r>
    </w:p>
    <w:p>
      <w:pPr>
        <w:spacing w:after="0" w:line="490" w:lineRule="exact"/>
        <w:rPr>
          <w:sz w:val="20"/>
          <w:szCs w:val="20"/>
          <w:color w:val="auto"/>
        </w:rPr>
      </w:pPr>
    </w:p>
    <w:p>
      <w:pPr>
        <w:sectPr>
          <w:pgSz w:w="11900" w:h="16838" w:orient="portrait"/>
          <w:cols w:equalWidth="0" w:num="4">
            <w:col w:w="1820" w:space="80"/>
            <w:col w:w="3180" w:space="247"/>
            <w:col w:w="3273" w:space="200"/>
            <w:col w:w="2380"/>
          </w:cols>
          <w:pgMar w:left="320" w:top="121"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FFFFFF"/>
        </w:rPr>
        <w:t>Nominating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-573405</wp:posOffset>
            </wp:positionV>
            <wp:extent cx="1174115" cy="13201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74115" cy="1320165"/>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b w:val="1"/>
          <w:bCs w:val="1"/>
          <w:color w:val="FFFFFF"/>
        </w:rPr>
        <w:t>Governance</w:t>
      </w:r>
    </w:p>
    <w:p>
      <w:pPr>
        <w:ind w:left="460"/>
        <w:spacing w:after="0"/>
        <w:rPr>
          <w:sz w:val="20"/>
          <w:szCs w:val="20"/>
          <w:color w:val="auto"/>
        </w:rPr>
      </w:pPr>
      <w:r>
        <w:rPr>
          <w:rFonts w:ascii="Arial" w:cs="Arial" w:eastAsia="Arial" w:hAnsi="Arial"/>
          <w:sz w:val="18"/>
          <w:szCs w:val="18"/>
          <w:b w:val="1"/>
          <w:bCs w:val="1"/>
          <w:color w:val="FFFFFF"/>
        </w:rPr>
        <w:t>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C00000"/>
        </w:rPr>
        <w:t>Key Committee Functions</w:t>
      </w:r>
    </w:p>
    <w:p>
      <w:pPr>
        <w:spacing w:after="0" w:line="39" w:lineRule="exact"/>
        <w:rPr>
          <w:sz w:val="20"/>
          <w:szCs w:val="20"/>
          <w:color w:val="auto"/>
        </w:rPr>
      </w:pPr>
    </w:p>
    <w:p>
      <w:pPr>
        <w:ind w:left="140" w:right="100" w:hanging="130"/>
        <w:spacing w:after="0" w:line="243" w:lineRule="auto"/>
        <w:tabs>
          <w:tab w:leader="none" w:pos="117"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Reviews and recommends to the Board the size and composition of the Board and its committees</w:t>
      </w:r>
    </w:p>
    <w:p>
      <w:pPr>
        <w:ind w:left="140" w:right="300" w:hanging="130"/>
        <w:spacing w:after="0" w:line="254" w:lineRule="auto"/>
        <w:tabs>
          <w:tab w:leader="none" w:pos="117"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Identifies individuals qualified to become Board members</w:t>
      </w:r>
    </w:p>
    <w:p>
      <w:pPr>
        <w:spacing w:after="0" w:line="1" w:lineRule="exact"/>
        <w:rPr>
          <w:rFonts w:ascii="Times New Roman" w:cs="Times New Roman" w:eastAsia="Times New Roman" w:hAnsi="Times New Roman"/>
          <w:sz w:val="16"/>
          <w:szCs w:val="16"/>
          <w:color w:val="auto"/>
        </w:rPr>
      </w:pPr>
    </w:p>
    <w:p>
      <w:pPr>
        <w:ind w:left="140" w:right="40" w:hanging="130"/>
        <w:spacing w:after="0" w:line="254" w:lineRule="auto"/>
        <w:tabs>
          <w:tab w:leader="none" w:pos="117"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Recommends to the Board director nominees for election at the annual meeting</w:t>
      </w:r>
    </w:p>
    <w:p>
      <w:pPr>
        <w:spacing w:after="0" w:line="1" w:lineRule="exact"/>
        <w:rPr>
          <w:rFonts w:ascii="Times New Roman" w:cs="Times New Roman" w:eastAsia="Times New Roman" w:hAnsi="Times New Roman"/>
          <w:sz w:val="16"/>
          <w:szCs w:val="16"/>
          <w:color w:val="auto"/>
        </w:rPr>
      </w:pPr>
    </w:p>
    <w:p>
      <w:pPr>
        <w:ind w:left="120" w:hanging="110"/>
        <w:spacing w:after="0"/>
        <w:tabs>
          <w:tab w:leader="none" w:pos="12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Oversees the annual evaluation of the Board</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133" w:right="20" w:hanging="133"/>
        <w:spacing w:after="0" w:line="245" w:lineRule="auto"/>
        <w:tabs>
          <w:tab w:leader="none" w:pos="11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Reviews and recommends to the Board any proposed amendments or changes to Restated Certificate of Incorporation or Amended and Restated Bylaws</w:t>
      </w:r>
    </w:p>
    <w:p>
      <w:pPr>
        <w:spacing w:after="0" w:line="2" w:lineRule="exact"/>
        <w:rPr>
          <w:rFonts w:ascii="Times New Roman" w:cs="Times New Roman" w:eastAsia="Times New Roman" w:hAnsi="Times New Roman"/>
          <w:sz w:val="16"/>
          <w:szCs w:val="16"/>
          <w:color w:val="auto"/>
        </w:rPr>
      </w:pPr>
    </w:p>
    <w:p>
      <w:pPr>
        <w:jc w:val="both"/>
        <w:ind w:left="133" w:hanging="133"/>
        <w:spacing w:after="0" w:line="248" w:lineRule="auto"/>
        <w:tabs>
          <w:tab w:leader="none" w:pos="11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Reviews Corporate Governance Guidelines and recommends to the Board any changes</w:t>
      </w:r>
    </w:p>
    <w:p>
      <w:pPr>
        <w:ind w:left="93" w:hanging="93"/>
        <w:spacing w:after="0"/>
        <w:tabs>
          <w:tab w:leader="none" w:pos="93"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Oversees sustainability program</w:t>
      </w:r>
    </w:p>
    <w:p>
      <w:pPr>
        <w:spacing w:after="0" w:line="15" w:lineRule="exact"/>
        <w:rPr>
          <w:rFonts w:ascii="Times New Roman" w:cs="Times New Roman" w:eastAsia="Times New Roman" w:hAnsi="Times New Roman"/>
          <w:sz w:val="16"/>
          <w:szCs w:val="16"/>
          <w:color w:val="auto"/>
        </w:rPr>
      </w:pPr>
    </w:p>
    <w:p>
      <w:pPr>
        <w:ind w:left="113" w:hanging="113"/>
        <w:spacing w:after="0"/>
        <w:tabs>
          <w:tab w:leader="none" w:pos="113"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Monitors corporate governance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-2202815</wp:posOffset>
            </wp:positionH>
            <wp:positionV relativeFrom="paragraph">
              <wp:posOffset>200025</wp:posOffset>
            </wp:positionV>
            <wp:extent cx="59575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575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C00000"/>
        </w:rPr>
        <w:t>Committee Members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Mr. Ettinger (Chair)</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Mr. Hansotia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Mr. Koch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Ms. Mullen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Mr. O’Rourke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During Fiscal 2022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Number of Meetings: 3</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Number of Executive Sessions: 3</w:t>
      </w:r>
    </w:p>
    <w:p>
      <w:pPr>
        <w:spacing w:after="0" w:line="200" w:lineRule="exact"/>
        <w:rPr>
          <w:sz w:val="20"/>
          <w:szCs w:val="20"/>
          <w:color w:val="auto"/>
        </w:rPr>
      </w:pPr>
    </w:p>
    <w:p>
      <w:pPr>
        <w:sectPr>
          <w:pgSz w:w="11900" w:h="16838" w:orient="portrait"/>
          <w:cols w:equalWidth="0" w:num="4">
            <w:col w:w="1520" w:space="380"/>
            <w:col w:w="3320" w:space="107"/>
            <w:col w:w="3273" w:space="200"/>
            <w:col w:w="2380"/>
          </w:cols>
          <w:pgMar w:left="320" w:top="121" w:right="399" w:bottom="1440" w:gutter="0" w:footer="0" w:header="0"/>
          <w:type w:val="continuous"/>
        </w:sect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748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1174115" cy="14744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74115"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FFFFFF"/>
        </w:rPr>
        <w:t>Finance</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FFFFFF"/>
        </w:rPr>
        <w:t>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Key Committee Functions</w:t>
      </w:r>
    </w:p>
    <w:p>
      <w:pPr>
        <w:spacing w:after="0" w:line="39" w:lineRule="exact"/>
        <w:rPr>
          <w:sz w:val="20"/>
          <w:szCs w:val="20"/>
          <w:color w:val="auto"/>
        </w:rPr>
      </w:pPr>
    </w:p>
    <w:p>
      <w:pPr>
        <w:ind w:left="140" w:right="40" w:hanging="130"/>
        <w:spacing w:after="0" w:line="239" w:lineRule="auto"/>
        <w:tabs>
          <w:tab w:leader="none" w:pos="117"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Reviews, and recommends to the Board as required, capital structure and related financial policies and long-range objectives, capital expenditures, tax strategies and restructuring projects, financing arrangements and cash or any special dividends</w:t>
      </w:r>
    </w:p>
    <w:p>
      <w:pPr>
        <w:spacing w:after="0" w:line="4" w:lineRule="exact"/>
        <w:rPr>
          <w:rFonts w:ascii="Times New Roman" w:cs="Times New Roman" w:eastAsia="Times New Roman" w:hAnsi="Times New Roman"/>
          <w:sz w:val="16"/>
          <w:szCs w:val="16"/>
          <w:color w:val="auto"/>
        </w:rPr>
      </w:pPr>
    </w:p>
    <w:p>
      <w:pPr>
        <w:ind w:left="140" w:hanging="130"/>
        <w:spacing w:after="0" w:line="249" w:lineRule="auto"/>
        <w:tabs>
          <w:tab w:leader="none" w:pos="117"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Reviews and recommends to the Board the authorization for the issuance or repurchase of equity or long-term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133" w:right="320" w:hanging="133"/>
        <w:spacing w:after="0" w:line="246" w:lineRule="auto"/>
        <w:tabs>
          <w:tab w:leader="none" w:pos="11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Reviews use of derivative, hedging and similar instruments to manage financial, currency and interest rate exposure</w:t>
      </w:r>
    </w:p>
    <w:p>
      <w:pPr>
        <w:ind w:left="133" w:hanging="133"/>
        <w:spacing w:after="0" w:line="242" w:lineRule="auto"/>
        <w:tabs>
          <w:tab w:leader="none" w:pos="11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Evaluates, and recommends to the Board as required, financing implications of certain proposed merger, acquisition, divestiture, joint venture and other business combination transactions or investments</w:t>
      </w:r>
    </w:p>
    <w:p>
      <w:pPr>
        <w:spacing w:after="0" w:line="3" w:lineRule="exact"/>
        <w:rPr>
          <w:rFonts w:ascii="Times New Roman" w:cs="Times New Roman" w:eastAsia="Times New Roman" w:hAnsi="Times New Roman"/>
          <w:sz w:val="16"/>
          <w:szCs w:val="16"/>
          <w:color w:val="auto"/>
        </w:rPr>
      </w:pPr>
    </w:p>
    <w:p>
      <w:pPr>
        <w:ind w:left="133" w:right="300" w:hanging="133"/>
        <w:spacing w:after="0" w:line="257" w:lineRule="auto"/>
        <w:tabs>
          <w:tab w:leader="none" w:pos="11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Oversees investor relations program, including sustainability engagement and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-2202815</wp:posOffset>
            </wp:positionH>
            <wp:positionV relativeFrom="paragraph">
              <wp:posOffset>-6350</wp:posOffset>
            </wp:positionV>
            <wp:extent cx="59575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575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Committee Members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Mr. Harmening (Chair)</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Ms. Cooper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Mr. Ellis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Ms. Harless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Ms. Pemberton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Dr. Vale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During Fiscal 2022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Number of Meetings: 4</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Number of Executive Sessions: 3</w:t>
      </w:r>
    </w:p>
    <w:p>
      <w:pPr>
        <w:spacing w:after="0" w:line="238" w:lineRule="exact"/>
        <w:rPr>
          <w:sz w:val="20"/>
          <w:szCs w:val="20"/>
          <w:color w:val="auto"/>
        </w:rPr>
      </w:pPr>
    </w:p>
    <w:p>
      <w:pPr>
        <w:sectPr>
          <w:pgSz w:w="11900" w:h="16838" w:orient="portrait"/>
          <w:cols w:equalWidth="0" w:num="4">
            <w:col w:w="1400" w:space="500"/>
            <w:col w:w="3300" w:space="127"/>
            <w:col w:w="3293" w:space="180"/>
            <w:col w:w="2420"/>
          </w:cols>
          <w:pgMar w:left="320" w:top="121" w:right="359" w:bottom="1440" w:gutter="0" w:footer="0" w:header="0"/>
        </w:sectPr>
      </w:pPr>
    </w:p>
    <w:p>
      <w:pPr>
        <w:spacing w:after="0"/>
        <w:rPr>
          <w:sz w:val="20"/>
          <w:szCs w:val="20"/>
          <w:color w:val="auto"/>
        </w:rPr>
      </w:pPr>
      <w:r>
        <w:rPr>
          <w:rFonts w:ascii="Arial" w:cs="Arial" w:eastAsia="Arial" w:hAnsi="Arial"/>
          <w:sz w:val="20"/>
          <w:szCs w:val="20"/>
          <w:b w:val="1"/>
          <w:bCs w:val="1"/>
          <w:color w:val="C00000"/>
        </w:rPr>
        <w:t>Board’s Role in Risk Oversight</w:t>
      </w:r>
    </w:p>
    <w:p>
      <w:pPr>
        <w:spacing w:after="0" w:line="99" w:lineRule="exact"/>
        <w:rPr>
          <w:sz w:val="20"/>
          <w:szCs w:val="20"/>
          <w:color w:val="auto"/>
        </w:rPr>
      </w:pPr>
    </w:p>
    <w:p>
      <w:pPr>
        <w:ind w:right="300" w:firstLine="401"/>
        <w:spacing w:after="0" w:line="266" w:lineRule="auto"/>
        <w:rPr>
          <w:sz w:val="20"/>
          <w:szCs w:val="20"/>
          <w:color w:val="auto"/>
        </w:rPr>
      </w:pPr>
      <w:r>
        <w:rPr>
          <w:rFonts w:ascii="Arial" w:cs="Arial" w:eastAsia="Arial" w:hAnsi="Arial"/>
          <w:sz w:val="18"/>
          <w:szCs w:val="18"/>
          <w:color w:val="auto"/>
        </w:rPr>
        <w:t>Management is primarily responsible for the identification, assessment and management of the key risks faced by our Company. We engage in an ERM process, which is coordinated primarily through our internal audit function, and involves:</w:t>
      </w:r>
    </w:p>
    <w:p>
      <w:pPr>
        <w:ind w:left="800" w:right="120" w:hanging="401"/>
        <w:spacing w:after="0" w:line="253" w:lineRule="auto"/>
        <w:tabs>
          <w:tab w:leader="none" w:pos="80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8"/>
          <w:szCs w:val="18"/>
          <w:color w:val="auto"/>
        </w:rPr>
        <w:t>identification by the executive team and other senior leaders of our Company functions and businesses of the risks relevant to our enterprise-wide strategic priorities of accelerating profitable growth, driving productivity and operational excellence and empowering people;</w:t>
      </w:r>
    </w:p>
    <w:p>
      <w:pPr>
        <w:spacing w:after="0" w:line="6" w:lineRule="exact"/>
        <w:rPr>
          <w:rFonts w:ascii="Times New Roman" w:cs="Times New Roman" w:eastAsia="Times New Roman" w:hAnsi="Times New Roman"/>
          <w:sz w:val="16"/>
          <w:szCs w:val="16"/>
          <w:color w:val="auto"/>
        </w:rPr>
      </w:pPr>
    </w:p>
    <w:p>
      <w:pPr>
        <w:ind w:left="800" w:hanging="401"/>
        <w:spacing w:after="0"/>
        <w:tabs>
          <w:tab w:leader="none" w:pos="80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8"/>
          <w:szCs w:val="18"/>
          <w:color w:val="auto"/>
        </w:rPr>
        <w:t>to the extent prudent and feasible, development of strategies and plans to monitor, mitigate and control such risks; and</w:t>
      </w:r>
    </w:p>
    <w:p>
      <w:pPr>
        <w:spacing w:after="0" w:line="49" w:lineRule="exact"/>
        <w:rPr>
          <w:rFonts w:ascii="Times New Roman" w:cs="Times New Roman" w:eastAsia="Times New Roman" w:hAnsi="Times New Roman"/>
          <w:sz w:val="16"/>
          <w:szCs w:val="16"/>
          <w:color w:val="auto"/>
        </w:rPr>
      </w:pPr>
    </w:p>
    <w:p>
      <w:pPr>
        <w:ind w:left="800" w:right="580" w:hanging="401"/>
        <w:spacing w:after="0" w:line="271" w:lineRule="auto"/>
        <w:tabs>
          <w:tab w:leader="none" w:pos="80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8"/>
          <w:szCs w:val="18"/>
          <w:color w:val="auto"/>
        </w:rPr>
        <w:t>reports of the identified risks as part of the applicable strategy review or separately as a particular risk review, as considered necessary, to the Board and/or relevant committee, as applicable.</w:t>
      </w:r>
    </w:p>
    <w:p>
      <w:pPr>
        <w:spacing w:after="0" w:line="46" w:lineRule="exact"/>
        <w:rPr>
          <w:sz w:val="20"/>
          <w:szCs w:val="20"/>
          <w:color w:val="auto"/>
        </w:rPr>
      </w:pPr>
    </w:p>
    <w:p>
      <w:pPr>
        <w:ind w:right="460" w:firstLine="401"/>
        <w:spacing w:after="0" w:line="247" w:lineRule="auto"/>
        <w:rPr>
          <w:sz w:val="20"/>
          <w:szCs w:val="20"/>
          <w:color w:val="auto"/>
        </w:rPr>
      </w:pPr>
      <w:r>
        <w:rPr>
          <w:rFonts w:ascii="Arial" w:cs="Arial" w:eastAsia="Arial" w:hAnsi="Arial"/>
          <w:sz w:val="18"/>
          <w:szCs w:val="18"/>
          <w:color w:val="auto"/>
        </w:rPr>
        <w:t>The Board’s oversight of these risks primarily occurs in connection with the exercise of its responsibility to oversee our business, including through the review of our long-term strategic plans, overall sustainability strategy and its alignment with our business strategy, annual operating plans, financial results, merger and acquisition related activities, material legal proceedings and executive succession plans.</w:t>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Board relies on its committees to assist with risk oversight within their respective areas of responsibility and expertise as follows:</w:t>
      </w:r>
    </w:p>
    <w:p>
      <w:pPr>
        <w:spacing w:after="0" w:line="104" w:lineRule="exact"/>
        <w:rPr>
          <w:sz w:val="20"/>
          <w:szCs w:val="20"/>
          <w:color w:val="auto"/>
        </w:rPr>
      </w:pPr>
    </w:p>
    <w:p>
      <w:pPr>
        <w:ind w:left="800" w:hanging="401"/>
        <w:spacing w:after="0" w:line="239" w:lineRule="auto"/>
        <w:tabs>
          <w:tab w:leader="none" w:pos="80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8"/>
          <w:szCs w:val="18"/>
          <w:color w:val="auto"/>
        </w:rPr>
        <w:t>The Audit Committee assists through its oversight of the quality and integrity of our financial reports; compliance with applicable legal and regulatory requirements; qualifications, performance and independence of our external auditor; performance of our internal audit function; accounting and reporting processes, including those in connection with business combination purchase accounting and accounting and financial reporting integration activities; strategy, performance and experience of our information technology and security function and practices, including those related to cybersecurity; performance of our health and safety program; our Code of Conduct and ethics program; our general policies and procedures regarding accounting and financial matters and internal controls; and disclosure controls and assurance of the accuracy of sustainability metrics and disclosures. The Audit Committee is also responsible for providing oversight of our ERM process by discussing our procedures with respect to risk assessment and risk management, including our major financial and business risk exposures and the steps Management has taken to monitor, mitigate and control such exposures.</w:t>
      </w:r>
    </w:p>
    <w:p>
      <w:pPr>
        <w:spacing w:after="0" w:line="71" w:lineRule="exact"/>
        <w:rPr>
          <w:rFonts w:ascii="Times New Roman" w:cs="Times New Roman" w:eastAsia="Times New Roman" w:hAnsi="Times New Roman"/>
          <w:sz w:val="16"/>
          <w:szCs w:val="16"/>
          <w:color w:val="auto"/>
        </w:rPr>
      </w:pPr>
    </w:p>
    <w:p>
      <w:pPr>
        <w:ind w:left="800" w:right="80" w:hanging="401"/>
        <w:spacing w:after="0" w:line="242" w:lineRule="auto"/>
        <w:tabs>
          <w:tab w:leader="none" w:pos="80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8"/>
          <w:szCs w:val="18"/>
          <w:color w:val="auto"/>
        </w:rPr>
        <w:t>The Compensation &amp; Human Resources Committee assists through its oversight of our compensation and human capital management programs and policies, including executive compensation, organizational, diversity, equity and inclusion, and corporate culture and engagement plans and strategies. In general, the Compensation &amp; Human Resources Committee will have oversight for social factors included as part of our sustainability platform. A discussion of the Compensation &amp; Human Resources Committee’s assessment of compensation policies and practices as they relate to our Company’s risk management is found under “Assessment of Risk Related to Compensation Program.”</w:t>
      </w:r>
    </w:p>
    <w:p>
      <w:pPr>
        <w:spacing w:after="0" w:line="70" w:lineRule="exact"/>
        <w:rPr>
          <w:rFonts w:ascii="Times New Roman" w:cs="Times New Roman" w:eastAsia="Times New Roman" w:hAnsi="Times New Roman"/>
          <w:sz w:val="16"/>
          <w:szCs w:val="16"/>
          <w:color w:val="auto"/>
        </w:rPr>
      </w:pPr>
    </w:p>
    <w:p>
      <w:pPr>
        <w:ind w:left="800" w:right="40" w:hanging="401"/>
        <w:spacing w:after="0" w:line="253" w:lineRule="auto"/>
        <w:tabs>
          <w:tab w:leader="none" w:pos="80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8"/>
          <w:szCs w:val="18"/>
          <w:color w:val="auto"/>
        </w:rPr>
        <w:t>The Finance Committee assists through its oversight of our capital structure and related policies; long- range objectives; tax strategies and restructuring projects; financing requirements and arrangements, including any pricing or other performance metrics tied to our sustainability performance; equity and debt</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103" w:lineRule="exact"/>
        <w:rPr>
          <w:sz w:val="20"/>
          <w:szCs w:val="20"/>
          <w:color w:val="auto"/>
        </w:rPr>
      </w:pPr>
    </w:p>
    <w:p>
      <w:pPr>
        <w:ind w:left="800"/>
        <w:spacing w:after="0" w:line="244" w:lineRule="auto"/>
        <w:rPr>
          <w:sz w:val="20"/>
          <w:szCs w:val="20"/>
          <w:color w:val="auto"/>
        </w:rPr>
      </w:pPr>
      <w:r>
        <w:rPr>
          <w:rFonts w:ascii="Arial" w:cs="Arial" w:eastAsia="Arial" w:hAnsi="Arial"/>
          <w:sz w:val="18"/>
          <w:szCs w:val="18"/>
          <w:color w:val="auto"/>
        </w:rPr>
        <w:t>issuances and repurchases; use of derivative, hedging and similar instruments; annual capital budget and capital expenditures; D&amp;O and liability insurance coverage; the delegated responsibilities of our Management Investment Committee relating to our ERISA-regulated employee benefit plans; through its evaluation of, among other things, the financial impact of certain proposed business combination transactions; and shareholder engagement activities and disclosures, including with regard to environmental, social and governance, or ESG, and our sustainability platform.</w:t>
      </w:r>
    </w:p>
    <w:p>
      <w:pPr>
        <w:spacing w:after="0" w:line="68" w:lineRule="exact"/>
        <w:rPr>
          <w:sz w:val="20"/>
          <w:szCs w:val="20"/>
          <w:color w:val="auto"/>
        </w:rPr>
      </w:pPr>
    </w:p>
    <w:p>
      <w:pPr>
        <w:ind w:left="800" w:right="80" w:hanging="401"/>
        <w:spacing w:after="0" w:line="244" w:lineRule="auto"/>
        <w:tabs>
          <w:tab w:leader="none" w:pos="80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8"/>
          <w:szCs w:val="18"/>
          <w:color w:val="auto"/>
        </w:rPr>
        <w:t>The Nominating &amp; Governance Committee assists through its oversight of our overall corporate governance structure and policies, including director nominations, director retirements, director independence and qualifications, Board leadership structure, Board committee structure, ESG considerations not included as part of the sustainability oversight allocated to the Board or other committees of the Board, which, in particular, includes review of certain ESG ratings, and monitoring of corporate governance trends.</w:t>
      </w:r>
    </w:p>
    <w:p>
      <w:pPr>
        <w:spacing w:after="0" w:line="68" w:lineRule="exact"/>
        <w:rPr>
          <w:sz w:val="20"/>
          <w:szCs w:val="20"/>
          <w:color w:val="auto"/>
        </w:rPr>
      </w:pPr>
    </w:p>
    <w:p>
      <w:pPr>
        <w:ind w:right="160" w:firstLine="401"/>
        <w:spacing w:after="0" w:line="247" w:lineRule="auto"/>
        <w:rPr>
          <w:sz w:val="20"/>
          <w:szCs w:val="20"/>
          <w:color w:val="auto"/>
        </w:rPr>
      </w:pPr>
      <w:r>
        <w:rPr>
          <w:rFonts w:ascii="Arial" w:cs="Arial" w:eastAsia="Arial" w:hAnsi="Arial"/>
          <w:sz w:val="18"/>
          <w:szCs w:val="18"/>
          <w:color w:val="auto"/>
        </w:rPr>
        <w:t>The Board believes that its oversight of risk is enhanced by its current leadership structure, as previously discussed, because our Chairman and CEO, who is ultimately responsible for the Company’s risk responsibility, also chairs regular Board meetings and, with his in-depth knowledge and understanding of our Company, is well positioned to bring key business issues and risks to the attention of the full Board.</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Executive Compensation Process</w:t>
      </w:r>
    </w:p>
    <w:p>
      <w:pPr>
        <w:spacing w:after="0" w:line="99" w:lineRule="exact"/>
        <w:rPr>
          <w:sz w:val="20"/>
          <w:szCs w:val="20"/>
          <w:color w:val="auto"/>
        </w:rPr>
      </w:pPr>
    </w:p>
    <w:p>
      <w:pPr>
        <w:ind w:right="160" w:firstLine="401"/>
        <w:spacing w:after="0" w:line="266" w:lineRule="auto"/>
        <w:rPr>
          <w:sz w:val="20"/>
          <w:szCs w:val="20"/>
          <w:color w:val="auto"/>
        </w:rPr>
      </w:pPr>
      <w:r>
        <w:rPr>
          <w:rFonts w:ascii="Arial" w:cs="Arial" w:eastAsia="Arial" w:hAnsi="Arial"/>
          <w:sz w:val="18"/>
          <w:szCs w:val="18"/>
          <w:color w:val="auto"/>
        </w:rPr>
        <w:t>At the beginning of each fiscal year, the Compensation &amp; Human Resources Committee reviews and approves compensation for each of our executive officers which generally includes:</w:t>
      </w:r>
    </w:p>
    <w:p>
      <w:pPr>
        <w:ind w:left="800" w:hanging="401"/>
        <w:spacing w:after="0"/>
        <w:tabs>
          <w:tab w:leader="none" w:pos="80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8"/>
          <w:szCs w:val="18"/>
          <w:color w:val="auto"/>
        </w:rPr>
        <w:t>changes, if any, to base salary; and</w:t>
      </w:r>
    </w:p>
    <w:p>
      <w:pPr>
        <w:spacing w:after="0" w:line="49" w:lineRule="exact"/>
        <w:rPr>
          <w:rFonts w:ascii="Times New Roman" w:cs="Times New Roman" w:eastAsia="Times New Roman" w:hAnsi="Times New Roman"/>
          <w:sz w:val="16"/>
          <w:szCs w:val="16"/>
          <w:color w:val="auto"/>
        </w:rPr>
      </w:pPr>
    </w:p>
    <w:p>
      <w:pPr>
        <w:ind w:left="800" w:hanging="401"/>
        <w:spacing w:after="0"/>
        <w:tabs>
          <w:tab w:leader="none" w:pos="80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8"/>
          <w:szCs w:val="18"/>
          <w:color w:val="auto"/>
        </w:rPr>
        <w:t>incentive awards, including:</w:t>
      </w:r>
    </w:p>
    <w:p>
      <w:pPr>
        <w:spacing w:after="0" w:line="49" w:lineRule="exact"/>
        <w:rPr>
          <w:rFonts w:ascii="Times New Roman" w:cs="Times New Roman" w:eastAsia="Times New Roman" w:hAnsi="Times New Roman"/>
          <w:sz w:val="16"/>
          <w:szCs w:val="16"/>
          <w:color w:val="auto"/>
        </w:rPr>
      </w:pPr>
    </w:p>
    <w:p>
      <w:pPr>
        <w:ind w:left="1200" w:right="140" w:hanging="396"/>
        <w:spacing w:after="0" w:line="253" w:lineRule="auto"/>
        <w:tabs>
          <w:tab w:leader="none" w:pos="12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annual cash incentive awards for the current fiscal year, including (i) participation targets expressed as a percentage of base salary, target payout amounts and maximum cash payout amounts; and (ii) performance measures, weightings, goals and adjustment events; and</w:t>
      </w:r>
    </w:p>
    <w:p>
      <w:pPr>
        <w:spacing w:after="0" w:line="6" w:lineRule="exact"/>
        <w:rPr>
          <w:rFonts w:ascii="Arial" w:cs="Arial" w:eastAsia="Arial" w:hAnsi="Arial"/>
          <w:sz w:val="18"/>
          <w:szCs w:val="18"/>
          <w:color w:val="auto"/>
        </w:rPr>
      </w:pPr>
    </w:p>
    <w:p>
      <w:pPr>
        <w:ind w:left="1200" w:hanging="396"/>
        <w:spacing w:after="0"/>
        <w:tabs>
          <w:tab w:leader="none" w:pos="12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long-term incentive awards, including (i) stock option awards; and (ii) three-year performance share awards, including</w:t>
      </w:r>
    </w:p>
    <w:p>
      <w:pPr>
        <w:spacing w:after="0" w:line="13" w:lineRule="exact"/>
        <w:rPr>
          <w:rFonts w:ascii="Arial" w:cs="Arial" w:eastAsia="Arial" w:hAnsi="Arial"/>
          <w:sz w:val="18"/>
          <w:szCs w:val="18"/>
          <w:color w:val="auto"/>
        </w:rPr>
      </w:pPr>
    </w:p>
    <w:p>
      <w:pPr>
        <w:ind w:left="1200" w:right="60"/>
        <w:spacing w:after="0" w:line="250" w:lineRule="auto"/>
        <w:rPr>
          <w:rFonts w:ascii="Arial" w:cs="Arial" w:eastAsia="Arial" w:hAnsi="Arial"/>
          <w:sz w:val="18"/>
          <w:szCs w:val="18"/>
          <w:color w:val="auto"/>
        </w:rPr>
      </w:pPr>
      <w:r>
        <w:rPr>
          <w:rFonts w:ascii="Arial" w:cs="Arial" w:eastAsia="Arial" w:hAnsi="Arial"/>
          <w:sz w:val="18"/>
          <w:szCs w:val="18"/>
          <w:color w:val="auto"/>
        </w:rPr>
        <w:t>(a) target share payout amounts and maximum share payout amounts, and (b) performance measures, weightings, goals and adjustment events.</w:t>
      </w:r>
    </w:p>
    <w:p>
      <w:pPr>
        <w:spacing w:after="0" w:line="6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connection with this review and approval, the Compensation &amp; Human Resources Committee evaluates information regarding:</w:t>
      </w:r>
    </w:p>
    <w:p>
      <w:pPr>
        <w:spacing w:after="0" w:line="50" w:lineRule="exact"/>
        <w:rPr>
          <w:sz w:val="20"/>
          <w:szCs w:val="20"/>
          <w:color w:val="auto"/>
        </w:rPr>
      </w:pPr>
    </w:p>
    <w:p>
      <w:pPr>
        <w:ind w:left="800" w:right="60" w:hanging="401"/>
        <w:spacing w:after="0" w:line="266" w:lineRule="auto"/>
        <w:tabs>
          <w:tab w:leader="none" w:pos="80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8"/>
          <w:szCs w:val="18"/>
          <w:color w:val="auto"/>
        </w:rPr>
        <w:t>market base salary, total cash compensation and total direct compensation data and analysis prepared by its independent external compensation consultant;</w:t>
      </w:r>
    </w:p>
    <w:p>
      <w:pPr>
        <w:ind w:left="800" w:hanging="401"/>
        <w:spacing w:after="0"/>
        <w:tabs>
          <w:tab w:leader="none" w:pos="80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8"/>
          <w:szCs w:val="18"/>
          <w:color w:val="auto"/>
        </w:rPr>
        <w:t>total cash compensation to be paid for the fiscal year if annual cash incentive awards are achieved and paid at target;</w:t>
      </w:r>
    </w:p>
    <w:p>
      <w:pPr>
        <w:spacing w:after="0" w:line="49" w:lineRule="exact"/>
        <w:rPr>
          <w:rFonts w:ascii="Times New Roman" w:cs="Times New Roman" w:eastAsia="Times New Roman" w:hAnsi="Times New Roman"/>
          <w:sz w:val="16"/>
          <w:szCs w:val="16"/>
          <w:color w:val="auto"/>
        </w:rPr>
      </w:pPr>
    </w:p>
    <w:p>
      <w:pPr>
        <w:ind w:left="800" w:hanging="401"/>
        <w:spacing w:after="0"/>
        <w:tabs>
          <w:tab w:leader="none" w:pos="80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8"/>
          <w:szCs w:val="18"/>
          <w:color w:val="auto"/>
        </w:rPr>
        <w:t>prior fiscal year target equity values; and</w:t>
      </w:r>
    </w:p>
    <w:p>
      <w:pPr>
        <w:spacing w:after="0" w:line="49" w:lineRule="exact"/>
        <w:rPr>
          <w:rFonts w:ascii="Times New Roman" w:cs="Times New Roman" w:eastAsia="Times New Roman" w:hAnsi="Times New Roman"/>
          <w:sz w:val="16"/>
          <w:szCs w:val="16"/>
          <w:color w:val="auto"/>
        </w:rPr>
      </w:pPr>
    </w:p>
    <w:p>
      <w:pPr>
        <w:ind w:left="800" w:hanging="401"/>
        <w:spacing w:after="0"/>
        <w:tabs>
          <w:tab w:leader="none" w:pos="80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8"/>
          <w:szCs w:val="18"/>
          <w:color w:val="auto"/>
        </w:rPr>
        <w:t>total direct compensation for the fiscal year, assuming equity awards at target.</w:t>
      </w:r>
    </w:p>
    <w:p>
      <w:pPr>
        <w:spacing w:after="0" w:line="104"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Additionally, the Committee obtains executive compensation recommendations from our Chairman and CEO, Vice President, Human Resources and Managing Director, Total Rewards and Employee Services that reflect individual performance; future potential; corporate and/or division performance, as applicable; tenure in the position; comparison to market; level of professional experience; duties and responsibilities; internal pay equity comparisons; and outside market factors, including general economic conditions. In addition, as needed during the fiscal year, the Committee reviews significant events that have occurred at our Company, including merger and acquisition activity, and assesses whether such events necessitate a change in compensation for our executive officers.</w:t>
      </w:r>
    </w:p>
    <w:p>
      <w:pPr>
        <w:spacing w:after="0" w:line="71" w:lineRule="exact"/>
        <w:rPr>
          <w:sz w:val="20"/>
          <w:szCs w:val="20"/>
          <w:color w:val="auto"/>
        </w:rPr>
      </w:pPr>
    </w:p>
    <w:p>
      <w:pPr>
        <w:ind w:right="120" w:firstLine="401"/>
        <w:spacing w:after="0" w:line="242" w:lineRule="auto"/>
        <w:rPr>
          <w:sz w:val="20"/>
          <w:szCs w:val="20"/>
          <w:color w:val="auto"/>
        </w:rPr>
      </w:pPr>
      <w:r>
        <w:rPr>
          <w:rFonts w:ascii="Arial" w:cs="Arial" w:eastAsia="Arial" w:hAnsi="Arial"/>
          <w:sz w:val="18"/>
          <w:szCs w:val="18"/>
          <w:color w:val="auto"/>
        </w:rPr>
        <w:t>Neither the Chairman and CEO nor the Vice President, Human Resources provide input or recommendations with respect to his or her own compensation. The Chair of the Committee is also responsible for coordinating a performance evaluation for the Chairman and CEO based on feedback from all non-employee directors in connection with the ratification of the Chairman and CEO’s compensation by the Board. Information on the compensation of our named executive officers, or NEOs is found under “Executive Compensation.” Also, at the beginning of each fiscal year, the Committee certifies the achievement of the applicable performance goals previously established by the Committee for the annual cash incentive awards and performance share awards and approves resulting payouts, if any.</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103" w:lineRule="exact"/>
        <w:rPr>
          <w:sz w:val="20"/>
          <w:szCs w:val="20"/>
          <w:color w:val="auto"/>
        </w:rPr>
      </w:pPr>
    </w:p>
    <w:p>
      <w:pPr>
        <w:ind w:firstLine="401"/>
        <w:spacing w:after="0" w:line="239" w:lineRule="auto"/>
        <w:rPr>
          <w:sz w:val="20"/>
          <w:szCs w:val="20"/>
          <w:color w:val="auto"/>
        </w:rPr>
      </w:pPr>
      <w:r>
        <w:rPr>
          <w:rFonts w:ascii="Arial" w:cs="Arial" w:eastAsia="Arial" w:hAnsi="Arial"/>
          <w:sz w:val="18"/>
          <w:szCs w:val="18"/>
          <w:color w:val="auto"/>
        </w:rPr>
        <w:t>The Compensation &amp; Human Resources Committee retained Willis Towers Watson to assist in the evaluation and review of our executive compensation program during fiscal 2022. Additional information regarding the role of Willis Towers Watson during fiscal 2022 is found under “Compensation Discussion and Analysis—Role of the Independent External Compensation Consultant.” From time to time, the Committee also has engaged Willis Towers Watson to perform other compensation consulting services, including a review of non-employee director compensation. For the services performed for us in fiscal 2022, the Committee assessed the independence of Willis Towers Watson pursuant to SEC and NYSE rules and concluded that the work of Willis Towers Watson did not raise any conflicts of interest. Representatives from Willis Towers Watson attended all of the Committee meetings in fiscal 2022, including executive sessions without Management present, to act as a resource to the Committee in carrying out its responsibilities. The Committee, through its Chair, can request an independent meeting with representatives from our independent external compensation consultant at any time. The Committee also has the authority to obtain advice and assistance from external legal, accounting or other advisers.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Director Nomination and Refreshment Process</w:t>
      </w:r>
    </w:p>
    <w:p>
      <w:pPr>
        <w:spacing w:after="0" w:line="99" w:lineRule="exact"/>
        <w:rPr>
          <w:sz w:val="20"/>
          <w:szCs w:val="20"/>
          <w:color w:val="auto"/>
        </w:rPr>
      </w:pPr>
    </w:p>
    <w:p>
      <w:pPr>
        <w:ind w:right="80" w:firstLine="401"/>
        <w:spacing w:after="0" w:line="244" w:lineRule="auto"/>
        <w:rPr>
          <w:sz w:val="20"/>
          <w:szCs w:val="20"/>
          <w:color w:val="auto"/>
        </w:rPr>
      </w:pPr>
      <w:r>
        <w:rPr>
          <w:rFonts w:ascii="Arial" w:cs="Arial" w:eastAsia="Arial" w:hAnsi="Arial"/>
          <w:sz w:val="18"/>
          <w:szCs w:val="18"/>
          <w:color w:val="auto"/>
        </w:rPr>
        <w:t>In identifying new nominees for election to the Board when vacancies occur, the Nominating &amp; Governance Committee may solicit recommendations for nominees from other members of our Board or Senior Management. In addition, the Committee may (i) formally engage such firms to assist it in identifying and evaluating qualified nominees, (ii) consider candidates put forth by external search or placement firms, and/or (iii) consider certain individuals who contacted the Chairman of the Board, the Lead Independent Director and/or the Board of Directors and expressed an interest in serving on the Board.</w:t>
      </w:r>
    </w:p>
    <w:p>
      <w:pPr>
        <w:spacing w:after="0" w:line="68" w:lineRule="exact"/>
        <w:rPr>
          <w:sz w:val="20"/>
          <w:szCs w:val="20"/>
          <w:color w:val="auto"/>
        </w:rPr>
      </w:pPr>
    </w:p>
    <w:p>
      <w:pPr>
        <w:jc w:val="both"/>
        <w:ind w:right="240" w:firstLine="401"/>
        <w:spacing w:after="0" w:line="241" w:lineRule="auto"/>
        <w:rPr>
          <w:sz w:val="20"/>
          <w:szCs w:val="20"/>
          <w:color w:val="auto"/>
        </w:rPr>
      </w:pPr>
      <w:r>
        <w:rPr>
          <w:rFonts w:ascii="Arial" w:cs="Arial" w:eastAsia="Arial" w:hAnsi="Arial"/>
          <w:sz w:val="18"/>
          <w:szCs w:val="18"/>
          <w:color w:val="auto"/>
        </w:rPr>
        <w:t>When reviewing the requisite skills and characteristics of potential new director nominees, the Nominating &amp; Governance Committee, pursuant to our Corporate Governance Guidelines, will consider a variety of criteria, including an individual’s independence, diversity, age, skills, and current and past business, professional and industry experience, each in the context of the needs of the Board as a whole.</w:t>
      </w:r>
    </w:p>
    <w:p>
      <w:pPr>
        <w:spacing w:after="0" w:line="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Although the Committee does not have a formal policy regarding consideration of diversity in identifying director nominees, the Committee will evaluate a nominee based on his or her background, skills, business and professional experiences, industry affiliations, viewpoints, and geographical representation, as well as more traditional diversity factors. As a result, the composition of the current Board reflects diversity in business and professional experiences, age, gender, race/ethnicity, background and skills. In addition, the Committee and the Board are committed to having a Board that is diverse from a gender, race and/or ethnicity perspective and will look to add individuals to our Board that have such diversity attributes, along with requisite experience, to further bolster the diversity of our Board as opportunities arise.</w:t>
      </w:r>
    </w:p>
    <w:p>
      <w:pPr>
        <w:spacing w:after="0" w:line="73" w:lineRule="exact"/>
        <w:rPr>
          <w:sz w:val="20"/>
          <w:szCs w:val="20"/>
          <w:color w:val="auto"/>
        </w:rPr>
      </w:pPr>
    </w:p>
    <w:p>
      <w:pPr>
        <w:jc w:val="both"/>
        <w:ind w:right="60" w:firstLine="401"/>
        <w:spacing w:after="0" w:line="247" w:lineRule="auto"/>
        <w:rPr>
          <w:sz w:val="20"/>
          <w:szCs w:val="20"/>
          <w:color w:val="auto"/>
        </w:rPr>
      </w:pPr>
      <w:r>
        <w:rPr>
          <w:rFonts w:ascii="Arial" w:cs="Arial" w:eastAsia="Arial" w:hAnsi="Arial"/>
          <w:sz w:val="18"/>
          <w:szCs w:val="18"/>
          <w:color w:val="auto"/>
        </w:rPr>
        <w:t>Once a proposed candidate is identified, the Nominating &amp; Governance Committee may solicit the views of Senior Management, Board members and any other individuals it believes may have insight into a particular candidate. The Committee may designate one or more of its members and/or other Board members to interview any proposed candidate. The Committee then will recommend a director nominee to the Board based on its evaluation of such criteria.</w:t>
      </w:r>
    </w:p>
    <w:p>
      <w:pPr>
        <w:spacing w:after="0" w:line="66" w:lineRule="exact"/>
        <w:rPr>
          <w:sz w:val="20"/>
          <w:szCs w:val="20"/>
          <w:color w:val="auto"/>
        </w:rPr>
      </w:pPr>
    </w:p>
    <w:p>
      <w:pPr>
        <w:ind w:right="100" w:firstLine="401"/>
        <w:spacing w:after="0" w:line="239" w:lineRule="auto"/>
        <w:rPr>
          <w:sz w:val="20"/>
          <w:szCs w:val="20"/>
          <w:color w:val="auto"/>
        </w:rPr>
      </w:pPr>
      <w:r>
        <w:rPr>
          <w:rFonts w:ascii="Arial" w:cs="Arial" w:eastAsia="Arial" w:hAnsi="Arial"/>
          <w:sz w:val="18"/>
          <w:szCs w:val="18"/>
          <w:color w:val="auto"/>
        </w:rPr>
        <w:t>The Nominating &amp; Governance Committee will consider director candidates recommended to it by our shareholders. Those candidates must be qualified and exhibit the experience and expertise required of the Board’s own pool of candidates, as well as have an interest in our business, and the demonstrated ability to attend and prepare for Board, committee and shareholder meetings. Any candidate must state in advance his or her willingness and interest in serving on the Board. Candidates should represent the interests of all shareholders and not those of a special interest group. The Committee will evaluate candidates recommended by shareholders using the same criteria it uses to evaluate candidates recommended by others as described above. A shareholder that desires to nominate a person for election to the Board at a meeting of shareholders must follow the specified advance notice requirements contained in, and provide the specific information required by, our Amended and Restated Bylaws. The current requirements of our Amended and Restated Bylaws are as described under “Shareholder Proposals and Director Nominations for the 2024 Annual Meeting.”</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Related Person Transactions and Policies and Procedures Regarding Related Person Transactions</w:t>
      </w:r>
    </w:p>
    <w:p>
      <w:pPr>
        <w:spacing w:after="0" w:line="99" w:lineRule="exact"/>
        <w:rPr>
          <w:sz w:val="20"/>
          <w:szCs w:val="20"/>
          <w:color w:val="auto"/>
        </w:rPr>
      </w:pPr>
    </w:p>
    <w:p>
      <w:pPr>
        <w:ind w:right="120" w:firstLine="401"/>
        <w:spacing w:after="0" w:line="253" w:lineRule="auto"/>
        <w:rPr>
          <w:sz w:val="20"/>
          <w:szCs w:val="20"/>
          <w:color w:val="auto"/>
        </w:rPr>
      </w:pPr>
      <w:r>
        <w:rPr>
          <w:rFonts w:ascii="Arial" w:cs="Arial" w:eastAsia="Arial" w:hAnsi="Arial"/>
          <w:sz w:val="18"/>
          <w:szCs w:val="18"/>
          <w:color w:val="auto"/>
        </w:rPr>
        <w:t>Our Corporate Governance Guidelines set forth in writing our policies and procedures regarding the review, approval and ratification of related person transactions. All reportable related person transactions must be reviewed, approved or ratified by the Nominating &amp; Governance Committee. In determining whether to approve or</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ratify such transactions, the Committee will take into account, among other factors and information it deems appropriate:</w:t>
      </w:r>
    </w:p>
    <w:p>
      <w:pPr>
        <w:spacing w:after="0" w:line="50" w:lineRule="exact"/>
        <w:rPr>
          <w:sz w:val="20"/>
          <w:szCs w:val="20"/>
          <w:color w:val="auto"/>
        </w:rPr>
      </w:pPr>
    </w:p>
    <w:p>
      <w:pPr>
        <w:ind w:left="800" w:hanging="401"/>
        <w:spacing w:after="0"/>
        <w:tabs>
          <w:tab w:leader="none" w:pos="80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8"/>
          <w:szCs w:val="18"/>
          <w:color w:val="auto"/>
        </w:rPr>
        <w:t>the related person’s relationship to our Company and interest in the transaction;</w:t>
      </w:r>
    </w:p>
    <w:p>
      <w:pPr>
        <w:spacing w:after="0" w:line="49" w:lineRule="exact"/>
        <w:rPr>
          <w:rFonts w:ascii="Times New Roman" w:cs="Times New Roman" w:eastAsia="Times New Roman" w:hAnsi="Times New Roman"/>
          <w:sz w:val="16"/>
          <w:szCs w:val="16"/>
          <w:color w:val="auto"/>
        </w:rPr>
      </w:pPr>
    </w:p>
    <w:p>
      <w:pPr>
        <w:ind w:left="800" w:hanging="401"/>
        <w:spacing w:after="0"/>
        <w:tabs>
          <w:tab w:leader="none" w:pos="80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8"/>
          <w:szCs w:val="18"/>
          <w:color w:val="auto"/>
        </w:rPr>
        <w:t>the material facts of the transaction;</w:t>
      </w:r>
    </w:p>
    <w:p>
      <w:pPr>
        <w:spacing w:after="0" w:line="49" w:lineRule="exact"/>
        <w:rPr>
          <w:rFonts w:ascii="Times New Roman" w:cs="Times New Roman" w:eastAsia="Times New Roman" w:hAnsi="Times New Roman"/>
          <w:sz w:val="16"/>
          <w:szCs w:val="16"/>
          <w:color w:val="auto"/>
        </w:rPr>
      </w:pPr>
    </w:p>
    <w:p>
      <w:pPr>
        <w:ind w:left="800" w:hanging="401"/>
        <w:spacing w:after="0"/>
        <w:tabs>
          <w:tab w:leader="none" w:pos="80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8"/>
          <w:szCs w:val="18"/>
          <w:color w:val="auto"/>
        </w:rPr>
        <w:t>the benefits to our Company of the transaction; and</w:t>
      </w:r>
    </w:p>
    <w:p>
      <w:pPr>
        <w:spacing w:after="0" w:line="49" w:lineRule="exact"/>
        <w:rPr>
          <w:rFonts w:ascii="Times New Roman" w:cs="Times New Roman" w:eastAsia="Times New Roman" w:hAnsi="Times New Roman"/>
          <w:sz w:val="16"/>
          <w:szCs w:val="16"/>
          <w:color w:val="auto"/>
        </w:rPr>
      </w:pPr>
    </w:p>
    <w:p>
      <w:pPr>
        <w:ind w:left="800" w:hanging="401"/>
        <w:spacing w:after="0" w:line="253" w:lineRule="auto"/>
        <w:tabs>
          <w:tab w:leader="none" w:pos="80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8"/>
          <w:szCs w:val="18"/>
          <w:color w:val="auto"/>
        </w:rPr>
        <w:t>an assessment of whether the transaction is (to the extent applicable) in the ordinary course of business, at arm’s length, at prices and on terms customarily available to unrelated third party vendors or customers generally, and whether the related person had any direct or indirect personal interest in, or received any personal benefit from, such transaction.</w:t>
      </w:r>
    </w:p>
    <w:p>
      <w:pPr>
        <w:spacing w:after="0" w:line="47" w:lineRule="exact"/>
        <w:rPr>
          <w:sz w:val="20"/>
          <w:szCs w:val="20"/>
          <w:color w:val="auto"/>
        </w:rPr>
      </w:pPr>
    </w:p>
    <w:p>
      <w:pPr>
        <w:ind w:right="80" w:firstLine="401"/>
        <w:spacing w:after="0" w:line="244" w:lineRule="auto"/>
        <w:rPr>
          <w:sz w:val="20"/>
          <w:szCs w:val="20"/>
          <w:color w:val="auto"/>
        </w:rPr>
      </w:pPr>
      <w:r>
        <w:rPr>
          <w:rFonts w:ascii="Arial" w:cs="Arial" w:eastAsia="Arial" w:hAnsi="Arial"/>
          <w:sz w:val="18"/>
          <w:szCs w:val="18"/>
          <w:color w:val="auto"/>
        </w:rPr>
        <w:t>Transactions in the ordinary course of business, between us and an unaffiliated corporation of which one of our non-employee directors or director nominees serves as an officer, that are at arm’s length, at prices and on terms customarily available to unrelated third party vendors or customers generally, in which the non-employee director or director nominee had no direct or indirect personal interest, nor received any personal benefit, and in amounts that are not material to our business or the business of such unaffiliated corporation, are deemed conclusively pre-approved.</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Board of Directors Business Ethics Policy Statement</w:t>
      </w:r>
    </w:p>
    <w:p>
      <w:pPr>
        <w:spacing w:after="0" w:line="72" w:lineRule="exact"/>
        <w:rPr>
          <w:sz w:val="20"/>
          <w:szCs w:val="20"/>
          <w:color w:val="auto"/>
        </w:rPr>
      </w:pPr>
    </w:p>
    <w:p>
      <w:pPr>
        <w:ind w:right="360" w:firstLine="401"/>
        <w:spacing w:after="0" w:line="253" w:lineRule="auto"/>
        <w:rPr>
          <w:sz w:val="20"/>
          <w:szCs w:val="20"/>
          <w:color w:val="auto"/>
        </w:rPr>
      </w:pPr>
      <w:r>
        <w:rPr>
          <w:rFonts w:ascii="Arial" w:cs="Arial" w:eastAsia="Arial" w:hAnsi="Arial"/>
          <w:sz w:val="18"/>
          <w:szCs w:val="18"/>
          <w:color w:val="auto"/>
        </w:rPr>
        <w:t>It is our policy to maintain the highest level of moral, ethical and legal standards in the conduct of our business. Pursuant to our Corporate Governance Guidelines, the Board has adopted, and each director annually signs, a Board of Directors Business Ethics Policy Statement. The policy can be found on our website at www.thetorocompany.com/ethics.</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Code of Conduct and Code of Ethics for our CEO and Senior Financial Personnel</w:t>
      </w:r>
    </w:p>
    <w:p>
      <w:pPr>
        <w:spacing w:after="0" w:line="85" w:lineRule="exact"/>
        <w:rPr>
          <w:sz w:val="20"/>
          <w:szCs w:val="20"/>
          <w:color w:val="auto"/>
        </w:rPr>
      </w:pPr>
    </w:p>
    <w:p>
      <w:pPr>
        <w:ind w:right="60" w:firstLine="401"/>
        <w:spacing w:after="0"/>
        <w:rPr>
          <w:sz w:val="20"/>
          <w:szCs w:val="20"/>
          <w:color w:val="auto"/>
        </w:rPr>
      </w:pPr>
      <w:r>
        <w:rPr>
          <w:rFonts w:ascii="Arial" w:cs="Arial" w:eastAsia="Arial" w:hAnsi="Arial"/>
          <w:sz w:val="18"/>
          <w:szCs w:val="18"/>
          <w:color w:val="auto"/>
        </w:rPr>
        <w:t>All of our directors and employees are required to comply with our Code of Conduct to help ensure that our business is conducted in accordance with the highest level of moral, ethical and legal standards. We also have a Code of Ethics for our CEO and Senior Financial Personnel applicable to our CEO (our principal executive officer), our Vice President, Chief Financial Officer (our principal financial and accounting officer), and certain senior accounting and/or treasury personnel who are also bound by the provisions set forth in the Code of Conduct relating to ethical conduct, conflicts of interest and compliance with the law. Our Code of Conduct and Code of Ethics for our CEO and Senior Financial Personnel can be found on our website at www.thetorocompany.com/ethics. If necessary, we intend to satisfy the disclosure requirements of Item 5.05 of the Current Report on Form 8-K regarding amendments to or waivers from any provision of our Code of Ethics for our CEO and Senior Financial Personnel by posting such information on our website at www.thetorocompany.com/ethics.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Communications with Directors</w:t>
      </w:r>
    </w:p>
    <w:p>
      <w:pPr>
        <w:spacing w:after="0" w:line="85" w:lineRule="exact"/>
        <w:rPr>
          <w:sz w:val="20"/>
          <w:szCs w:val="20"/>
          <w:color w:val="auto"/>
        </w:rPr>
      </w:pPr>
    </w:p>
    <w:p>
      <w:pPr>
        <w:ind w:right="40" w:firstLine="401"/>
        <w:spacing w:after="0"/>
        <w:rPr>
          <w:sz w:val="20"/>
          <w:szCs w:val="20"/>
          <w:color w:val="auto"/>
        </w:rPr>
      </w:pPr>
      <w:r>
        <w:rPr>
          <w:rFonts w:ascii="Arial" w:cs="Arial" w:eastAsia="Arial" w:hAnsi="Arial"/>
          <w:sz w:val="18"/>
          <w:szCs w:val="18"/>
          <w:color w:val="auto"/>
        </w:rPr>
        <w:t>Shareholders and other interested parties may communicate directly with our Board, our Board committees, our non-employee directors as a group, our Lead Independent Director, or any other specified individual director in writing by (i) sending a letter addressed to The Toro Company Board of Directors, c/o General Counsel, 8111 Lyndale Avenue South, Bloomington, Minnesota, 55420-1196, or (ii) sending an email to boardofdirectors@toro.com. Substantive communications, such as corporate governance matters or potential issues relating to accounting, internal controls or other auditing matters, are forwarded by our General Counsel to the relevant director(s) as appropriate. Communications not requiring the substantive attention of our Board, such as employment inquiries, sales solicitations, donation requests, questions about our products, and other such matters, are appropriately handled by Management.</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Complaint Procedures</w:t>
      </w:r>
    </w:p>
    <w:p>
      <w:pPr>
        <w:spacing w:after="0" w:line="72" w:lineRule="exact"/>
        <w:rPr>
          <w:sz w:val="20"/>
          <w:szCs w:val="20"/>
          <w:color w:val="auto"/>
        </w:rPr>
      </w:pPr>
    </w:p>
    <w:p>
      <w:pPr>
        <w:ind w:right="60" w:firstLine="401"/>
        <w:spacing w:after="0"/>
        <w:rPr>
          <w:sz w:val="20"/>
          <w:szCs w:val="20"/>
          <w:color w:val="auto"/>
        </w:rPr>
      </w:pPr>
      <w:r>
        <w:rPr>
          <w:rFonts w:ascii="Arial" w:cs="Arial" w:eastAsia="Arial" w:hAnsi="Arial"/>
          <w:sz w:val="18"/>
          <w:szCs w:val="18"/>
          <w:color w:val="auto"/>
        </w:rPr>
        <w:t>We maintain procedures to receive, retain and treat complaints regarding accounting, internal accounting controls or auditing matters and to allow for the confidential and anonymous submission by employees of concerns regarding questionable accounting or auditing matters. A 24-hour, toll-free confidential ethics helpline and a confidential web-based reporting tool are available for the submission of concerns regarding these and other matters by any employee. Concerns and questions received through these methods relating to accounting, internal accounting controls or auditing matters are promptly brought to the attention of the Chair of the Audit Committee and are handled in accordance with procedures established by the Audit Committee. Complete information regarding our complaint procedures is contained within our Code of Conduct, which may be accessed on our website as noted above.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107"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FFFFFF"/>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2057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Director Compensation Program for Fiscal 2022</w:t>
      </w:r>
    </w:p>
    <w:p>
      <w:pPr>
        <w:spacing w:after="0" w:line="99" w:lineRule="exact"/>
        <w:rPr>
          <w:sz w:val="20"/>
          <w:szCs w:val="20"/>
          <w:color w:val="auto"/>
        </w:rPr>
      </w:pPr>
    </w:p>
    <w:p>
      <w:pPr>
        <w:ind w:right="20" w:firstLine="401"/>
        <w:spacing w:after="0" w:line="239"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Our non-employee director compensation program is designed to attract and retain experienced and knowledgeable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and to provide equity-based compensation to align the interests of our directors with those of our shareholders. In fiscal 2022, our non-employee director compensation was comprised of equity compensation, in the form of annual stock and stock option awards, and cash compensation, in the form of annual retainers that are paid quarterly. Each of the components of our Board compensation is described in more detail below. The Board compensation program structure, together with the feature of the program that enables our directors to elect to receive a portion or all of their cash compensation in the form of our common stock, causes a substantial portion of our non-employee director compensation to be linked to our common stock performance. All equity-based compensation paid to our non-employee directors is granted under our then current shareholder-approved plan. As a current employee director, Mr. Olson does not receive any additional compensation for his service as a director.</w:t>
      </w:r>
    </w:p>
    <w:p>
      <w:pPr>
        <w:spacing w:after="0" w:line="75" w:lineRule="exact"/>
        <w:rPr>
          <w:sz w:val="20"/>
          <w:szCs w:val="20"/>
          <w:color w:val="auto"/>
        </w:rPr>
      </w:pPr>
    </w:p>
    <w:p>
      <w:pPr>
        <w:ind w:firstLine="401"/>
        <w:spacing w:after="0" w:line="247" w:lineRule="auto"/>
        <w:rPr>
          <w:sz w:val="20"/>
          <w:szCs w:val="20"/>
          <w:color w:val="auto"/>
        </w:rPr>
      </w:pPr>
      <w:r>
        <w:rPr>
          <w:rFonts w:ascii="Arial" w:cs="Arial" w:eastAsia="Arial" w:hAnsi="Arial"/>
          <w:sz w:val="18"/>
          <w:szCs w:val="18"/>
          <w:b w:val="1"/>
          <w:bCs w:val="1"/>
          <w:color w:val="auto"/>
        </w:rPr>
        <w:t xml:space="preserve">Process for Consideration and Determination of Director Compensation. </w:t>
      </w:r>
      <w:r>
        <w:rPr>
          <w:rFonts w:ascii="Arial" w:cs="Arial" w:eastAsia="Arial" w:hAnsi="Arial"/>
          <w:sz w:val="18"/>
          <w:szCs w:val="18"/>
          <w:color w:val="auto"/>
        </w:rPr>
        <w:t>The Board has delegated to the Compensation &amp;</w:t>
      </w:r>
      <w:r>
        <w:rPr>
          <w:rFonts w:ascii="Arial" w:cs="Arial" w:eastAsia="Arial" w:hAnsi="Arial"/>
          <w:sz w:val="18"/>
          <w:szCs w:val="18"/>
          <w:b w:val="1"/>
          <w:bCs w:val="1"/>
          <w:color w:val="auto"/>
        </w:rPr>
        <w:t xml:space="preserve"> </w:t>
      </w:r>
      <w:r>
        <w:rPr>
          <w:rFonts w:ascii="Arial" w:cs="Arial" w:eastAsia="Arial" w:hAnsi="Arial"/>
          <w:sz w:val="18"/>
          <w:szCs w:val="18"/>
          <w:color w:val="auto"/>
        </w:rPr>
        <w:t>Human Resources Committee the responsibility, among other things, to review and recommend to the Board any proposed changes in non-employee director compensation. In connection with such review, the Committee engages an independent external compensation consultant to provide analysis regarding non-employee director compensation.</w:t>
      </w:r>
    </w:p>
    <w:p>
      <w:pPr>
        <w:spacing w:after="0" w:line="66" w:lineRule="exact"/>
        <w:rPr>
          <w:sz w:val="20"/>
          <w:szCs w:val="20"/>
          <w:color w:val="auto"/>
        </w:rPr>
      </w:pPr>
    </w:p>
    <w:p>
      <w:pPr>
        <w:ind w:firstLine="401"/>
        <w:spacing w:after="0"/>
        <w:rPr>
          <w:sz w:val="20"/>
          <w:szCs w:val="20"/>
          <w:color w:val="auto"/>
        </w:rPr>
      </w:pPr>
      <w:r>
        <w:rPr>
          <w:rFonts w:ascii="Arial" w:cs="Arial" w:eastAsia="Arial" w:hAnsi="Arial"/>
          <w:sz w:val="18"/>
          <w:szCs w:val="18"/>
          <w:color w:val="auto"/>
        </w:rPr>
        <w:t>The Compensation &amp; Human Resources Committee periodically engages Willis Towers Watson to review our non-employee director compensation, as was done prior to the Company’s fiscal 2022 year. The Willis Towers Watson review consisted of, among other things, analysis of board and committee compensation trends, a competitive assessment based on a selected group of manufacturing companies operating in the United States that are similar in size to us from a revenue and market capitalization perspective, and a separate analysis of lead director compensation. In September 2021, prior to the beginning of fiscal 2022, the Committee considered this data and recommended to the Board that certain changes be made to the non-employee director compensation program for fiscal 2022 from fiscal 2021, including increases in the annual stock award and the annual Lead Independent Director retainer, and the Board approved these changes.</w:t>
      </w:r>
    </w:p>
    <w:p>
      <w:pPr>
        <w:spacing w:after="0" w:line="77" w:lineRule="exact"/>
        <w:rPr>
          <w:sz w:val="20"/>
          <w:szCs w:val="20"/>
          <w:color w:val="auto"/>
        </w:rPr>
      </w:pPr>
    </w:p>
    <w:p>
      <w:pPr>
        <w:ind w:right="300" w:firstLine="401"/>
        <w:spacing w:after="0" w:line="271" w:lineRule="auto"/>
        <w:rPr>
          <w:sz w:val="20"/>
          <w:szCs w:val="20"/>
          <w:color w:val="auto"/>
        </w:rPr>
      </w:pPr>
      <w:r>
        <w:rPr>
          <w:rFonts w:ascii="Arial" w:cs="Arial" w:eastAsia="Arial" w:hAnsi="Arial"/>
          <w:sz w:val="18"/>
          <w:szCs w:val="18"/>
          <w:b w:val="1"/>
          <w:bCs w:val="1"/>
          <w:color w:val="auto"/>
        </w:rPr>
        <w:t xml:space="preserve">Elements of Our Non-Employee Director Compensation Program. </w:t>
      </w:r>
      <w:r>
        <w:rPr>
          <w:rFonts w:ascii="Arial" w:cs="Arial" w:eastAsia="Arial" w:hAnsi="Arial"/>
          <w:sz w:val="18"/>
          <w:szCs w:val="18"/>
          <w:color w:val="auto"/>
        </w:rPr>
        <w:t>The following table sets forth our fiscal 2022 non-employee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compensation program.</w:t>
      </w:r>
    </w:p>
    <w:p>
      <w:pPr>
        <w:spacing w:after="0" w:line="64" w:lineRule="exact"/>
        <w:rPr>
          <w:sz w:val="20"/>
          <w:szCs w:val="20"/>
          <w:color w:val="auto"/>
        </w:rPr>
      </w:pPr>
    </w:p>
    <w:tbl>
      <w:tblPr>
        <w:tblLayout w:type="fixed"/>
        <w:tblInd w:w="1140" w:type="dxa"/>
        <w:tblCellMar>
          <w:top w:w="0" w:type="dxa"/>
          <w:left w:w="0" w:type="dxa"/>
          <w:bottom w:w="0" w:type="dxa"/>
          <w:right w:w="0" w:type="dxa"/>
        </w:tblCellMar>
      </w:tblPr>
      <w:tr>
        <w:trPr>
          <w:trHeight w:val="166"/>
        </w:trPr>
        <w:tc>
          <w:tcPr>
            <w:tcW w:w="6740" w:type="dxa"/>
            <w:vAlign w:val="bottom"/>
            <w:shd w:val="clear" w:color="auto" w:fill="C00000"/>
          </w:tcPr>
          <w:p>
            <w:pPr>
              <w:spacing w:after="0"/>
              <w:rPr>
                <w:sz w:val="14"/>
                <w:szCs w:val="14"/>
                <w:color w:val="auto"/>
              </w:rPr>
            </w:pPr>
          </w:p>
        </w:tc>
        <w:tc>
          <w:tcPr>
            <w:tcW w:w="2240" w:type="dxa"/>
            <w:vAlign w:val="bottom"/>
            <w:shd w:val="clear" w:color="auto" w:fill="C00000"/>
          </w:tcPr>
          <w:p>
            <w:pPr>
              <w:jc w:val="right"/>
              <w:ind w:right="200"/>
              <w:spacing w:after="0"/>
              <w:rPr>
                <w:sz w:val="20"/>
                <w:szCs w:val="20"/>
                <w:color w:val="auto"/>
              </w:rPr>
            </w:pPr>
            <w:r>
              <w:rPr>
                <w:rFonts w:ascii="Arial" w:cs="Arial" w:eastAsia="Arial" w:hAnsi="Arial"/>
                <w:sz w:val="14"/>
                <w:szCs w:val="14"/>
                <w:b w:val="1"/>
                <w:bCs w:val="1"/>
                <w:color w:val="FFFFFF"/>
              </w:rPr>
              <w:t>Fiscal 2022</w:t>
            </w:r>
          </w:p>
        </w:tc>
      </w:tr>
      <w:tr>
        <w:trPr>
          <w:trHeight w:val="171"/>
        </w:trPr>
        <w:tc>
          <w:tcPr>
            <w:tcW w:w="674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Non-Employee Director Compensation</w:t>
            </w:r>
          </w:p>
        </w:tc>
        <w:tc>
          <w:tcPr>
            <w:tcW w:w="2240" w:type="dxa"/>
            <w:vAlign w:val="bottom"/>
            <w:shd w:val="clear" w:color="auto" w:fill="C00000"/>
          </w:tcPr>
          <w:p>
            <w:pPr>
              <w:jc w:val="right"/>
              <w:ind w:right="480"/>
              <w:spacing w:after="0"/>
              <w:rPr>
                <w:sz w:val="20"/>
                <w:szCs w:val="20"/>
                <w:color w:val="auto"/>
              </w:rPr>
            </w:pPr>
            <w:r>
              <w:rPr>
                <w:rFonts w:ascii="Arial" w:cs="Arial" w:eastAsia="Arial" w:hAnsi="Arial"/>
                <w:sz w:val="14"/>
                <w:szCs w:val="14"/>
                <w:b w:val="1"/>
                <w:bCs w:val="1"/>
                <w:color w:val="FFFFFF"/>
              </w:rPr>
              <w:t>($)</w:t>
            </w:r>
          </w:p>
        </w:tc>
      </w:tr>
      <w:tr>
        <w:trPr>
          <w:trHeight w:val="235"/>
        </w:trPr>
        <w:tc>
          <w:tcPr>
            <w:tcW w:w="6740" w:type="dxa"/>
            <w:vAlign w:val="bottom"/>
          </w:tcPr>
          <w:p>
            <w:pPr>
              <w:spacing w:after="0"/>
              <w:rPr>
                <w:sz w:val="20"/>
                <w:szCs w:val="20"/>
                <w:color w:val="auto"/>
              </w:rPr>
            </w:pPr>
            <w:r>
              <w:rPr>
                <w:rFonts w:ascii="Arial" w:cs="Arial" w:eastAsia="Arial" w:hAnsi="Arial"/>
                <w:sz w:val="16"/>
                <w:szCs w:val="16"/>
                <w:color w:val="auto"/>
              </w:rPr>
              <w:t>Annual Stock Award Value</w:t>
            </w:r>
          </w:p>
        </w:tc>
        <w:tc>
          <w:tcPr>
            <w:tcW w:w="2240" w:type="dxa"/>
            <w:vAlign w:val="bottom"/>
          </w:tcPr>
          <w:p>
            <w:pPr>
              <w:jc w:val="right"/>
              <w:ind w:right="20"/>
              <w:spacing w:after="0"/>
              <w:rPr>
                <w:sz w:val="20"/>
                <w:szCs w:val="20"/>
                <w:color w:val="auto"/>
              </w:rPr>
            </w:pPr>
            <w:r>
              <w:rPr>
                <w:rFonts w:ascii="Arial" w:cs="Arial" w:eastAsia="Arial" w:hAnsi="Arial"/>
                <w:sz w:val="16"/>
                <w:szCs w:val="16"/>
                <w:color w:val="auto"/>
              </w:rPr>
              <w:t>75,000</w:t>
            </w:r>
          </w:p>
        </w:tc>
      </w:tr>
      <w:tr>
        <w:trPr>
          <w:trHeight w:val="251"/>
        </w:trPr>
        <w:tc>
          <w:tcPr>
            <w:tcW w:w="6740" w:type="dxa"/>
            <w:vAlign w:val="bottom"/>
            <w:shd w:val="clear" w:color="auto" w:fill="D9D9D9"/>
          </w:tcPr>
          <w:p>
            <w:pPr>
              <w:spacing w:after="0"/>
              <w:rPr>
                <w:sz w:val="20"/>
                <w:szCs w:val="20"/>
                <w:color w:val="auto"/>
              </w:rPr>
            </w:pPr>
            <w:r>
              <w:rPr>
                <w:rFonts w:ascii="Arial" w:cs="Arial" w:eastAsia="Arial" w:hAnsi="Arial"/>
                <w:sz w:val="16"/>
                <w:szCs w:val="16"/>
                <w:color w:val="auto"/>
              </w:rPr>
              <w:t>Annual Stock Option Award Value</w:t>
            </w:r>
          </w:p>
        </w:tc>
        <w:tc>
          <w:tcPr>
            <w:tcW w:w="2240" w:type="dxa"/>
            <w:vAlign w:val="bottom"/>
            <w:shd w:val="clear" w:color="auto" w:fill="D9D9D9"/>
          </w:tcPr>
          <w:p>
            <w:pPr>
              <w:jc w:val="right"/>
              <w:ind w:right="20"/>
              <w:spacing w:after="0"/>
              <w:rPr>
                <w:sz w:val="20"/>
                <w:szCs w:val="20"/>
                <w:color w:val="auto"/>
              </w:rPr>
            </w:pPr>
            <w:r>
              <w:rPr>
                <w:rFonts w:ascii="Arial" w:cs="Arial" w:eastAsia="Arial" w:hAnsi="Arial"/>
                <w:sz w:val="16"/>
                <w:szCs w:val="16"/>
                <w:color w:val="auto"/>
              </w:rPr>
              <w:t>55,000</w:t>
            </w:r>
          </w:p>
        </w:tc>
      </w:tr>
      <w:tr>
        <w:trPr>
          <w:trHeight w:val="235"/>
        </w:trPr>
        <w:tc>
          <w:tcPr>
            <w:tcW w:w="6740" w:type="dxa"/>
            <w:vAlign w:val="bottom"/>
          </w:tcPr>
          <w:p>
            <w:pPr>
              <w:spacing w:after="0"/>
              <w:rPr>
                <w:sz w:val="20"/>
                <w:szCs w:val="20"/>
                <w:color w:val="auto"/>
              </w:rPr>
            </w:pPr>
            <w:r>
              <w:rPr>
                <w:rFonts w:ascii="Arial" w:cs="Arial" w:eastAsia="Arial" w:hAnsi="Arial"/>
                <w:sz w:val="16"/>
                <w:szCs w:val="16"/>
                <w:color w:val="auto"/>
              </w:rPr>
              <w:t>Annual Board and Committee Member Retainers</w:t>
            </w:r>
          </w:p>
        </w:tc>
        <w:tc>
          <w:tcPr>
            <w:tcW w:w="2240" w:type="dxa"/>
            <w:vAlign w:val="bottom"/>
          </w:tcPr>
          <w:p>
            <w:pPr>
              <w:spacing w:after="0"/>
              <w:rPr>
                <w:sz w:val="20"/>
                <w:szCs w:val="20"/>
                <w:color w:val="auto"/>
              </w:rPr>
            </w:pPr>
          </w:p>
        </w:tc>
      </w:tr>
      <w:tr>
        <w:trPr>
          <w:trHeight w:val="251"/>
        </w:trPr>
        <w:tc>
          <w:tcPr>
            <w:tcW w:w="6740" w:type="dxa"/>
            <w:vAlign w:val="bottom"/>
            <w:shd w:val="clear" w:color="auto" w:fill="D9D9D9"/>
          </w:tcPr>
          <w:p>
            <w:pPr>
              <w:ind w:left="240"/>
              <w:spacing w:after="0"/>
              <w:rPr>
                <w:sz w:val="20"/>
                <w:szCs w:val="20"/>
                <w:color w:val="auto"/>
              </w:rPr>
            </w:pPr>
            <w:r>
              <w:rPr>
                <w:rFonts w:ascii="Arial" w:cs="Arial" w:eastAsia="Arial" w:hAnsi="Arial"/>
                <w:sz w:val="16"/>
                <w:szCs w:val="16"/>
                <w:color w:val="auto"/>
              </w:rPr>
              <w:t>Board</w:t>
            </w:r>
          </w:p>
        </w:tc>
        <w:tc>
          <w:tcPr>
            <w:tcW w:w="2240" w:type="dxa"/>
            <w:vAlign w:val="bottom"/>
            <w:shd w:val="clear" w:color="auto" w:fill="D9D9D9"/>
          </w:tcPr>
          <w:p>
            <w:pPr>
              <w:jc w:val="right"/>
              <w:ind w:right="20"/>
              <w:spacing w:after="0"/>
              <w:rPr>
                <w:sz w:val="20"/>
                <w:szCs w:val="20"/>
                <w:color w:val="auto"/>
              </w:rPr>
            </w:pPr>
            <w:r>
              <w:rPr>
                <w:rFonts w:ascii="Arial" w:cs="Arial" w:eastAsia="Arial" w:hAnsi="Arial"/>
                <w:sz w:val="16"/>
                <w:szCs w:val="16"/>
                <w:color w:val="auto"/>
              </w:rPr>
              <w:t>85,000</w:t>
            </w:r>
          </w:p>
        </w:tc>
      </w:tr>
      <w:tr>
        <w:trPr>
          <w:trHeight w:val="235"/>
        </w:trPr>
        <w:tc>
          <w:tcPr>
            <w:tcW w:w="6740" w:type="dxa"/>
            <w:vAlign w:val="bottom"/>
          </w:tcPr>
          <w:p>
            <w:pPr>
              <w:ind w:left="240"/>
              <w:spacing w:after="0"/>
              <w:rPr>
                <w:sz w:val="20"/>
                <w:szCs w:val="20"/>
                <w:color w:val="auto"/>
              </w:rPr>
            </w:pPr>
            <w:r>
              <w:rPr>
                <w:rFonts w:ascii="Arial" w:cs="Arial" w:eastAsia="Arial" w:hAnsi="Arial"/>
                <w:sz w:val="16"/>
                <w:szCs w:val="16"/>
                <w:color w:val="auto"/>
              </w:rPr>
              <w:t>Audit Committee Member</w:t>
            </w:r>
          </w:p>
        </w:tc>
        <w:tc>
          <w:tcPr>
            <w:tcW w:w="2240" w:type="dxa"/>
            <w:vAlign w:val="bottom"/>
          </w:tcPr>
          <w:p>
            <w:pPr>
              <w:jc w:val="right"/>
              <w:ind w:right="20"/>
              <w:spacing w:after="0"/>
              <w:rPr>
                <w:sz w:val="20"/>
                <w:szCs w:val="20"/>
                <w:color w:val="auto"/>
              </w:rPr>
            </w:pPr>
            <w:r>
              <w:rPr>
                <w:rFonts w:ascii="Arial" w:cs="Arial" w:eastAsia="Arial" w:hAnsi="Arial"/>
                <w:sz w:val="16"/>
                <w:szCs w:val="16"/>
                <w:color w:val="auto"/>
              </w:rPr>
              <w:t>12,500</w:t>
            </w:r>
          </w:p>
        </w:tc>
      </w:tr>
      <w:tr>
        <w:trPr>
          <w:trHeight w:val="251"/>
        </w:trPr>
        <w:tc>
          <w:tcPr>
            <w:tcW w:w="6740" w:type="dxa"/>
            <w:vAlign w:val="bottom"/>
            <w:shd w:val="clear" w:color="auto" w:fill="D9D9D9"/>
          </w:tcPr>
          <w:p>
            <w:pPr>
              <w:ind w:left="240"/>
              <w:spacing w:after="0"/>
              <w:rPr>
                <w:sz w:val="20"/>
                <w:szCs w:val="20"/>
                <w:color w:val="auto"/>
              </w:rPr>
            </w:pPr>
            <w:r>
              <w:rPr>
                <w:rFonts w:ascii="Arial" w:cs="Arial" w:eastAsia="Arial" w:hAnsi="Arial"/>
                <w:sz w:val="16"/>
                <w:szCs w:val="16"/>
                <w:color w:val="auto"/>
              </w:rPr>
              <w:t>Compensation &amp; Human Resources Committee Member</w:t>
            </w:r>
          </w:p>
        </w:tc>
        <w:tc>
          <w:tcPr>
            <w:tcW w:w="2240" w:type="dxa"/>
            <w:vAlign w:val="bottom"/>
            <w:shd w:val="clear" w:color="auto" w:fill="D9D9D9"/>
          </w:tcPr>
          <w:p>
            <w:pPr>
              <w:jc w:val="right"/>
              <w:ind w:right="20"/>
              <w:spacing w:after="0"/>
              <w:rPr>
                <w:sz w:val="20"/>
                <w:szCs w:val="20"/>
                <w:color w:val="auto"/>
              </w:rPr>
            </w:pPr>
            <w:r>
              <w:rPr>
                <w:rFonts w:ascii="Arial" w:cs="Arial" w:eastAsia="Arial" w:hAnsi="Arial"/>
                <w:sz w:val="16"/>
                <w:szCs w:val="16"/>
                <w:color w:val="auto"/>
              </w:rPr>
              <w:t>7,000</w:t>
            </w:r>
          </w:p>
        </w:tc>
      </w:tr>
      <w:tr>
        <w:trPr>
          <w:trHeight w:val="235"/>
        </w:trPr>
        <w:tc>
          <w:tcPr>
            <w:tcW w:w="6740" w:type="dxa"/>
            <w:vAlign w:val="bottom"/>
          </w:tcPr>
          <w:p>
            <w:pPr>
              <w:ind w:left="240"/>
              <w:spacing w:after="0"/>
              <w:rPr>
                <w:sz w:val="20"/>
                <w:szCs w:val="20"/>
                <w:color w:val="auto"/>
              </w:rPr>
            </w:pPr>
            <w:r>
              <w:rPr>
                <w:rFonts w:ascii="Arial" w:cs="Arial" w:eastAsia="Arial" w:hAnsi="Arial"/>
                <w:sz w:val="16"/>
                <w:szCs w:val="16"/>
                <w:color w:val="auto"/>
              </w:rPr>
              <w:t>Nominating &amp; Governance Committee Member</w:t>
            </w:r>
          </w:p>
        </w:tc>
        <w:tc>
          <w:tcPr>
            <w:tcW w:w="2240" w:type="dxa"/>
            <w:vAlign w:val="bottom"/>
          </w:tcPr>
          <w:p>
            <w:pPr>
              <w:jc w:val="right"/>
              <w:ind w:right="20"/>
              <w:spacing w:after="0"/>
              <w:rPr>
                <w:sz w:val="20"/>
                <w:szCs w:val="20"/>
                <w:color w:val="auto"/>
              </w:rPr>
            </w:pPr>
            <w:r>
              <w:rPr>
                <w:rFonts w:ascii="Arial" w:cs="Arial" w:eastAsia="Arial" w:hAnsi="Arial"/>
                <w:sz w:val="16"/>
                <w:szCs w:val="16"/>
                <w:color w:val="auto"/>
              </w:rPr>
              <w:t>6,000</w:t>
            </w:r>
          </w:p>
        </w:tc>
      </w:tr>
      <w:tr>
        <w:trPr>
          <w:trHeight w:val="251"/>
        </w:trPr>
        <w:tc>
          <w:tcPr>
            <w:tcW w:w="6740" w:type="dxa"/>
            <w:vAlign w:val="bottom"/>
            <w:shd w:val="clear" w:color="auto" w:fill="D9D9D9"/>
          </w:tcPr>
          <w:p>
            <w:pPr>
              <w:ind w:left="240"/>
              <w:spacing w:after="0"/>
              <w:rPr>
                <w:sz w:val="20"/>
                <w:szCs w:val="20"/>
                <w:color w:val="auto"/>
              </w:rPr>
            </w:pPr>
            <w:r>
              <w:rPr>
                <w:rFonts w:ascii="Arial" w:cs="Arial" w:eastAsia="Arial" w:hAnsi="Arial"/>
                <w:sz w:val="16"/>
                <w:szCs w:val="16"/>
                <w:color w:val="auto"/>
              </w:rPr>
              <w:t>Finance Committee Member</w:t>
            </w:r>
          </w:p>
        </w:tc>
        <w:tc>
          <w:tcPr>
            <w:tcW w:w="2240" w:type="dxa"/>
            <w:vAlign w:val="bottom"/>
            <w:shd w:val="clear" w:color="auto" w:fill="D9D9D9"/>
          </w:tcPr>
          <w:p>
            <w:pPr>
              <w:jc w:val="right"/>
              <w:ind w:right="20"/>
              <w:spacing w:after="0"/>
              <w:rPr>
                <w:sz w:val="20"/>
                <w:szCs w:val="20"/>
                <w:color w:val="auto"/>
              </w:rPr>
            </w:pPr>
            <w:r>
              <w:rPr>
                <w:rFonts w:ascii="Arial" w:cs="Arial" w:eastAsia="Arial" w:hAnsi="Arial"/>
                <w:sz w:val="16"/>
                <w:szCs w:val="16"/>
                <w:color w:val="auto"/>
              </w:rPr>
              <w:t>6,000</w:t>
            </w:r>
          </w:p>
        </w:tc>
      </w:tr>
      <w:tr>
        <w:trPr>
          <w:trHeight w:val="235"/>
        </w:trPr>
        <w:tc>
          <w:tcPr>
            <w:tcW w:w="6740" w:type="dxa"/>
            <w:vAlign w:val="bottom"/>
          </w:tcPr>
          <w:p>
            <w:pPr>
              <w:spacing w:after="0"/>
              <w:rPr>
                <w:sz w:val="20"/>
                <w:szCs w:val="20"/>
                <w:color w:val="auto"/>
              </w:rPr>
            </w:pPr>
            <w:r>
              <w:rPr>
                <w:rFonts w:ascii="Arial" w:cs="Arial" w:eastAsia="Arial" w:hAnsi="Arial"/>
                <w:sz w:val="16"/>
                <w:szCs w:val="16"/>
                <w:color w:val="auto"/>
              </w:rPr>
              <w:t>Annual Lead Independent Director and Committee Chair Additional Retainers</w:t>
            </w:r>
          </w:p>
        </w:tc>
        <w:tc>
          <w:tcPr>
            <w:tcW w:w="2240" w:type="dxa"/>
            <w:vAlign w:val="bottom"/>
          </w:tcPr>
          <w:p>
            <w:pPr>
              <w:spacing w:after="0"/>
              <w:rPr>
                <w:sz w:val="20"/>
                <w:szCs w:val="20"/>
                <w:color w:val="auto"/>
              </w:rPr>
            </w:pPr>
          </w:p>
        </w:tc>
      </w:tr>
      <w:tr>
        <w:trPr>
          <w:trHeight w:val="251"/>
        </w:trPr>
        <w:tc>
          <w:tcPr>
            <w:tcW w:w="6740" w:type="dxa"/>
            <w:vAlign w:val="bottom"/>
            <w:shd w:val="clear" w:color="auto" w:fill="D9D9D9"/>
          </w:tcPr>
          <w:p>
            <w:pPr>
              <w:ind w:left="240"/>
              <w:spacing w:after="0"/>
              <w:rPr>
                <w:sz w:val="20"/>
                <w:szCs w:val="20"/>
                <w:color w:val="auto"/>
              </w:rPr>
            </w:pPr>
            <w:r>
              <w:rPr>
                <w:rFonts w:ascii="Arial" w:cs="Arial" w:eastAsia="Arial" w:hAnsi="Arial"/>
                <w:sz w:val="16"/>
                <w:szCs w:val="16"/>
                <w:color w:val="auto"/>
              </w:rPr>
              <w:t>Lead Independent Director</w:t>
            </w:r>
          </w:p>
        </w:tc>
        <w:tc>
          <w:tcPr>
            <w:tcW w:w="2240" w:type="dxa"/>
            <w:vAlign w:val="bottom"/>
            <w:shd w:val="clear" w:color="auto" w:fill="D9D9D9"/>
          </w:tcPr>
          <w:p>
            <w:pPr>
              <w:jc w:val="right"/>
              <w:ind w:right="20"/>
              <w:spacing w:after="0"/>
              <w:rPr>
                <w:sz w:val="20"/>
                <w:szCs w:val="20"/>
                <w:color w:val="auto"/>
              </w:rPr>
            </w:pPr>
            <w:r>
              <w:rPr>
                <w:rFonts w:ascii="Arial" w:cs="Arial" w:eastAsia="Arial" w:hAnsi="Arial"/>
                <w:sz w:val="16"/>
                <w:szCs w:val="16"/>
                <w:color w:val="auto"/>
              </w:rPr>
              <w:t>30,000</w:t>
            </w:r>
          </w:p>
        </w:tc>
      </w:tr>
      <w:tr>
        <w:trPr>
          <w:trHeight w:val="235"/>
        </w:trPr>
        <w:tc>
          <w:tcPr>
            <w:tcW w:w="6740" w:type="dxa"/>
            <w:vAlign w:val="bottom"/>
          </w:tcPr>
          <w:p>
            <w:pPr>
              <w:ind w:left="240"/>
              <w:spacing w:after="0"/>
              <w:rPr>
                <w:sz w:val="20"/>
                <w:szCs w:val="20"/>
                <w:color w:val="auto"/>
              </w:rPr>
            </w:pPr>
            <w:r>
              <w:rPr>
                <w:rFonts w:ascii="Arial" w:cs="Arial" w:eastAsia="Arial" w:hAnsi="Arial"/>
                <w:sz w:val="16"/>
                <w:szCs w:val="16"/>
                <w:color w:val="auto"/>
              </w:rPr>
              <w:t>Audit Committee Chair</w:t>
            </w:r>
          </w:p>
        </w:tc>
        <w:tc>
          <w:tcPr>
            <w:tcW w:w="2240" w:type="dxa"/>
            <w:vAlign w:val="bottom"/>
          </w:tcPr>
          <w:p>
            <w:pPr>
              <w:jc w:val="right"/>
              <w:ind w:right="20"/>
              <w:spacing w:after="0"/>
              <w:rPr>
                <w:sz w:val="20"/>
                <w:szCs w:val="20"/>
                <w:color w:val="auto"/>
              </w:rPr>
            </w:pPr>
            <w:r>
              <w:rPr>
                <w:rFonts w:ascii="Arial" w:cs="Arial" w:eastAsia="Arial" w:hAnsi="Arial"/>
                <w:sz w:val="16"/>
                <w:szCs w:val="16"/>
                <w:color w:val="auto"/>
              </w:rPr>
              <w:t>20,000</w:t>
            </w:r>
          </w:p>
        </w:tc>
      </w:tr>
      <w:tr>
        <w:trPr>
          <w:trHeight w:val="251"/>
        </w:trPr>
        <w:tc>
          <w:tcPr>
            <w:tcW w:w="6740" w:type="dxa"/>
            <w:vAlign w:val="bottom"/>
            <w:shd w:val="clear" w:color="auto" w:fill="D9D9D9"/>
          </w:tcPr>
          <w:p>
            <w:pPr>
              <w:ind w:left="240"/>
              <w:spacing w:after="0"/>
              <w:rPr>
                <w:sz w:val="20"/>
                <w:szCs w:val="20"/>
                <w:color w:val="auto"/>
              </w:rPr>
            </w:pPr>
            <w:r>
              <w:rPr>
                <w:rFonts w:ascii="Arial" w:cs="Arial" w:eastAsia="Arial" w:hAnsi="Arial"/>
                <w:sz w:val="16"/>
                <w:szCs w:val="16"/>
                <w:color w:val="auto"/>
              </w:rPr>
              <w:t>Compensation &amp; Human Resources Committee Chair</w:t>
            </w:r>
          </w:p>
        </w:tc>
        <w:tc>
          <w:tcPr>
            <w:tcW w:w="2240" w:type="dxa"/>
            <w:vAlign w:val="bottom"/>
            <w:shd w:val="clear" w:color="auto" w:fill="D9D9D9"/>
          </w:tcPr>
          <w:p>
            <w:pPr>
              <w:jc w:val="right"/>
              <w:ind w:right="20"/>
              <w:spacing w:after="0"/>
              <w:rPr>
                <w:sz w:val="20"/>
                <w:szCs w:val="20"/>
                <w:color w:val="auto"/>
              </w:rPr>
            </w:pPr>
            <w:r>
              <w:rPr>
                <w:rFonts w:ascii="Arial" w:cs="Arial" w:eastAsia="Arial" w:hAnsi="Arial"/>
                <w:sz w:val="16"/>
                <w:szCs w:val="16"/>
                <w:color w:val="auto"/>
              </w:rPr>
              <w:t>12,000</w:t>
            </w:r>
          </w:p>
        </w:tc>
      </w:tr>
      <w:tr>
        <w:trPr>
          <w:trHeight w:val="235"/>
        </w:trPr>
        <w:tc>
          <w:tcPr>
            <w:tcW w:w="6740" w:type="dxa"/>
            <w:vAlign w:val="bottom"/>
          </w:tcPr>
          <w:p>
            <w:pPr>
              <w:ind w:left="240"/>
              <w:spacing w:after="0"/>
              <w:rPr>
                <w:sz w:val="20"/>
                <w:szCs w:val="20"/>
                <w:color w:val="auto"/>
              </w:rPr>
            </w:pPr>
            <w:r>
              <w:rPr>
                <w:rFonts w:ascii="Arial" w:cs="Arial" w:eastAsia="Arial" w:hAnsi="Arial"/>
                <w:sz w:val="16"/>
                <w:szCs w:val="16"/>
                <w:color w:val="auto"/>
              </w:rPr>
              <w:t>Nominating &amp; Governance Committee Chair</w:t>
            </w:r>
          </w:p>
        </w:tc>
        <w:tc>
          <w:tcPr>
            <w:tcW w:w="2240" w:type="dxa"/>
            <w:vAlign w:val="bottom"/>
          </w:tcPr>
          <w:p>
            <w:pPr>
              <w:jc w:val="right"/>
              <w:ind w:right="20"/>
              <w:spacing w:after="0"/>
              <w:rPr>
                <w:sz w:val="20"/>
                <w:szCs w:val="20"/>
                <w:color w:val="auto"/>
              </w:rPr>
            </w:pPr>
            <w:r>
              <w:rPr>
                <w:rFonts w:ascii="Arial" w:cs="Arial" w:eastAsia="Arial" w:hAnsi="Arial"/>
                <w:sz w:val="16"/>
                <w:szCs w:val="16"/>
                <w:color w:val="auto"/>
              </w:rPr>
              <w:t>7,500</w:t>
            </w:r>
          </w:p>
        </w:tc>
      </w:tr>
      <w:tr>
        <w:trPr>
          <w:trHeight w:val="251"/>
        </w:trPr>
        <w:tc>
          <w:tcPr>
            <w:tcW w:w="6740" w:type="dxa"/>
            <w:vAlign w:val="bottom"/>
            <w:shd w:val="clear" w:color="auto" w:fill="D9D9D9"/>
          </w:tcPr>
          <w:p>
            <w:pPr>
              <w:ind w:left="240"/>
              <w:spacing w:after="0"/>
              <w:rPr>
                <w:sz w:val="20"/>
                <w:szCs w:val="20"/>
                <w:color w:val="auto"/>
              </w:rPr>
            </w:pPr>
            <w:r>
              <w:rPr>
                <w:rFonts w:ascii="Arial" w:cs="Arial" w:eastAsia="Arial" w:hAnsi="Arial"/>
                <w:sz w:val="16"/>
                <w:szCs w:val="16"/>
                <w:color w:val="auto"/>
              </w:rPr>
              <w:t>Finance Committee Chair</w:t>
            </w:r>
          </w:p>
        </w:tc>
        <w:tc>
          <w:tcPr>
            <w:tcW w:w="2240" w:type="dxa"/>
            <w:vAlign w:val="bottom"/>
            <w:shd w:val="clear" w:color="auto" w:fill="D9D9D9"/>
          </w:tcPr>
          <w:p>
            <w:pPr>
              <w:jc w:val="right"/>
              <w:ind w:right="20"/>
              <w:spacing w:after="0"/>
              <w:rPr>
                <w:sz w:val="20"/>
                <w:szCs w:val="20"/>
                <w:color w:val="auto"/>
              </w:rPr>
            </w:pPr>
            <w:r>
              <w:rPr>
                <w:rFonts w:ascii="Arial" w:cs="Arial" w:eastAsia="Arial" w:hAnsi="Arial"/>
                <w:sz w:val="16"/>
                <w:szCs w:val="16"/>
                <w:color w:val="auto"/>
              </w:rPr>
              <w:t>7,500</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summarizes the key characteristics of the elements of our non-employee director compensation program:</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bottom w:val="single" w:sz="8" w:color="C00000"/>
            </w:tcBorders>
            <w:shd w:val="clear" w:color="auto" w:fill="C00000"/>
          </w:tcPr>
          <w:p>
            <w:pPr>
              <w:spacing w:after="0"/>
              <w:rPr>
                <w:sz w:val="20"/>
                <w:szCs w:val="20"/>
                <w:color w:val="auto"/>
              </w:rPr>
            </w:pPr>
            <w:r>
              <w:rPr>
                <w:rFonts w:ascii="Arial" w:cs="Arial" w:eastAsia="Arial" w:hAnsi="Arial"/>
                <w:sz w:val="14"/>
                <w:szCs w:val="14"/>
                <w:b w:val="1"/>
                <w:bCs w:val="1"/>
                <w:color w:val="FFFFFF"/>
              </w:rPr>
              <w:t>Element</w:t>
            </w:r>
          </w:p>
        </w:tc>
        <w:tc>
          <w:tcPr>
            <w:tcW w:w="9800" w:type="dxa"/>
            <w:vAlign w:val="bottom"/>
            <w:tcBorders>
              <w:bottom w:val="single" w:sz="8" w:color="C00000"/>
            </w:tcBorders>
            <w:shd w:val="clear" w:color="auto" w:fill="C00000"/>
          </w:tcPr>
          <w:p>
            <w:pPr>
              <w:ind w:left="4320"/>
              <w:spacing w:after="0"/>
              <w:rPr>
                <w:sz w:val="20"/>
                <w:szCs w:val="20"/>
                <w:color w:val="auto"/>
              </w:rPr>
            </w:pPr>
            <w:r>
              <w:rPr>
                <w:rFonts w:ascii="Arial" w:cs="Arial" w:eastAsia="Arial" w:hAnsi="Arial"/>
                <w:sz w:val="14"/>
                <w:szCs w:val="14"/>
                <w:b w:val="1"/>
                <w:bCs w:val="1"/>
                <w:color w:val="FFFFFF"/>
              </w:rPr>
              <w:t>Key Characteristics</w:t>
            </w:r>
          </w:p>
        </w:tc>
      </w:tr>
      <w:tr>
        <w:trPr>
          <w:trHeight w:val="188"/>
        </w:trPr>
        <w:tc>
          <w:tcPr>
            <w:tcW w:w="1440" w:type="dxa"/>
            <w:vAlign w:val="bottom"/>
          </w:tcPr>
          <w:p>
            <w:pPr>
              <w:spacing w:after="0"/>
              <w:rPr>
                <w:sz w:val="20"/>
                <w:szCs w:val="20"/>
                <w:color w:val="auto"/>
              </w:rPr>
            </w:pPr>
            <w:r>
              <w:rPr>
                <w:rFonts w:ascii="Arial" w:cs="Arial" w:eastAsia="Arial" w:hAnsi="Arial"/>
                <w:sz w:val="16"/>
                <w:szCs w:val="16"/>
                <w:color w:val="auto"/>
              </w:rPr>
              <w:t>Annual Retainers</w:t>
            </w:r>
          </w:p>
        </w:tc>
        <w:tc>
          <w:tcPr>
            <w:tcW w:w="9800" w:type="dxa"/>
            <w:vAlign w:val="bottom"/>
          </w:tcPr>
          <w:p>
            <w:pPr>
              <w:ind w:left="180"/>
              <w:spacing w:after="0"/>
              <w:rPr>
                <w:sz w:val="20"/>
                <w:szCs w:val="20"/>
                <w:color w:val="auto"/>
              </w:rPr>
            </w:pPr>
            <w:r>
              <w:rPr>
                <w:rFonts w:ascii="Arial" w:cs="Arial" w:eastAsia="Arial" w:hAnsi="Arial"/>
                <w:sz w:val="16"/>
                <w:szCs w:val="16"/>
                <w:color w:val="auto"/>
              </w:rPr>
              <w:t>Each Board and committee member, committee chair and the Lead Independent Director receives annual retainers for their respective</w:t>
            </w:r>
          </w:p>
        </w:tc>
      </w:tr>
      <w:tr>
        <w:trPr>
          <w:trHeight w:val="222"/>
        </w:trPr>
        <w:tc>
          <w:tcPr>
            <w:tcW w:w="1440" w:type="dxa"/>
            <w:vAlign w:val="bottom"/>
          </w:tcPr>
          <w:p>
            <w:pPr>
              <w:spacing w:after="0"/>
              <w:rPr>
                <w:sz w:val="19"/>
                <w:szCs w:val="19"/>
                <w:color w:val="auto"/>
              </w:rPr>
            </w:pPr>
          </w:p>
        </w:tc>
        <w:tc>
          <w:tcPr>
            <w:tcW w:w="9800" w:type="dxa"/>
            <w:vAlign w:val="bottom"/>
          </w:tcPr>
          <w:p>
            <w:pPr>
              <w:ind w:left="180"/>
              <w:spacing w:after="0"/>
              <w:rPr>
                <w:sz w:val="20"/>
                <w:szCs w:val="20"/>
                <w:color w:val="auto"/>
              </w:rPr>
            </w:pPr>
            <w:r>
              <w:rPr>
                <w:rFonts w:ascii="Arial" w:cs="Arial" w:eastAsia="Arial" w:hAnsi="Arial"/>
                <w:sz w:val="16"/>
                <w:szCs w:val="16"/>
                <w:color w:val="auto"/>
              </w:rPr>
              <w:t>service on our Board. These retainers are paid quarterly.</w:t>
            </w:r>
          </w:p>
        </w:tc>
      </w:tr>
      <w:tr>
        <w:trPr>
          <w:trHeight w:val="196"/>
        </w:trPr>
        <w:tc>
          <w:tcPr>
            <w:tcW w:w="1440" w:type="dxa"/>
            <w:vAlign w:val="bottom"/>
            <w:shd w:val="clear" w:color="auto" w:fill="D9D9D9"/>
          </w:tcPr>
          <w:p>
            <w:pPr>
              <w:spacing w:after="0"/>
              <w:rPr>
                <w:sz w:val="20"/>
                <w:szCs w:val="20"/>
                <w:color w:val="auto"/>
              </w:rPr>
            </w:pPr>
            <w:r>
              <w:rPr>
                <w:rFonts w:ascii="Arial" w:cs="Arial" w:eastAsia="Arial" w:hAnsi="Arial"/>
                <w:sz w:val="16"/>
                <w:szCs w:val="16"/>
                <w:color w:val="auto"/>
              </w:rPr>
              <w:t>Stock Awards</w:t>
            </w:r>
          </w:p>
        </w:tc>
        <w:tc>
          <w:tcPr>
            <w:tcW w:w="9800" w:type="dxa"/>
            <w:vAlign w:val="bottom"/>
            <w:shd w:val="clear" w:color="auto" w:fill="D9D9D9"/>
          </w:tcPr>
          <w:p>
            <w:pPr>
              <w:ind w:left="180"/>
              <w:spacing w:after="0"/>
              <w:rPr>
                <w:sz w:val="20"/>
                <w:szCs w:val="20"/>
                <w:color w:val="auto"/>
              </w:rPr>
            </w:pPr>
            <w:r>
              <w:rPr>
                <w:rFonts w:ascii="Arial" w:cs="Arial" w:eastAsia="Arial" w:hAnsi="Arial"/>
                <w:sz w:val="16"/>
                <w:szCs w:val="16"/>
                <w:color w:val="auto"/>
              </w:rPr>
              <w:t>On the first business day of our fiscal year, a stock award is automatically granted to each non-employee director under our then</w:t>
            </w:r>
          </w:p>
        </w:tc>
      </w:tr>
      <w:tr>
        <w:trPr>
          <w:trHeight w:val="189"/>
        </w:trPr>
        <w:tc>
          <w:tcPr>
            <w:tcW w:w="1440" w:type="dxa"/>
            <w:vAlign w:val="bottom"/>
            <w:shd w:val="clear" w:color="auto" w:fill="D9D9D9"/>
          </w:tcPr>
          <w:p>
            <w:pPr>
              <w:spacing w:after="0"/>
              <w:rPr>
                <w:sz w:val="16"/>
                <w:szCs w:val="16"/>
                <w:color w:val="auto"/>
              </w:rPr>
            </w:pPr>
          </w:p>
        </w:tc>
        <w:tc>
          <w:tcPr>
            <w:tcW w:w="9800" w:type="dxa"/>
            <w:vAlign w:val="bottom"/>
            <w:shd w:val="clear" w:color="auto" w:fill="D9D9D9"/>
          </w:tcPr>
          <w:p>
            <w:pPr>
              <w:ind w:left="180"/>
              <w:spacing w:after="0"/>
              <w:rPr>
                <w:sz w:val="20"/>
                <w:szCs w:val="20"/>
                <w:color w:val="auto"/>
              </w:rPr>
            </w:pPr>
            <w:r>
              <w:rPr>
                <w:rFonts w:ascii="Arial" w:cs="Arial" w:eastAsia="Arial" w:hAnsi="Arial"/>
                <w:sz w:val="16"/>
                <w:szCs w:val="16"/>
                <w:color w:val="auto"/>
              </w:rPr>
              <w:t>current shareholder-approved plan. The stock award is determined by dividing the stock award value by the average of the closing</w:t>
            </w:r>
          </w:p>
        </w:tc>
      </w:tr>
      <w:tr>
        <w:trPr>
          <w:trHeight w:val="230"/>
        </w:trPr>
        <w:tc>
          <w:tcPr>
            <w:tcW w:w="1440" w:type="dxa"/>
            <w:vAlign w:val="bottom"/>
            <w:shd w:val="clear" w:color="auto" w:fill="D9D9D9"/>
          </w:tcPr>
          <w:p>
            <w:pPr>
              <w:spacing w:after="0"/>
              <w:rPr>
                <w:sz w:val="20"/>
                <w:szCs w:val="20"/>
                <w:color w:val="auto"/>
              </w:rPr>
            </w:pPr>
          </w:p>
        </w:tc>
        <w:tc>
          <w:tcPr>
            <w:tcW w:w="9800" w:type="dxa"/>
            <w:vAlign w:val="bottom"/>
            <w:shd w:val="clear" w:color="auto" w:fill="D9D9D9"/>
          </w:tcPr>
          <w:p>
            <w:pPr>
              <w:ind w:left="180"/>
              <w:spacing w:after="0"/>
              <w:rPr>
                <w:sz w:val="20"/>
                <w:szCs w:val="20"/>
                <w:color w:val="auto"/>
              </w:rPr>
            </w:pPr>
            <w:r>
              <w:rPr>
                <w:rFonts w:ascii="Arial" w:cs="Arial" w:eastAsia="Arial" w:hAnsi="Arial"/>
                <w:sz w:val="16"/>
                <w:szCs w:val="16"/>
                <w:color w:val="auto"/>
              </w:rPr>
              <w:t>prices of our common stock during the three months prior to the grant. The shares are fully vested at the time of grant.</w:t>
            </w:r>
          </w:p>
        </w:tc>
      </w:tr>
    </w:tbl>
    <w:p>
      <w:pPr>
        <w:ind w:left="1620" w:right="40" w:hanging="1618"/>
        <w:spacing w:after="0" w:line="259" w:lineRule="auto"/>
        <w:rPr>
          <w:sz w:val="20"/>
          <w:szCs w:val="20"/>
          <w:color w:val="auto"/>
        </w:rPr>
      </w:pPr>
      <w:r>
        <w:rPr>
          <w:rFonts w:ascii="Arial" w:cs="Arial" w:eastAsia="Arial" w:hAnsi="Arial"/>
          <w:sz w:val="16"/>
          <w:szCs w:val="16"/>
          <w:color w:val="auto"/>
        </w:rPr>
        <w:t>Stock Option Awards On the first business day of our fiscal year, a stock option to purchase shares of our common stock is automatically granted to each non-employee director under our then current shareholder-approved plan. The stock option award is determined by dividing the stock option award value by the grant date fair value of a stock option to purchase one share of our common stock. See below for additional information regarding vesting of stock option grants.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20" w:type="dxa"/>
            <w:vAlign w:val="bottom"/>
            <w:shd w:val="clear" w:color="auto" w:fill="D9D9D9"/>
          </w:tcPr>
          <w:p>
            <w:pPr>
              <w:spacing w:after="0"/>
              <w:rPr>
                <w:sz w:val="20"/>
                <w:szCs w:val="20"/>
                <w:color w:val="auto"/>
              </w:rPr>
            </w:pPr>
            <w:r>
              <w:rPr>
                <w:rFonts w:ascii="Arial" w:cs="Arial" w:eastAsia="Arial" w:hAnsi="Arial"/>
                <w:sz w:val="16"/>
                <w:szCs w:val="16"/>
                <w:color w:val="auto"/>
              </w:rPr>
              <w:t>Common Stock</w:t>
            </w:r>
          </w:p>
        </w:tc>
        <w:tc>
          <w:tcPr>
            <w:tcW w:w="9720" w:type="dxa"/>
            <w:vAlign w:val="bottom"/>
            <w:shd w:val="clear" w:color="auto" w:fill="D9D9D9"/>
          </w:tcPr>
          <w:p>
            <w:pPr>
              <w:ind w:left="100"/>
              <w:spacing w:after="0"/>
              <w:rPr>
                <w:sz w:val="20"/>
                <w:szCs w:val="20"/>
                <w:color w:val="auto"/>
              </w:rPr>
            </w:pPr>
            <w:r>
              <w:rPr>
                <w:rFonts w:ascii="Arial" w:cs="Arial" w:eastAsia="Arial" w:hAnsi="Arial"/>
                <w:sz w:val="16"/>
                <w:szCs w:val="16"/>
                <w:color w:val="auto"/>
              </w:rPr>
              <w:t>Our non-employee directors may elect to convert a portion or all of their calendar year annual retainers otherwise payable in cash into</w:t>
            </w:r>
          </w:p>
        </w:tc>
      </w:tr>
      <w:tr>
        <w:trPr>
          <w:trHeight w:val="189"/>
        </w:trPr>
        <w:tc>
          <w:tcPr>
            <w:tcW w:w="1520" w:type="dxa"/>
            <w:vAlign w:val="bottom"/>
            <w:shd w:val="clear" w:color="auto" w:fill="D9D9D9"/>
          </w:tcPr>
          <w:p>
            <w:pPr>
              <w:spacing w:after="0"/>
              <w:rPr>
                <w:sz w:val="20"/>
                <w:szCs w:val="20"/>
                <w:color w:val="auto"/>
              </w:rPr>
            </w:pPr>
            <w:r>
              <w:rPr>
                <w:rFonts w:ascii="Arial" w:cs="Arial" w:eastAsia="Arial" w:hAnsi="Arial"/>
                <w:sz w:val="16"/>
                <w:szCs w:val="16"/>
                <w:color w:val="auto"/>
              </w:rPr>
              <w:t>In Lieu of Annual</w:t>
            </w:r>
          </w:p>
        </w:tc>
        <w:tc>
          <w:tcPr>
            <w:tcW w:w="9720" w:type="dxa"/>
            <w:vAlign w:val="bottom"/>
            <w:shd w:val="clear" w:color="auto" w:fill="D9D9D9"/>
          </w:tcPr>
          <w:p>
            <w:pPr>
              <w:ind w:left="100"/>
              <w:spacing w:after="0"/>
              <w:rPr>
                <w:sz w:val="20"/>
                <w:szCs w:val="20"/>
                <w:color w:val="auto"/>
              </w:rPr>
            </w:pPr>
            <w:r>
              <w:rPr>
                <w:rFonts w:ascii="Arial" w:cs="Arial" w:eastAsia="Arial" w:hAnsi="Arial"/>
                <w:sz w:val="16"/>
                <w:szCs w:val="16"/>
                <w:color w:val="auto"/>
              </w:rPr>
              <w:t>shares of our common stock. Annual retainers earned after the date a director makes a stock-in-lieu of cash election for a calendar</w:t>
            </w:r>
          </w:p>
        </w:tc>
      </w:tr>
      <w:tr>
        <w:trPr>
          <w:trHeight w:val="189"/>
        </w:trPr>
        <w:tc>
          <w:tcPr>
            <w:tcW w:w="1520" w:type="dxa"/>
            <w:vAlign w:val="bottom"/>
            <w:shd w:val="clear" w:color="auto" w:fill="D9D9D9"/>
          </w:tcPr>
          <w:p>
            <w:pPr>
              <w:spacing w:after="0"/>
              <w:rPr>
                <w:sz w:val="20"/>
                <w:szCs w:val="20"/>
                <w:color w:val="auto"/>
              </w:rPr>
            </w:pPr>
            <w:r>
              <w:rPr>
                <w:rFonts w:ascii="Arial" w:cs="Arial" w:eastAsia="Arial" w:hAnsi="Arial"/>
                <w:sz w:val="16"/>
                <w:szCs w:val="16"/>
                <w:color w:val="auto"/>
              </w:rPr>
              <w:t>Retainers</w:t>
            </w:r>
          </w:p>
        </w:tc>
        <w:tc>
          <w:tcPr>
            <w:tcW w:w="9720" w:type="dxa"/>
            <w:vAlign w:val="bottom"/>
            <w:shd w:val="clear" w:color="auto" w:fill="D9D9D9"/>
          </w:tcPr>
          <w:p>
            <w:pPr>
              <w:ind w:left="100"/>
              <w:spacing w:after="0"/>
              <w:rPr>
                <w:sz w:val="20"/>
                <w:szCs w:val="20"/>
                <w:color w:val="auto"/>
              </w:rPr>
            </w:pPr>
            <w:r>
              <w:rPr>
                <w:rFonts w:ascii="Arial" w:cs="Arial" w:eastAsia="Arial" w:hAnsi="Arial"/>
                <w:sz w:val="16"/>
                <w:szCs w:val="16"/>
                <w:color w:val="auto"/>
              </w:rPr>
              <w:t>year are issued in shares of our common stock in December of that year, the number of which is determined by dividing the dollar</w:t>
            </w:r>
          </w:p>
        </w:tc>
      </w:tr>
      <w:tr>
        <w:trPr>
          <w:trHeight w:val="189"/>
        </w:trPr>
        <w:tc>
          <w:tcPr>
            <w:tcW w:w="1520" w:type="dxa"/>
            <w:vAlign w:val="bottom"/>
            <w:shd w:val="clear" w:color="auto" w:fill="D9D9D9"/>
          </w:tcPr>
          <w:p>
            <w:pPr>
              <w:spacing w:after="0"/>
              <w:rPr>
                <w:sz w:val="16"/>
                <w:szCs w:val="16"/>
                <w:color w:val="auto"/>
              </w:rPr>
            </w:pPr>
          </w:p>
        </w:tc>
        <w:tc>
          <w:tcPr>
            <w:tcW w:w="9720" w:type="dxa"/>
            <w:vAlign w:val="bottom"/>
            <w:shd w:val="clear" w:color="auto" w:fill="D9D9D9"/>
          </w:tcPr>
          <w:p>
            <w:pPr>
              <w:ind w:left="100"/>
              <w:spacing w:after="0"/>
              <w:rPr>
                <w:sz w:val="20"/>
                <w:szCs w:val="20"/>
                <w:color w:val="auto"/>
              </w:rPr>
            </w:pPr>
            <w:r>
              <w:rPr>
                <w:rFonts w:ascii="Arial" w:cs="Arial" w:eastAsia="Arial" w:hAnsi="Arial"/>
                <w:sz w:val="16"/>
                <w:szCs w:val="16"/>
                <w:color w:val="auto"/>
              </w:rPr>
              <w:t>amount of the annual retainers earned in the calendar year and elected to be converted into shares of our common stock by the</w:t>
            </w:r>
          </w:p>
        </w:tc>
      </w:tr>
      <w:tr>
        <w:trPr>
          <w:trHeight w:val="230"/>
        </w:trPr>
        <w:tc>
          <w:tcPr>
            <w:tcW w:w="1520" w:type="dxa"/>
            <w:vAlign w:val="bottom"/>
            <w:shd w:val="clear" w:color="auto" w:fill="D9D9D9"/>
          </w:tcPr>
          <w:p>
            <w:pPr>
              <w:spacing w:after="0"/>
              <w:rPr>
                <w:sz w:val="20"/>
                <w:szCs w:val="20"/>
                <w:color w:val="auto"/>
              </w:rPr>
            </w:pPr>
          </w:p>
        </w:tc>
        <w:tc>
          <w:tcPr>
            <w:tcW w:w="9720" w:type="dxa"/>
            <w:vAlign w:val="bottom"/>
            <w:shd w:val="clear" w:color="auto" w:fill="D9D9D9"/>
          </w:tcPr>
          <w:p>
            <w:pPr>
              <w:ind w:left="100"/>
              <w:spacing w:after="0"/>
              <w:rPr>
                <w:sz w:val="20"/>
                <w:szCs w:val="20"/>
                <w:color w:val="auto"/>
              </w:rPr>
            </w:pPr>
            <w:r>
              <w:rPr>
                <w:rFonts w:ascii="Arial" w:cs="Arial" w:eastAsia="Arial" w:hAnsi="Arial"/>
                <w:sz w:val="16"/>
                <w:szCs w:val="16"/>
                <w:color w:val="auto"/>
              </w:rPr>
              <w:t>closing price of our common stock on the date that the shares are issued.</w:t>
            </w:r>
          </w:p>
        </w:tc>
      </w:tr>
      <w:tr>
        <w:trPr>
          <w:trHeight w:val="188"/>
        </w:trPr>
        <w:tc>
          <w:tcPr>
            <w:tcW w:w="1520" w:type="dxa"/>
            <w:vAlign w:val="bottom"/>
          </w:tcPr>
          <w:p>
            <w:pPr>
              <w:spacing w:after="0"/>
              <w:rPr>
                <w:sz w:val="20"/>
                <w:szCs w:val="20"/>
                <w:color w:val="auto"/>
              </w:rPr>
            </w:pPr>
            <w:r>
              <w:rPr>
                <w:rFonts w:ascii="Arial" w:cs="Arial" w:eastAsia="Arial" w:hAnsi="Arial"/>
                <w:sz w:val="16"/>
                <w:szCs w:val="16"/>
                <w:color w:val="auto"/>
              </w:rPr>
              <w:t>Deferred</w:t>
            </w:r>
          </w:p>
        </w:tc>
        <w:tc>
          <w:tcPr>
            <w:tcW w:w="9720" w:type="dxa"/>
            <w:vAlign w:val="bottom"/>
          </w:tcPr>
          <w:p>
            <w:pPr>
              <w:ind w:left="100"/>
              <w:spacing w:after="0"/>
              <w:rPr>
                <w:sz w:val="20"/>
                <w:szCs w:val="20"/>
                <w:color w:val="auto"/>
              </w:rPr>
            </w:pPr>
            <w:r>
              <w:rPr>
                <w:rFonts w:ascii="Arial" w:cs="Arial" w:eastAsia="Arial" w:hAnsi="Arial"/>
                <w:sz w:val="16"/>
                <w:szCs w:val="16"/>
                <w:color w:val="auto"/>
              </w:rPr>
              <w:t>Non-employee directors may elect to defer receipt of all or a part of his or her stock award and/or cash compensation on a calendar</w:t>
            </w:r>
          </w:p>
        </w:tc>
      </w:tr>
      <w:tr>
        <w:trPr>
          <w:trHeight w:val="189"/>
        </w:trPr>
        <w:tc>
          <w:tcPr>
            <w:tcW w:w="1520" w:type="dxa"/>
            <w:vAlign w:val="bottom"/>
          </w:tcPr>
          <w:p>
            <w:pPr>
              <w:spacing w:after="0"/>
              <w:rPr>
                <w:sz w:val="20"/>
                <w:szCs w:val="20"/>
                <w:color w:val="auto"/>
              </w:rPr>
            </w:pPr>
            <w:r>
              <w:rPr>
                <w:rFonts w:ascii="Arial" w:cs="Arial" w:eastAsia="Arial" w:hAnsi="Arial"/>
                <w:sz w:val="16"/>
                <w:szCs w:val="16"/>
                <w:color w:val="auto"/>
              </w:rPr>
              <w:t>Compensation Plan</w:t>
            </w:r>
          </w:p>
        </w:tc>
        <w:tc>
          <w:tcPr>
            <w:tcW w:w="9720" w:type="dxa"/>
            <w:vAlign w:val="bottom"/>
          </w:tcPr>
          <w:p>
            <w:pPr>
              <w:ind w:left="100"/>
              <w:spacing w:after="0"/>
              <w:rPr>
                <w:sz w:val="20"/>
                <w:szCs w:val="20"/>
                <w:color w:val="auto"/>
              </w:rPr>
            </w:pPr>
            <w:r>
              <w:rPr>
                <w:rFonts w:ascii="Arial" w:cs="Arial" w:eastAsia="Arial" w:hAnsi="Arial"/>
                <w:sz w:val="16"/>
                <w:szCs w:val="16"/>
                <w:color w:val="auto"/>
              </w:rPr>
              <w:t>year basis under The Toro Company Deferred Compensation Plan for Non-Employee Directors, or the Deferred Plan for Directors.</w:t>
            </w:r>
          </w:p>
        </w:tc>
      </w:tr>
      <w:tr>
        <w:trPr>
          <w:trHeight w:val="189"/>
        </w:trPr>
        <w:tc>
          <w:tcPr>
            <w:tcW w:w="1520" w:type="dxa"/>
            <w:vAlign w:val="bottom"/>
          </w:tcPr>
          <w:p>
            <w:pPr>
              <w:spacing w:after="0"/>
              <w:rPr>
                <w:sz w:val="16"/>
                <w:szCs w:val="16"/>
                <w:color w:val="auto"/>
              </w:rPr>
            </w:pPr>
          </w:p>
        </w:tc>
        <w:tc>
          <w:tcPr>
            <w:tcW w:w="9720" w:type="dxa"/>
            <w:vAlign w:val="bottom"/>
          </w:tcPr>
          <w:p>
            <w:pPr>
              <w:ind w:left="100"/>
              <w:spacing w:after="0"/>
              <w:rPr>
                <w:sz w:val="20"/>
                <w:szCs w:val="20"/>
                <w:color w:val="auto"/>
              </w:rPr>
            </w:pPr>
            <w:r>
              <w:rPr>
                <w:rFonts w:ascii="Arial" w:cs="Arial" w:eastAsia="Arial" w:hAnsi="Arial"/>
                <w:sz w:val="16"/>
                <w:szCs w:val="16"/>
                <w:color w:val="auto"/>
              </w:rPr>
              <w:t>Because the value of a director’s deferred compensation account fluctuates, as applicable, based on the market value of our common</w:t>
            </w:r>
          </w:p>
        </w:tc>
      </w:tr>
      <w:tr>
        <w:trPr>
          <w:trHeight w:val="189"/>
        </w:trPr>
        <w:tc>
          <w:tcPr>
            <w:tcW w:w="1520" w:type="dxa"/>
            <w:vAlign w:val="bottom"/>
          </w:tcPr>
          <w:p>
            <w:pPr>
              <w:spacing w:after="0"/>
              <w:rPr>
                <w:sz w:val="16"/>
                <w:szCs w:val="16"/>
                <w:color w:val="auto"/>
              </w:rPr>
            </w:pPr>
          </w:p>
        </w:tc>
        <w:tc>
          <w:tcPr>
            <w:tcW w:w="9720" w:type="dxa"/>
            <w:vAlign w:val="bottom"/>
          </w:tcPr>
          <w:p>
            <w:pPr>
              <w:ind w:left="100"/>
              <w:spacing w:after="0"/>
              <w:rPr>
                <w:sz w:val="20"/>
                <w:szCs w:val="20"/>
                <w:color w:val="auto"/>
              </w:rPr>
            </w:pPr>
            <w:r>
              <w:rPr>
                <w:rFonts w:ascii="Arial" w:cs="Arial" w:eastAsia="Arial" w:hAnsi="Arial"/>
                <w:sz w:val="16"/>
                <w:szCs w:val="16"/>
                <w:color w:val="auto"/>
              </w:rPr>
              <w:t>stock or based on a rate of return on funds that are comparable to funds available in The Toro Company Retirement Plan, or</w:t>
            </w:r>
          </w:p>
        </w:tc>
      </w:tr>
      <w:tr>
        <w:trPr>
          <w:trHeight w:val="189"/>
        </w:trPr>
        <w:tc>
          <w:tcPr>
            <w:tcW w:w="1520" w:type="dxa"/>
            <w:vAlign w:val="bottom"/>
          </w:tcPr>
          <w:p>
            <w:pPr>
              <w:spacing w:after="0"/>
              <w:rPr>
                <w:sz w:val="16"/>
                <w:szCs w:val="16"/>
                <w:color w:val="auto"/>
              </w:rPr>
            </w:pPr>
          </w:p>
        </w:tc>
        <w:tc>
          <w:tcPr>
            <w:tcW w:w="9720" w:type="dxa"/>
            <w:vAlign w:val="bottom"/>
          </w:tcPr>
          <w:p>
            <w:pPr>
              <w:ind w:left="100"/>
              <w:spacing w:after="0"/>
              <w:rPr>
                <w:sz w:val="20"/>
                <w:szCs w:val="20"/>
                <w:color w:val="auto"/>
              </w:rPr>
            </w:pPr>
            <w:r>
              <w:rPr>
                <w:rFonts w:ascii="Arial" w:cs="Arial" w:eastAsia="Arial" w:hAnsi="Arial"/>
                <w:sz w:val="16"/>
                <w:szCs w:val="16"/>
                <w:color w:val="auto"/>
              </w:rPr>
              <w:t>Retirement Plan, earnings on deferred compensation are not preferential. Dividends paid on our common stock are credited to a</w:t>
            </w:r>
          </w:p>
        </w:tc>
      </w:tr>
      <w:tr>
        <w:trPr>
          <w:trHeight w:val="189"/>
        </w:trPr>
        <w:tc>
          <w:tcPr>
            <w:tcW w:w="1520" w:type="dxa"/>
            <w:vAlign w:val="bottom"/>
          </w:tcPr>
          <w:p>
            <w:pPr>
              <w:spacing w:after="0"/>
              <w:rPr>
                <w:sz w:val="16"/>
                <w:szCs w:val="16"/>
                <w:color w:val="auto"/>
              </w:rPr>
            </w:pPr>
          </w:p>
        </w:tc>
        <w:tc>
          <w:tcPr>
            <w:tcW w:w="9720" w:type="dxa"/>
            <w:vAlign w:val="bottom"/>
          </w:tcPr>
          <w:p>
            <w:pPr>
              <w:ind w:left="100"/>
              <w:spacing w:after="0"/>
              <w:rPr>
                <w:sz w:val="20"/>
                <w:szCs w:val="20"/>
                <w:color w:val="auto"/>
              </w:rPr>
            </w:pPr>
            <w:r>
              <w:rPr>
                <w:rFonts w:ascii="Arial" w:cs="Arial" w:eastAsia="Arial" w:hAnsi="Arial"/>
                <w:sz w:val="16"/>
                <w:szCs w:val="16"/>
                <w:color w:val="auto"/>
              </w:rPr>
              <w:t>director’s account as additional common stock units. A director is fully vested in his or her deferred compensation account.</w:t>
            </w:r>
          </w:p>
        </w:tc>
      </w:tr>
      <w:tr>
        <w:trPr>
          <w:trHeight w:val="189"/>
        </w:trPr>
        <w:tc>
          <w:tcPr>
            <w:tcW w:w="1520" w:type="dxa"/>
            <w:vAlign w:val="bottom"/>
          </w:tcPr>
          <w:p>
            <w:pPr>
              <w:spacing w:after="0"/>
              <w:rPr>
                <w:sz w:val="16"/>
                <w:szCs w:val="16"/>
                <w:color w:val="auto"/>
              </w:rPr>
            </w:pPr>
          </w:p>
        </w:tc>
        <w:tc>
          <w:tcPr>
            <w:tcW w:w="9720" w:type="dxa"/>
            <w:vAlign w:val="bottom"/>
          </w:tcPr>
          <w:p>
            <w:pPr>
              <w:ind w:left="100"/>
              <w:spacing w:after="0"/>
              <w:rPr>
                <w:sz w:val="20"/>
                <w:szCs w:val="20"/>
                <w:color w:val="auto"/>
              </w:rPr>
            </w:pPr>
            <w:r>
              <w:rPr>
                <w:rFonts w:ascii="Arial" w:cs="Arial" w:eastAsia="Arial" w:hAnsi="Arial"/>
                <w:sz w:val="16"/>
                <w:szCs w:val="16"/>
                <w:color w:val="auto"/>
              </w:rPr>
              <w:t>Distributions under the Deferred Plan for Directors are payable in accordance with the director participant’s prior distribution elections</w:t>
            </w:r>
          </w:p>
        </w:tc>
      </w:tr>
      <w:tr>
        <w:trPr>
          <w:trHeight w:val="222"/>
        </w:trPr>
        <w:tc>
          <w:tcPr>
            <w:tcW w:w="1520" w:type="dxa"/>
            <w:vAlign w:val="bottom"/>
          </w:tcPr>
          <w:p>
            <w:pPr>
              <w:spacing w:after="0"/>
              <w:rPr>
                <w:sz w:val="19"/>
                <w:szCs w:val="19"/>
                <w:color w:val="auto"/>
              </w:rPr>
            </w:pPr>
          </w:p>
        </w:tc>
        <w:tc>
          <w:tcPr>
            <w:tcW w:w="9720" w:type="dxa"/>
            <w:vAlign w:val="bottom"/>
          </w:tcPr>
          <w:p>
            <w:pPr>
              <w:ind w:left="100"/>
              <w:spacing w:after="0"/>
              <w:rPr>
                <w:sz w:val="20"/>
                <w:szCs w:val="20"/>
                <w:color w:val="auto"/>
              </w:rPr>
            </w:pPr>
            <w:r>
              <w:rPr>
                <w:rFonts w:ascii="Arial" w:cs="Arial" w:eastAsia="Arial" w:hAnsi="Arial"/>
                <w:sz w:val="16"/>
                <w:szCs w:val="16"/>
                <w:color w:val="auto"/>
              </w:rPr>
              <w:t>upon the earliest of retirement, prior to retirement if a valid election has been made or in an unforeseeable financial emergency.</w:t>
            </w:r>
          </w:p>
        </w:tc>
      </w:tr>
      <w:tr>
        <w:trPr>
          <w:trHeight w:val="196"/>
        </w:trPr>
        <w:tc>
          <w:tcPr>
            <w:tcW w:w="1520" w:type="dxa"/>
            <w:vAlign w:val="bottom"/>
            <w:shd w:val="clear" w:color="auto" w:fill="D9D9D9"/>
          </w:tcPr>
          <w:p>
            <w:pPr>
              <w:spacing w:after="0"/>
              <w:rPr>
                <w:sz w:val="20"/>
                <w:szCs w:val="20"/>
                <w:color w:val="auto"/>
              </w:rPr>
            </w:pPr>
            <w:r>
              <w:rPr>
                <w:rFonts w:ascii="Arial" w:cs="Arial" w:eastAsia="Arial" w:hAnsi="Arial"/>
                <w:sz w:val="16"/>
                <w:szCs w:val="16"/>
                <w:color w:val="auto"/>
              </w:rPr>
              <w:t>Company Products</w:t>
            </w:r>
          </w:p>
        </w:tc>
        <w:tc>
          <w:tcPr>
            <w:tcW w:w="9720" w:type="dxa"/>
            <w:vAlign w:val="bottom"/>
            <w:shd w:val="clear" w:color="auto" w:fill="D9D9D9"/>
          </w:tcPr>
          <w:p>
            <w:pPr>
              <w:ind w:left="100"/>
              <w:spacing w:after="0"/>
              <w:rPr>
                <w:sz w:val="20"/>
                <w:szCs w:val="20"/>
                <w:color w:val="auto"/>
              </w:rPr>
            </w:pPr>
            <w:r>
              <w:rPr>
                <w:rFonts w:ascii="Arial" w:cs="Arial" w:eastAsia="Arial" w:hAnsi="Arial"/>
                <w:sz w:val="16"/>
                <w:szCs w:val="16"/>
                <w:color w:val="auto"/>
              </w:rPr>
              <w:t>Each of our non-employee directors is entitled to receive certain Company products and related parts, service and accessories for his</w:t>
            </w:r>
          </w:p>
        </w:tc>
      </w:tr>
      <w:tr>
        <w:trPr>
          <w:trHeight w:val="189"/>
        </w:trPr>
        <w:tc>
          <w:tcPr>
            <w:tcW w:w="1520" w:type="dxa"/>
            <w:vAlign w:val="bottom"/>
            <w:shd w:val="clear" w:color="auto" w:fill="D9D9D9"/>
          </w:tcPr>
          <w:p>
            <w:pPr>
              <w:spacing w:after="0"/>
              <w:rPr>
                <w:sz w:val="16"/>
                <w:szCs w:val="16"/>
                <w:color w:val="auto"/>
              </w:rPr>
            </w:pPr>
          </w:p>
        </w:tc>
        <w:tc>
          <w:tcPr>
            <w:tcW w:w="9720" w:type="dxa"/>
            <w:vAlign w:val="bottom"/>
            <w:shd w:val="clear" w:color="auto" w:fill="D9D9D9"/>
          </w:tcPr>
          <w:p>
            <w:pPr>
              <w:ind w:left="100"/>
              <w:spacing w:after="0"/>
              <w:rPr>
                <w:sz w:val="20"/>
                <w:szCs w:val="20"/>
                <w:color w:val="auto"/>
              </w:rPr>
            </w:pPr>
            <w:r>
              <w:rPr>
                <w:rFonts w:ascii="Arial" w:cs="Arial" w:eastAsia="Arial" w:hAnsi="Arial"/>
                <w:sz w:val="16"/>
                <w:szCs w:val="16"/>
                <w:color w:val="auto"/>
              </w:rPr>
              <w:t>or her personal use, at no cost; provided, however, that directors are responsible for payment of applicable taxes attributable to the</w:t>
            </w:r>
          </w:p>
        </w:tc>
      </w:tr>
      <w:tr>
        <w:trPr>
          <w:trHeight w:val="189"/>
        </w:trPr>
        <w:tc>
          <w:tcPr>
            <w:tcW w:w="1520" w:type="dxa"/>
            <w:vAlign w:val="bottom"/>
            <w:shd w:val="clear" w:color="auto" w:fill="D9D9D9"/>
          </w:tcPr>
          <w:p>
            <w:pPr>
              <w:spacing w:after="0"/>
              <w:rPr>
                <w:sz w:val="16"/>
                <w:szCs w:val="16"/>
                <w:color w:val="auto"/>
              </w:rPr>
            </w:pPr>
          </w:p>
        </w:tc>
        <w:tc>
          <w:tcPr>
            <w:tcW w:w="9720" w:type="dxa"/>
            <w:vAlign w:val="bottom"/>
            <w:shd w:val="clear" w:color="auto" w:fill="D9D9D9"/>
          </w:tcPr>
          <w:p>
            <w:pPr>
              <w:ind w:left="100"/>
              <w:spacing w:after="0"/>
              <w:rPr>
                <w:sz w:val="20"/>
                <w:szCs w:val="20"/>
                <w:color w:val="auto"/>
              </w:rPr>
            </w:pPr>
            <w:r>
              <w:rPr>
                <w:rFonts w:ascii="Arial" w:cs="Arial" w:eastAsia="Arial" w:hAnsi="Arial"/>
                <w:sz w:val="16"/>
                <w:szCs w:val="16"/>
                <w:color w:val="auto"/>
              </w:rPr>
              <w:t>value of such items. The value of products, parts and accessories is deemed to be our distributor net price or its equivalent, which is</w:t>
            </w:r>
          </w:p>
        </w:tc>
      </w:tr>
      <w:tr>
        <w:trPr>
          <w:trHeight w:val="230"/>
        </w:trPr>
        <w:tc>
          <w:tcPr>
            <w:tcW w:w="1520" w:type="dxa"/>
            <w:vAlign w:val="bottom"/>
            <w:shd w:val="clear" w:color="auto" w:fill="D9D9D9"/>
          </w:tcPr>
          <w:p>
            <w:pPr>
              <w:spacing w:after="0"/>
              <w:rPr>
                <w:sz w:val="20"/>
                <w:szCs w:val="20"/>
                <w:color w:val="auto"/>
              </w:rPr>
            </w:pPr>
          </w:p>
        </w:tc>
        <w:tc>
          <w:tcPr>
            <w:tcW w:w="9720" w:type="dxa"/>
            <w:vAlign w:val="bottom"/>
            <w:shd w:val="clear" w:color="auto" w:fill="D9D9D9"/>
          </w:tcPr>
          <w:p>
            <w:pPr>
              <w:ind w:left="100"/>
              <w:spacing w:after="0"/>
              <w:rPr>
                <w:sz w:val="20"/>
                <w:szCs w:val="20"/>
                <w:color w:val="auto"/>
              </w:rPr>
            </w:pPr>
            <w:r>
              <w:rPr>
                <w:rFonts w:ascii="Arial" w:cs="Arial" w:eastAsia="Arial" w:hAnsi="Arial"/>
                <w:sz w:val="16"/>
                <w:szCs w:val="16"/>
                <w:color w:val="auto"/>
              </w:rPr>
              <w:t>also the price at which such items are generally available to our employees for purchase.</w:t>
            </w:r>
          </w:p>
        </w:tc>
      </w:tr>
      <w:tr>
        <w:trPr>
          <w:trHeight w:val="188"/>
        </w:trPr>
        <w:tc>
          <w:tcPr>
            <w:tcW w:w="1520" w:type="dxa"/>
            <w:vAlign w:val="bottom"/>
          </w:tcPr>
          <w:p>
            <w:pPr>
              <w:spacing w:after="0"/>
              <w:rPr>
                <w:sz w:val="20"/>
                <w:szCs w:val="20"/>
                <w:color w:val="auto"/>
              </w:rPr>
            </w:pPr>
            <w:r>
              <w:rPr>
                <w:rFonts w:ascii="Arial" w:cs="Arial" w:eastAsia="Arial" w:hAnsi="Arial"/>
                <w:sz w:val="16"/>
                <w:szCs w:val="16"/>
                <w:color w:val="auto"/>
              </w:rPr>
              <w:t>Charitable Giving</w:t>
            </w:r>
          </w:p>
        </w:tc>
        <w:tc>
          <w:tcPr>
            <w:tcW w:w="9720" w:type="dxa"/>
            <w:vAlign w:val="bottom"/>
          </w:tcPr>
          <w:p>
            <w:pPr>
              <w:ind w:left="100"/>
              <w:spacing w:after="0"/>
              <w:rPr>
                <w:sz w:val="20"/>
                <w:szCs w:val="20"/>
                <w:color w:val="auto"/>
              </w:rPr>
            </w:pPr>
            <w:r>
              <w:rPr>
                <w:rFonts w:ascii="Arial" w:cs="Arial" w:eastAsia="Arial" w:hAnsi="Arial"/>
                <w:sz w:val="16"/>
                <w:szCs w:val="16"/>
                <w:color w:val="auto"/>
              </w:rPr>
              <w:t>We offer a matching gift program for our non-employee directors, similar to the matching gift program offered to our employees, which</w:t>
            </w:r>
          </w:p>
        </w:tc>
      </w:tr>
      <w:tr>
        <w:trPr>
          <w:trHeight w:val="189"/>
        </w:trPr>
        <w:tc>
          <w:tcPr>
            <w:tcW w:w="1520" w:type="dxa"/>
            <w:vAlign w:val="bottom"/>
          </w:tcPr>
          <w:p>
            <w:pPr>
              <w:spacing w:after="0"/>
              <w:rPr>
                <w:sz w:val="16"/>
                <w:szCs w:val="16"/>
                <w:color w:val="auto"/>
              </w:rPr>
            </w:pPr>
          </w:p>
        </w:tc>
        <w:tc>
          <w:tcPr>
            <w:tcW w:w="9720" w:type="dxa"/>
            <w:vAlign w:val="bottom"/>
          </w:tcPr>
          <w:p>
            <w:pPr>
              <w:ind w:left="100"/>
              <w:spacing w:after="0"/>
              <w:rPr>
                <w:sz w:val="20"/>
                <w:szCs w:val="20"/>
                <w:color w:val="auto"/>
              </w:rPr>
            </w:pPr>
            <w:r>
              <w:rPr>
                <w:rFonts w:ascii="Arial" w:cs="Arial" w:eastAsia="Arial" w:hAnsi="Arial"/>
                <w:sz w:val="16"/>
                <w:szCs w:val="16"/>
                <w:color w:val="auto"/>
              </w:rPr>
              <w:t>provides that a gift or gifts by a director to one or more tax exempt 501(c)(3) charitable organizations located in the United States will</w:t>
            </w:r>
          </w:p>
        </w:tc>
      </w:tr>
      <w:tr>
        <w:trPr>
          <w:trHeight w:val="222"/>
        </w:trPr>
        <w:tc>
          <w:tcPr>
            <w:tcW w:w="1520" w:type="dxa"/>
            <w:vAlign w:val="bottom"/>
          </w:tcPr>
          <w:p>
            <w:pPr>
              <w:spacing w:after="0"/>
              <w:rPr>
                <w:sz w:val="19"/>
                <w:szCs w:val="19"/>
                <w:color w:val="auto"/>
              </w:rPr>
            </w:pPr>
          </w:p>
        </w:tc>
        <w:tc>
          <w:tcPr>
            <w:tcW w:w="9720" w:type="dxa"/>
            <w:vAlign w:val="bottom"/>
          </w:tcPr>
          <w:p>
            <w:pPr>
              <w:ind w:left="100"/>
              <w:spacing w:after="0"/>
              <w:rPr>
                <w:sz w:val="20"/>
                <w:szCs w:val="20"/>
                <w:color w:val="auto"/>
              </w:rPr>
            </w:pPr>
            <w:r>
              <w:rPr>
                <w:rFonts w:ascii="Arial" w:cs="Arial" w:eastAsia="Arial" w:hAnsi="Arial"/>
                <w:sz w:val="16"/>
                <w:szCs w:val="16"/>
                <w:color w:val="auto"/>
              </w:rPr>
              <w:t>be matched by us in an aggregate amount of up to $1,000 per director per year.</w:t>
            </w:r>
          </w:p>
        </w:tc>
      </w:tr>
      <w:tr>
        <w:trPr>
          <w:trHeight w:val="196"/>
        </w:trPr>
        <w:tc>
          <w:tcPr>
            <w:tcW w:w="1520" w:type="dxa"/>
            <w:vAlign w:val="bottom"/>
            <w:shd w:val="clear" w:color="auto" w:fill="D9D9D9"/>
          </w:tcPr>
          <w:p>
            <w:pPr>
              <w:spacing w:after="0"/>
              <w:rPr>
                <w:sz w:val="20"/>
                <w:szCs w:val="20"/>
                <w:color w:val="auto"/>
              </w:rPr>
            </w:pPr>
            <w:r>
              <w:rPr>
                <w:rFonts w:ascii="Arial" w:cs="Arial" w:eastAsia="Arial" w:hAnsi="Arial"/>
                <w:sz w:val="16"/>
                <w:szCs w:val="16"/>
                <w:color w:val="auto"/>
              </w:rPr>
              <w:t>Indemnification and</w:t>
            </w:r>
          </w:p>
        </w:tc>
        <w:tc>
          <w:tcPr>
            <w:tcW w:w="9720" w:type="dxa"/>
            <w:vAlign w:val="bottom"/>
            <w:shd w:val="clear" w:color="auto" w:fill="D9D9D9"/>
          </w:tcPr>
          <w:p>
            <w:pPr>
              <w:ind w:left="100"/>
              <w:spacing w:after="0"/>
              <w:rPr>
                <w:sz w:val="20"/>
                <w:szCs w:val="20"/>
                <w:color w:val="auto"/>
              </w:rPr>
            </w:pPr>
            <w:r>
              <w:rPr>
                <w:rFonts w:ascii="Arial" w:cs="Arial" w:eastAsia="Arial" w:hAnsi="Arial"/>
                <w:sz w:val="16"/>
                <w:szCs w:val="16"/>
                <w:color w:val="auto"/>
              </w:rPr>
              <w:t>Each non-employee director is a party to an indemnification agreement with us pursuant to which we have agreed to provide</w:t>
            </w:r>
          </w:p>
        </w:tc>
      </w:tr>
      <w:tr>
        <w:trPr>
          <w:trHeight w:val="189"/>
        </w:trPr>
        <w:tc>
          <w:tcPr>
            <w:tcW w:w="1520" w:type="dxa"/>
            <w:vAlign w:val="bottom"/>
            <w:shd w:val="clear" w:color="auto" w:fill="D9D9D9"/>
          </w:tcPr>
          <w:p>
            <w:pPr>
              <w:spacing w:after="0"/>
              <w:rPr>
                <w:sz w:val="20"/>
                <w:szCs w:val="20"/>
                <w:color w:val="auto"/>
              </w:rPr>
            </w:pPr>
            <w:r>
              <w:rPr>
                <w:rFonts w:ascii="Arial" w:cs="Arial" w:eastAsia="Arial" w:hAnsi="Arial"/>
                <w:sz w:val="16"/>
                <w:szCs w:val="16"/>
                <w:color w:val="auto"/>
              </w:rPr>
              <w:t>D&amp;O Insurance</w:t>
            </w:r>
          </w:p>
        </w:tc>
        <w:tc>
          <w:tcPr>
            <w:tcW w:w="9720" w:type="dxa"/>
            <w:vAlign w:val="bottom"/>
            <w:shd w:val="clear" w:color="auto" w:fill="D9D9D9"/>
          </w:tcPr>
          <w:p>
            <w:pPr>
              <w:ind w:left="100"/>
              <w:spacing w:after="0"/>
              <w:rPr>
                <w:sz w:val="20"/>
                <w:szCs w:val="20"/>
                <w:color w:val="auto"/>
              </w:rPr>
            </w:pPr>
            <w:r>
              <w:rPr>
                <w:rFonts w:ascii="Arial" w:cs="Arial" w:eastAsia="Arial" w:hAnsi="Arial"/>
                <w:sz w:val="16"/>
                <w:szCs w:val="16"/>
                <w:color w:val="auto"/>
              </w:rPr>
              <w:t>indemnification and advancement of expenses to the fullest extent permitted by Delaware law and our Restated Certificate of</w:t>
            </w:r>
          </w:p>
        </w:tc>
      </w:tr>
      <w:tr>
        <w:trPr>
          <w:trHeight w:val="230"/>
        </w:trPr>
        <w:tc>
          <w:tcPr>
            <w:tcW w:w="1520" w:type="dxa"/>
            <w:vAlign w:val="bottom"/>
            <w:shd w:val="clear" w:color="auto" w:fill="D9D9D9"/>
          </w:tcPr>
          <w:p>
            <w:pPr>
              <w:spacing w:after="0"/>
              <w:rPr>
                <w:sz w:val="20"/>
                <w:szCs w:val="20"/>
                <w:color w:val="auto"/>
              </w:rPr>
            </w:pPr>
          </w:p>
        </w:tc>
        <w:tc>
          <w:tcPr>
            <w:tcW w:w="9720" w:type="dxa"/>
            <w:vAlign w:val="bottom"/>
            <w:shd w:val="clear" w:color="auto" w:fill="D9D9D9"/>
          </w:tcPr>
          <w:p>
            <w:pPr>
              <w:ind w:left="100"/>
              <w:spacing w:after="0"/>
              <w:rPr>
                <w:sz w:val="20"/>
                <w:szCs w:val="20"/>
                <w:color w:val="auto"/>
              </w:rPr>
            </w:pPr>
            <w:r>
              <w:rPr>
                <w:rFonts w:ascii="Arial" w:cs="Arial" w:eastAsia="Arial" w:hAnsi="Arial"/>
                <w:sz w:val="16"/>
                <w:szCs w:val="16"/>
                <w:color w:val="auto"/>
              </w:rPr>
              <w:t>Incorporation and continued coverage under our D&amp;O insurance.</w:t>
            </w:r>
          </w:p>
        </w:tc>
      </w:tr>
    </w:tbl>
    <w:p>
      <w:pPr>
        <w:spacing w:after="0" w:line="89" w:lineRule="exact"/>
        <w:rPr>
          <w:sz w:val="20"/>
          <w:szCs w:val="20"/>
          <w:color w:val="auto"/>
        </w:rPr>
      </w:pPr>
    </w:p>
    <w:p>
      <w:pPr>
        <w:ind w:right="20" w:firstLine="401"/>
        <w:spacing w:after="0" w:line="253" w:lineRule="auto"/>
        <w:rPr>
          <w:sz w:val="20"/>
          <w:szCs w:val="20"/>
          <w:color w:val="auto"/>
        </w:rPr>
      </w:pPr>
      <w:r>
        <w:rPr>
          <w:rFonts w:ascii="Arial" w:cs="Arial" w:eastAsia="Arial" w:hAnsi="Arial"/>
          <w:sz w:val="18"/>
          <w:szCs w:val="18"/>
          <w:b w:val="1"/>
          <w:bCs w:val="1"/>
          <w:i w:val="1"/>
          <w:iCs w:val="1"/>
          <w:color w:val="auto"/>
        </w:rPr>
        <w:t xml:space="preserve">Stock Option Vesting. </w:t>
      </w:r>
      <w:r>
        <w:rPr>
          <w:rFonts w:ascii="Arial" w:cs="Arial" w:eastAsia="Arial" w:hAnsi="Arial"/>
          <w:sz w:val="18"/>
          <w:szCs w:val="18"/>
          <w:color w:val="auto"/>
        </w:rPr>
        <w:t>Except as described below, stock options granted to our non-employee directors vest in three equal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installments on each of the first, second and third year anniversaries of the grant date and remain exercisable for a term of ten years after the grant date.</w:t>
      </w:r>
    </w:p>
    <w:p>
      <w:pPr>
        <w:spacing w:after="0" w:line="61" w:lineRule="exact"/>
        <w:rPr>
          <w:sz w:val="20"/>
          <w:szCs w:val="20"/>
          <w:color w:val="auto"/>
        </w:rPr>
      </w:pPr>
    </w:p>
    <w:p>
      <w:pPr>
        <w:jc w:val="both"/>
        <w:ind w:right="40" w:firstLine="401"/>
        <w:spacing w:after="0" w:line="253" w:lineRule="auto"/>
        <w:rPr>
          <w:sz w:val="20"/>
          <w:szCs w:val="20"/>
          <w:color w:val="auto"/>
        </w:rPr>
      </w:pPr>
      <w:r>
        <w:rPr>
          <w:rFonts w:ascii="Arial" w:cs="Arial" w:eastAsia="Arial" w:hAnsi="Arial"/>
          <w:sz w:val="18"/>
          <w:szCs w:val="18"/>
          <w:color w:val="auto"/>
        </w:rPr>
        <w:t>If a director becomes disabled or dies, all outstanding unvested stock options will vest in full on the date the director’s service ceases by reason of such disability or death and all outstanding stock options may be exercised up to the earlier of the date the stock options expire or one year after the date the director’s service ceased by reason of such disability or death.</w:t>
      </w:r>
    </w:p>
    <w:p>
      <w:pPr>
        <w:spacing w:after="0" w:line="61" w:lineRule="exact"/>
        <w:rPr>
          <w:sz w:val="20"/>
          <w:szCs w:val="20"/>
          <w:color w:val="auto"/>
        </w:rPr>
      </w:pPr>
    </w:p>
    <w:p>
      <w:pPr>
        <w:ind w:firstLine="401"/>
        <w:spacing w:after="0"/>
        <w:rPr>
          <w:sz w:val="20"/>
          <w:szCs w:val="20"/>
          <w:color w:val="auto"/>
        </w:rPr>
      </w:pPr>
      <w:r>
        <w:rPr>
          <w:rFonts w:ascii="Arial" w:cs="Arial" w:eastAsia="Arial" w:hAnsi="Arial"/>
          <w:sz w:val="18"/>
          <w:szCs w:val="18"/>
          <w:color w:val="auto"/>
        </w:rPr>
        <w:t>If a director has served as a member of the Board for ten full fiscal years or longer and terminates his or her service on the Board, other than due to death or disability, his or her outstanding unvested stock options will continue to vest in accordance with their terms and the director may exercise the vested portions of the stock options for up to four years after the director’s date of termination, but not later than the date the stock options expire. If a director has served as a member of the Board for less than ten full fiscal years and terminates his or her service on the Board, other than due to death or disability, his or her outstanding unvested stock options will expire and be canceled and the director may exercise any vested portions of the stock options for up to three months after the director’s date of termination, but not later than the date the stock options expire. The following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103" w:lineRule="exact"/>
        <w:rPr>
          <w:sz w:val="20"/>
          <w:szCs w:val="20"/>
          <w:color w:val="auto"/>
        </w:rPr>
      </w:pPr>
    </w:p>
    <w:p>
      <w:pPr>
        <w:ind w:right="780"/>
        <w:spacing w:after="0" w:line="271" w:lineRule="auto"/>
        <w:rPr>
          <w:sz w:val="20"/>
          <w:szCs w:val="20"/>
          <w:color w:val="auto"/>
        </w:rPr>
      </w:pPr>
      <w:r>
        <w:rPr>
          <w:rFonts w:ascii="Arial" w:cs="Arial" w:eastAsia="Arial" w:hAnsi="Arial"/>
          <w:sz w:val="18"/>
          <w:szCs w:val="18"/>
          <w:color w:val="auto"/>
        </w:rPr>
        <w:t>directors have served as a member of the Board for ten full fiscal years or longer: Janet K. Cooper, Gary L. Ellis, Jeffrey M. Ettinger, Katherine J. Harless and James C. O’Rourke.</w:t>
      </w:r>
    </w:p>
    <w:p>
      <w:pPr>
        <w:spacing w:after="0" w:line="46" w:lineRule="exact"/>
        <w:rPr>
          <w:sz w:val="20"/>
          <w:szCs w:val="20"/>
          <w:color w:val="auto"/>
        </w:rPr>
      </w:pPr>
    </w:p>
    <w:p>
      <w:pPr>
        <w:ind w:right="80" w:firstLine="401"/>
        <w:spacing w:after="0" w:line="253" w:lineRule="auto"/>
        <w:rPr>
          <w:sz w:val="20"/>
          <w:szCs w:val="20"/>
          <w:color w:val="auto"/>
        </w:rPr>
      </w:pPr>
      <w:r>
        <w:rPr>
          <w:rFonts w:ascii="Arial" w:cs="Arial" w:eastAsia="Arial" w:hAnsi="Arial"/>
          <w:sz w:val="18"/>
          <w:szCs w:val="18"/>
          <w:color w:val="auto"/>
        </w:rPr>
        <w:t>If there is a change in control of our Company, stock options held by directors, will vest immediately and remain exercisable for the remaining term. The general definition of a change in control for these purposes is described under “Potential Payments upon Termination or Change in Control—Change in Control.”</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Director Compensation for Fiscal 2022</w:t>
      </w:r>
    </w:p>
    <w:p>
      <w:pPr>
        <w:spacing w:after="0" w:line="99" w:lineRule="exact"/>
        <w:rPr>
          <w:sz w:val="20"/>
          <w:szCs w:val="20"/>
          <w:color w:val="auto"/>
        </w:rPr>
      </w:pPr>
    </w:p>
    <w:p>
      <w:pPr>
        <w:ind w:right="160" w:firstLine="401"/>
        <w:spacing w:after="0" w:line="244" w:lineRule="auto"/>
        <w:rPr>
          <w:sz w:val="20"/>
          <w:szCs w:val="20"/>
          <w:color w:val="auto"/>
        </w:rPr>
      </w:pPr>
      <w:r>
        <w:rPr>
          <w:rFonts w:ascii="Arial" w:cs="Arial" w:eastAsia="Arial" w:hAnsi="Arial"/>
          <w:sz w:val="18"/>
          <w:szCs w:val="18"/>
          <w:color w:val="auto"/>
        </w:rPr>
        <w:t>The following table provides summary information concerning the compensation of each individual non-employee director who served during fiscal 2022. Richard M. Olson, our Chairman and CEO, is not compensated separately for his service as a director. Mr. Olson’s compensation is discussed in the “Executive Compensation” section. Amounts in the table are not reduced to reflect elections, if any, by the non-employee directors to defer receipt of compensation. Deferral elections are described in more detail in the footnotes to the table. Earnings on nonqualified deferred compensation are not on a basis that is considered to be above-market or preferential.</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580" w:type="dxa"/>
            <w:vAlign w:val="bottom"/>
            <w:shd w:val="clear" w:color="auto" w:fill="C00000"/>
          </w:tcPr>
          <w:p>
            <w:pPr>
              <w:spacing w:after="0"/>
              <w:rPr>
                <w:sz w:val="14"/>
                <w:szCs w:val="14"/>
                <w:color w:val="auto"/>
              </w:rPr>
            </w:pPr>
          </w:p>
        </w:tc>
        <w:tc>
          <w:tcPr>
            <w:tcW w:w="2400" w:type="dxa"/>
            <w:vAlign w:val="bottom"/>
            <w:shd w:val="clear" w:color="auto" w:fill="C00000"/>
          </w:tcPr>
          <w:p>
            <w:pPr>
              <w:jc w:val="center"/>
              <w:ind w:left="483"/>
              <w:spacing w:after="0"/>
              <w:rPr>
                <w:sz w:val="20"/>
                <w:szCs w:val="20"/>
                <w:color w:val="auto"/>
              </w:rPr>
            </w:pPr>
            <w:r>
              <w:rPr>
                <w:rFonts w:ascii="Arial" w:cs="Arial" w:eastAsia="Arial" w:hAnsi="Arial"/>
                <w:sz w:val="14"/>
                <w:szCs w:val="14"/>
                <w:b w:val="1"/>
                <w:bCs w:val="1"/>
                <w:color w:val="FFFFFF"/>
              </w:rPr>
              <w:t>Fees Earned or</w:t>
            </w:r>
          </w:p>
        </w:tc>
        <w:tc>
          <w:tcPr>
            <w:tcW w:w="1600" w:type="dxa"/>
            <w:vAlign w:val="bottom"/>
            <w:shd w:val="clear" w:color="auto" w:fill="C00000"/>
          </w:tcPr>
          <w:p>
            <w:pPr>
              <w:spacing w:after="0"/>
              <w:rPr>
                <w:sz w:val="14"/>
                <w:szCs w:val="14"/>
                <w:color w:val="auto"/>
              </w:rPr>
            </w:pPr>
          </w:p>
        </w:tc>
        <w:tc>
          <w:tcPr>
            <w:tcW w:w="1600" w:type="dxa"/>
            <w:vAlign w:val="bottom"/>
            <w:shd w:val="clear" w:color="auto" w:fill="C00000"/>
          </w:tcPr>
          <w:p>
            <w:pPr>
              <w:spacing w:after="0"/>
              <w:rPr>
                <w:sz w:val="14"/>
                <w:szCs w:val="14"/>
                <w:color w:val="auto"/>
              </w:rPr>
            </w:pPr>
          </w:p>
        </w:tc>
        <w:tc>
          <w:tcPr>
            <w:tcW w:w="1780" w:type="dxa"/>
            <w:vAlign w:val="bottom"/>
            <w:shd w:val="clear" w:color="auto" w:fill="C00000"/>
          </w:tcPr>
          <w:p>
            <w:pPr>
              <w:jc w:val="center"/>
              <w:ind w:right="303"/>
              <w:spacing w:after="0"/>
              <w:rPr>
                <w:sz w:val="20"/>
                <w:szCs w:val="20"/>
                <w:color w:val="auto"/>
              </w:rPr>
            </w:pPr>
            <w:r>
              <w:rPr>
                <w:rFonts w:ascii="Arial" w:cs="Arial" w:eastAsia="Arial" w:hAnsi="Arial"/>
                <w:sz w:val="14"/>
                <w:szCs w:val="14"/>
                <w:b w:val="1"/>
                <w:bCs w:val="1"/>
                <w:color w:val="FFFFFF"/>
              </w:rPr>
              <w:t>All Other</w:t>
            </w:r>
          </w:p>
        </w:tc>
        <w:tc>
          <w:tcPr>
            <w:tcW w:w="1280" w:type="dxa"/>
            <w:vAlign w:val="bottom"/>
            <w:shd w:val="clear" w:color="auto" w:fill="C00000"/>
          </w:tcPr>
          <w:p>
            <w:pPr>
              <w:spacing w:after="0"/>
              <w:rPr>
                <w:sz w:val="14"/>
                <w:szCs w:val="14"/>
                <w:color w:val="auto"/>
              </w:rPr>
            </w:pPr>
          </w:p>
        </w:tc>
      </w:tr>
      <w:tr>
        <w:trPr>
          <w:trHeight w:val="157"/>
        </w:trPr>
        <w:tc>
          <w:tcPr>
            <w:tcW w:w="2580" w:type="dxa"/>
            <w:vAlign w:val="bottom"/>
            <w:shd w:val="clear" w:color="auto" w:fill="C00000"/>
          </w:tcPr>
          <w:p>
            <w:pPr>
              <w:spacing w:after="0"/>
              <w:rPr>
                <w:sz w:val="13"/>
                <w:szCs w:val="13"/>
                <w:color w:val="auto"/>
              </w:rPr>
            </w:pPr>
          </w:p>
        </w:tc>
        <w:tc>
          <w:tcPr>
            <w:tcW w:w="2400" w:type="dxa"/>
            <w:vAlign w:val="bottom"/>
            <w:shd w:val="clear" w:color="auto" w:fill="C00000"/>
          </w:tcPr>
          <w:p>
            <w:pPr>
              <w:jc w:val="center"/>
              <w:ind w:left="463"/>
              <w:spacing w:after="0" w:line="157" w:lineRule="exact"/>
              <w:rPr>
                <w:sz w:val="20"/>
                <w:szCs w:val="20"/>
                <w:color w:val="auto"/>
              </w:rPr>
            </w:pPr>
            <w:r>
              <w:rPr>
                <w:rFonts w:ascii="Arial" w:cs="Arial" w:eastAsia="Arial" w:hAnsi="Arial"/>
                <w:sz w:val="14"/>
                <w:szCs w:val="14"/>
                <w:b w:val="1"/>
                <w:bCs w:val="1"/>
                <w:color w:val="FFFFFF"/>
              </w:rPr>
              <w:t>Paid in Cash</w:t>
            </w:r>
          </w:p>
        </w:tc>
        <w:tc>
          <w:tcPr>
            <w:tcW w:w="1600" w:type="dxa"/>
            <w:vAlign w:val="bottom"/>
            <w:shd w:val="clear" w:color="auto" w:fill="C00000"/>
          </w:tcPr>
          <w:p>
            <w:pPr>
              <w:jc w:val="right"/>
              <w:ind w:right="362"/>
              <w:spacing w:after="0" w:line="157" w:lineRule="exact"/>
              <w:rPr>
                <w:sz w:val="20"/>
                <w:szCs w:val="20"/>
                <w:color w:val="auto"/>
              </w:rPr>
            </w:pPr>
            <w:r>
              <w:rPr>
                <w:rFonts w:ascii="Arial" w:cs="Arial" w:eastAsia="Arial" w:hAnsi="Arial"/>
                <w:sz w:val="14"/>
                <w:szCs w:val="14"/>
                <w:b w:val="1"/>
                <w:bCs w:val="1"/>
                <w:color w:val="FFFFFF"/>
              </w:rPr>
              <w:t>Stock Awards</w:t>
            </w:r>
          </w:p>
        </w:tc>
        <w:tc>
          <w:tcPr>
            <w:tcW w:w="1600" w:type="dxa"/>
            <w:vAlign w:val="bottom"/>
            <w:shd w:val="clear" w:color="auto" w:fill="C00000"/>
          </w:tcPr>
          <w:p>
            <w:pPr>
              <w:jc w:val="right"/>
              <w:ind w:right="322"/>
              <w:spacing w:after="0" w:line="157" w:lineRule="exact"/>
              <w:rPr>
                <w:sz w:val="20"/>
                <w:szCs w:val="20"/>
                <w:color w:val="auto"/>
              </w:rPr>
            </w:pPr>
            <w:r>
              <w:rPr>
                <w:rFonts w:ascii="Arial" w:cs="Arial" w:eastAsia="Arial" w:hAnsi="Arial"/>
                <w:sz w:val="14"/>
                <w:szCs w:val="14"/>
                <w:b w:val="1"/>
                <w:bCs w:val="1"/>
                <w:color w:val="FFFFFF"/>
              </w:rPr>
              <w:t>Option Awards</w:t>
            </w:r>
          </w:p>
        </w:tc>
        <w:tc>
          <w:tcPr>
            <w:tcW w:w="1780" w:type="dxa"/>
            <w:vAlign w:val="bottom"/>
            <w:shd w:val="clear" w:color="auto" w:fill="C00000"/>
          </w:tcPr>
          <w:p>
            <w:pPr>
              <w:jc w:val="center"/>
              <w:ind w:right="303"/>
              <w:spacing w:after="0" w:line="157" w:lineRule="exact"/>
              <w:rPr>
                <w:sz w:val="20"/>
                <w:szCs w:val="20"/>
                <w:color w:val="auto"/>
              </w:rPr>
            </w:pPr>
            <w:r>
              <w:rPr>
                <w:rFonts w:ascii="Arial" w:cs="Arial" w:eastAsia="Arial" w:hAnsi="Arial"/>
                <w:sz w:val="14"/>
                <w:szCs w:val="14"/>
                <w:b w:val="1"/>
                <w:bCs w:val="1"/>
                <w:color w:val="FFFFFF"/>
              </w:rPr>
              <w:t>Compensation</w:t>
            </w:r>
          </w:p>
        </w:tc>
        <w:tc>
          <w:tcPr>
            <w:tcW w:w="1280" w:type="dxa"/>
            <w:vAlign w:val="bottom"/>
            <w:shd w:val="clear" w:color="auto" w:fill="C00000"/>
          </w:tcPr>
          <w:p>
            <w:pPr>
              <w:jc w:val="right"/>
              <w:ind w:right="500"/>
              <w:spacing w:after="0" w:line="157" w:lineRule="exact"/>
              <w:rPr>
                <w:sz w:val="20"/>
                <w:szCs w:val="20"/>
                <w:color w:val="auto"/>
              </w:rPr>
            </w:pPr>
            <w:r>
              <w:rPr>
                <w:rFonts w:ascii="Arial" w:cs="Arial" w:eastAsia="Arial" w:hAnsi="Arial"/>
                <w:sz w:val="14"/>
                <w:szCs w:val="14"/>
                <w:b w:val="1"/>
                <w:bCs w:val="1"/>
                <w:color w:val="FFFFFF"/>
              </w:rPr>
              <w:t>Total</w:t>
            </w:r>
          </w:p>
        </w:tc>
      </w:tr>
      <w:tr>
        <w:trPr>
          <w:trHeight w:val="177"/>
        </w:trPr>
        <w:tc>
          <w:tcPr>
            <w:tcW w:w="258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Name</w:t>
            </w:r>
          </w:p>
        </w:tc>
        <w:tc>
          <w:tcPr>
            <w:tcW w:w="2400" w:type="dxa"/>
            <w:vAlign w:val="bottom"/>
            <w:shd w:val="clear" w:color="auto" w:fill="C00000"/>
          </w:tcPr>
          <w:p>
            <w:pPr>
              <w:jc w:val="center"/>
              <w:ind w:left="483"/>
              <w:spacing w:after="0" w:line="177"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10"/>
                <w:szCs w:val="10"/>
                <w:b w:val="1"/>
                <w:bCs w:val="1"/>
                <w:color w:val="FFFFFF"/>
              </w:rPr>
              <w:t>(1)(2)</w:t>
            </w:r>
          </w:p>
        </w:tc>
        <w:tc>
          <w:tcPr>
            <w:tcW w:w="1600" w:type="dxa"/>
            <w:vAlign w:val="bottom"/>
            <w:shd w:val="clear" w:color="auto" w:fill="C00000"/>
          </w:tcPr>
          <w:p>
            <w:pPr>
              <w:jc w:val="right"/>
              <w:ind w:right="682"/>
              <w:spacing w:after="0" w:line="177"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10"/>
                <w:szCs w:val="10"/>
                <w:b w:val="1"/>
                <w:bCs w:val="1"/>
                <w:color w:val="FFFFFF"/>
              </w:rPr>
              <w:t>(3)</w:t>
            </w:r>
          </w:p>
        </w:tc>
        <w:tc>
          <w:tcPr>
            <w:tcW w:w="1600" w:type="dxa"/>
            <w:vAlign w:val="bottom"/>
            <w:shd w:val="clear" w:color="auto" w:fill="C00000"/>
          </w:tcPr>
          <w:p>
            <w:pPr>
              <w:jc w:val="right"/>
              <w:ind w:right="602"/>
              <w:spacing w:after="0" w:line="177"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10"/>
                <w:szCs w:val="10"/>
                <w:b w:val="1"/>
                <w:bCs w:val="1"/>
                <w:color w:val="FFFFFF"/>
              </w:rPr>
              <w:t>(4)(5)</w:t>
            </w:r>
          </w:p>
        </w:tc>
        <w:tc>
          <w:tcPr>
            <w:tcW w:w="1780" w:type="dxa"/>
            <w:vAlign w:val="bottom"/>
            <w:shd w:val="clear" w:color="auto" w:fill="C00000"/>
          </w:tcPr>
          <w:p>
            <w:pPr>
              <w:jc w:val="center"/>
              <w:ind w:right="303"/>
              <w:spacing w:after="0" w:line="177"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10"/>
                <w:szCs w:val="10"/>
                <w:b w:val="1"/>
                <w:bCs w:val="1"/>
                <w:color w:val="FFFFFF"/>
              </w:rPr>
              <w:t>(6)</w:t>
            </w:r>
          </w:p>
        </w:tc>
        <w:tc>
          <w:tcPr>
            <w:tcW w:w="1280" w:type="dxa"/>
            <w:vAlign w:val="bottom"/>
            <w:shd w:val="clear" w:color="auto" w:fill="C00000"/>
          </w:tcPr>
          <w:p>
            <w:pPr>
              <w:jc w:val="right"/>
              <w:ind w:right="580"/>
              <w:spacing w:after="0"/>
              <w:rPr>
                <w:sz w:val="20"/>
                <w:szCs w:val="20"/>
                <w:color w:val="auto"/>
              </w:rPr>
            </w:pPr>
            <w:r>
              <w:rPr>
                <w:rFonts w:ascii="Arial" w:cs="Arial" w:eastAsia="Arial" w:hAnsi="Arial"/>
                <w:sz w:val="14"/>
                <w:szCs w:val="14"/>
                <w:b w:val="1"/>
                <w:bCs w:val="1"/>
                <w:color w:val="FFFFFF"/>
              </w:rPr>
              <w:t>($)</w:t>
            </w:r>
          </w:p>
        </w:tc>
      </w:tr>
      <w:tr>
        <w:trPr>
          <w:trHeight w:val="203"/>
        </w:trPr>
        <w:tc>
          <w:tcPr>
            <w:tcW w:w="2580" w:type="dxa"/>
            <w:vAlign w:val="bottom"/>
            <w:shd w:val="clear" w:color="auto" w:fill="D9D9D9"/>
          </w:tcPr>
          <w:p>
            <w:pPr>
              <w:spacing w:after="0"/>
              <w:rPr>
                <w:sz w:val="20"/>
                <w:szCs w:val="20"/>
                <w:color w:val="auto"/>
              </w:rPr>
            </w:pPr>
            <w:r>
              <w:rPr>
                <w:rFonts w:ascii="Arial" w:cs="Arial" w:eastAsia="Arial" w:hAnsi="Arial"/>
                <w:sz w:val="16"/>
                <w:szCs w:val="16"/>
                <w:color w:val="auto"/>
              </w:rPr>
              <w:t>Janet K. Cooper</w:t>
            </w:r>
          </w:p>
        </w:tc>
        <w:tc>
          <w:tcPr>
            <w:tcW w:w="2400" w:type="dxa"/>
            <w:vAlign w:val="bottom"/>
            <w:shd w:val="clear" w:color="auto" w:fill="D9D9D9"/>
          </w:tcPr>
          <w:p>
            <w:pPr>
              <w:jc w:val="right"/>
              <w:ind w:right="123"/>
              <w:spacing w:after="0"/>
              <w:rPr>
                <w:sz w:val="20"/>
                <w:szCs w:val="20"/>
                <w:color w:val="auto"/>
              </w:rPr>
            </w:pPr>
            <w:r>
              <w:rPr>
                <w:rFonts w:ascii="Arial" w:cs="Arial" w:eastAsia="Arial" w:hAnsi="Arial"/>
                <w:sz w:val="16"/>
                <w:szCs w:val="16"/>
                <w:color w:val="auto"/>
              </w:rPr>
              <w:t>123,500</w:t>
            </w:r>
          </w:p>
        </w:tc>
        <w:tc>
          <w:tcPr>
            <w:tcW w:w="1600" w:type="dxa"/>
            <w:vAlign w:val="bottom"/>
            <w:shd w:val="clear" w:color="auto" w:fill="D9D9D9"/>
          </w:tcPr>
          <w:p>
            <w:pPr>
              <w:jc w:val="right"/>
              <w:ind w:right="102"/>
              <w:spacing w:after="0"/>
              <w:rPr>
                <w:sz w:val="20"/>
                <w:szCs w:val="20"/>
                <w:color w:val="auto"/>
              </w:rPr>
            </w:pPr>
            <w:r>
              <w:rPr>
                <w:rFonts w:ascii="Arial" w:cs="Arial" w:eastAsia="Arial" w:hAnsi="Arial"/>
                <w:sz w:val="16"/>
                <w:szCs w:val="16"/>
                <w:color w:val="auto"/>
              </w:rPr>
              <w:t>69,922</w:t>
            </w:r>
          </w:p>
        </w:tc>
        <w:tc>
          <w:tcPr>
            <w:tcW w:w="1600" w:type="dxa"/>
            <w:vAlign w:val="bottom"/>
            <w:shd w:val="clear" w:color="auto" w:fill="D9D9D9"/>
          </w:tcPr>
          <w:p>
            <w:pPr>
              <w:jc w:val="right"/>
              <w:ind w:right="102"/>
              <w:spacing w:after="0"/>
              <w:rPr>
                <w:sz w:val="20"/>
                <w:szCs w:val="20"/>
                <w:color w:val="auto"/>
              </w:rPr>
            </w:pPr>
            <w:r>
              <w:rPr>
                <w:rFonts w:ascii="Arial" w:cs="Arial" w:eastAsia="Arial" w:hAnsi="Arial"/>
                <w:sz w:val="16"/>
                <w:szCs w:val="16"/>
                <w:color w:val="auto"/>
              </w:rPr>
              <w:t>54,982</w:t>
            </w:r>
          </w:p>
        </w:tc>
        <w:tc>
          <w:tcPr>
            <w:tcW w:w="1780" w:type="dxa"/>
            <w:vAlign w:val="bottom"/>
            <w:shd w:val="clear" w:color="auto" w:fill="D9D9D9"/>
          </w:tcPr>
          <w:p>
            <w:pPr>
              <w:jc w:val="right"/>
              <w:ind w:right="283"/>
              <w:spacing w:after="0"/>
              <w:rPr>
                <w:sz w:val="20"/>
                <w:szCs w:val="20"/>
                <w:color w:val="auto"/>
              </w:rPr>
            </w:pPr>
            <w:r>
              <w:rPr>
                <w:rFonts w:ascii="Arial" w:cs="Arial" w:eastAsia="Arial" w:hAnsi="Arial"/>
                <w:sz w:val="16"/>
                <w:szCs w:val="16"/>
                <w:color w:val="auto"/>
              </w:rPr>
              <w:t>0</w:t>
            </w:r>
          </w:p>
        </w:tc>
        <w:tc>
          <w:tcPr>
            <w:tcW w:w="12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248,404</w:t>
            </w:r>
          </w:p>
        </w:tc>
      </w:tr>
      <w:tr>
        <w:trPr>
          <w:trHeight w:val="203"/>
        </w:trPr>
        <w:tc>
          <w:tcPr>
            <w:tcW w:w="2580" w:type="dxa"/>
            <w:vAlign w:val="bottom"/>
          </w:tcPr>
          <w:p>
            <w:pPr>
              <w:spacing w:after="0"/>
              <w:rPr>
                <w:sz w:val="20"/>
                <w:szCs w:val="20"/>
                <w:color w:val="auto"/>
              </w:rPr>
            </w:pPr>
            <w:r>
              <w:rPr>
                <w:rFonts w:ascii="Arial" w:cs="Arial" w:eastAsia="Arial" w:hAnsi="Arial"/>
                <w:sz w:val="16"/>
                <w:szCs w:val="16"/>
                <w:color w:val="auto"/>
              </w:rPr>
              <w:t>Gary L. Ellis</w:t>
            </w:r>
          </w:p>
        </w:tc>
        <w:tc>
          <w:tcPr>
            <w:tcW w:w="2400" w:type="dxa"/>
            <w:vAlign w:val="bottom"/>
          </w:tcPr>
          <w:p>
            <w:pPr>
              <w:jc w:val="right"/>
              <w:ind w:right="123"/>
              <w:spacing w:after="0"/>
              <w:rPr>
                <w:sz w:val="20"/>
                <w:szCs w:val="20"/>
                <w:color w:val="auto"/>
              </w:rPr>
            </w:pPr>
            <w:r>
              <w:rPr>
                <w:rFonts w:ascii="Arial" w:cs="Arial" w:eastAsia="Arial" w:hAnsi="Arial"/>
                <w:sz w:val="16"/>
                <w:szCs w:val="16"/>
                <w:color w:val="auto"/>
              </w:rPr>
              <w:t>137,250</w:t>
            </w:r>
          </w:p>
        </w:tc>
        <w:tc>
          <w:tcPr>
            <w:tcW w:w="1600" w:type="dxa"/>
            <w:vAlign w:val="bottom"/>
          </w:tcPr>
          <w:p>
            <w:pPr>
              <w:jc w:val="right"/>
              <w:ind w:right="102"/>
              <w:spacing w:after="0"/>
              <w:rPr>
                <w:sz w:val="20"/>
                <w:szCs w:val="20"/>
                <w:color w:val="auto"/>
              </w:rPr>
            </w:pPr>
            <w:r>
              <w:rPr>
                <w:rFonts w:ascii="Arial" w:cs="Arial" w:eastAsia="Arial" w:hAnsi="Arial"/>
                <w:sz w:val="16"/>
                <w:szCs w:val="16"/>
                <w:color w:val="auto"/>
              </w:rPr>
              <w:t>69,922</w:t>
            </w:r>
          </w:p>
        </w:tc>
        <w:tc>
          <w:tcPr>
            <w:tcW w:w="1600" w:type="dxa"/>
            <w:vAlign w:val="bottom"/>
          </w:tcPr>
          <w:p>
            <w:pPr>
              <w:jc w:val="right"/>
              <w:ind w:right="102"/>
              <w:spacing w:after="0"/>
              <w:rPr>
                <w:sz w:val="20"/>
                <w:szCs w:val="20"/>
                <w:color w:val="auto"/>
              </w:rPr>
            </w:pPr>
            <w:r>
              <w:rPr>
                <w:rFonts w:ascii="Arial" w:cs="Arial" w:eastAsia="Arial" w:hAnsi="Arial"/>
                <w:sz w:val="16"/>
                <w:szCs w:val="16"/>
                <w:color w:val="auto"/>
              </w:rPr>
              <w:t>54,982</w:t>
            </w:r>
          </w:p>
        </w:tc>
        <w:tc>
          <w:tcPr>
            <w:tcW w:w="1780" w:type="dxa"/>
            <w:vAlign w:val="bottom"/>
          </w:tcPr>
          <w:p>
            <w:pPr>
              <w:jc w:val="right"/>
              <w:ind w:right="283"/>
              <w:spacing w:after="0"/>
              <w:rPr>
                <w:sz w:val="20"/>
                <w:szCs w:val="20"/>
                <w:color w:val="auto"/>
              </w:rPr>
            </w:pPr>
            <w:r>
              <w:rPr>
                <w:rFonts w:ascii="Arial" w:cs="Arial" w:eastAsia="Arial" w:hAnsi="Arial"/>
                <w:sz w:val="16"/>
                <w:szCs w:val="16"/>
                <w:color w:val="auto"/>
              </w:rPr>
              <w:t>0</w:t>
            </w:r>
          </w:p>
        </w:tc>
        <w:tc>
          <w:tcPr>
            <w:tcW w:w="1280" w:type="dxa"/>
            <w:vAlign w:val="bottom"/>
          </w:tcPr>
          <w:p>
            <w:pPr>
              <w:jc w:val="right"/>
              <w:spacing w:after="0"/>
              <w:rPr>
                <w:sz w:val="20"/>
                <w:szCs w:val="20"/>
                <w:color w:val="auto"/>
              </w:rPr>
            </w:pPr>
            <w:r>
              <w:rPr>
                <w:rFonts w:ascii="Arial" w:cs="Arial" w:eastAsia="Arial" w:hAnsi="Arial"/>
                <w:sz w:val="16"/>
                <w:szCs w:val="16"/>
                <w:color w:val="auto"/>
              </w:rPr>
              <w:t>262,154</w:t>
            </w:r>
          </w:p>
        </w:tc>
      </w:tr>
      <w:tr>
        <w:trPr>
          <w:trHeight w:val="203"/>
        </w:trPr>
        <w:tc>
          <w:tcPr>
            <w:tcW w:w="2580" w:type="dxa"/>
            <w:vAlign w:val="bottom"/>
            <w:shd w:val="clear" w:color="auto" w:fill="D9D9D9"/>
          </w:tcPr>
          <w:p>
            <w:pPr>
              <w:spacing w:after="0"/>
              <w:rPr>
                <w:sz w:val="20"/>
                <w:szCs w:val="20"/>
                <w:color w:val="auto"/>
              </w:rPr>
            </w:pPr>
            <w:r>
              <w:rPr>
                <w:rFonts w:ascii="Arial" w:cs="Arial" w:eastAsia="Arial" w:hAnsi="Arial"/>
                <w:sz w:val="16"/>
                <w:szCs w:val="16"/>
                <w:color w:val="auto"/>
              </w:rPr>
              <w:t>Jeffrey M. Ettinger</w:t>
            </w:r>
          </w:p>
        </w:tc>
        <w:tc>
          <w:tcPr>
            <w:tcW w:w="2400" w:type="dxa"/>
            <w:vAlign w:val="bottom"/>
            <w:shd w:val="clear" w:color="auto" w:fill="D9D9D9"/>
          </w:tcPr>
          <w:p>
            <w:pPr>
              <w:jc w:val="right"/>
              <w:ind w:right="123"/>
              <w:spacing w:after="0"/>
              <w:rPr>
                <w:sz w:val="20"/>
                <w:szCs w:val="20"/>
                <w:color w:val="auto"/>
              </w:rPr>
            </w:pPr>
            <w:r>
              <w:rPr>
                <w:rFonts w:ascii="Arial" w:cs="Arial" w:eastAsia="Arial" w:hAnsi="Arial"/>
                <w:sz w:val="16"/>
                <w:szCs w:val="16"/>
                <w:color w:val="auto"/>
              </w:rPr>
              <w:t>105,500</w:t>
            </w:r>
          </w:p>
        </w:tc>
        <w:tc>
          <w:tcPr>
            <w:tcW w:w="1600" w:type="dxa"/>
            <w:vAlign w:val="bottom"/>
            <w:shd w:val="clear" w:color="auto" w:fill="D9D9D9"/>
          </w:tcPr>
          <w:p>
            <w:pPr>
              <w:jc w:val="right"/>
              <w:ind w:right="102"/>
              <w:spacing w:after="0"/>
              <w:rPr>
                <w:sz w:val="20"/>
                <w:szCs w:val="20"/>
                <w:color w:val="auto"/>
              </w:rPr>
            </w:pPr>
            <w:r>
              <w:rPr>
                <w:rFonts w:ascii="Arial" w:cs="Arial" w:eastAsia="Arial" w:hAnsi="Arial"/>
                <w:sz w:val="16"/>
                <w:szCs w:val="16"/>
                <w:color w:val="auto"/>
              </w:rPr>
              <w:t>69,922</w:t>
            </w:r>
          </w:p>
        </w:tc>
        <w:tc>
          <w:tcPr>
            <w:tcW w:w="1600" w:type="dxa"/>
            <w:vAlign w:val="bottom"/>
            <w:shd w:val="clear" w:color="auto" w:fill="D9D9D9"/>
          </w:tcPr>
          <w:p>
            <w:pPr>
              <w:jc w:val="right"/>
              <w:ind w:right="102"/>
              <w:spacing w:after="0"/>
              <w:rPr>
                <w:sz w:val="20"/>
                <w:szCs w:val="20"/>
                <w:color w:val="auto"/>
              </w:rPr>
            </w:pPr>
            <w:r>
              <w:rPr>
                <w:rFonts w:ascii="Arial" w:cs="Arial" w:eastAsia="Arial" w:hAnsi="Arial"/>
                <w:sz w:val="16"/>
                <w:szCs w:val="16"/>
                <w:color w:val="auto"/>
              </w:rPr>
              <w:t>54,982</w:t>
            </w:r>
          </w:p>
        </w:tc>
        <w:tc>
          <w:tcPr>
            <w:tcW w:w="1780" w:type="dxa"/>
            <w:vAlign w:val="bottom"/>
            <w:shd w:val="clear" w:color="auto" w:fill="D9D9D9"/>
          </w:tcPr>
          <w:p>
            <w:pPr>
              <w:jc w:val="right"/>
              <w:ind w:right="283"/>
              <w:spacing w:after="0"/>
              <w:rPr>
                <w:sz w:val="20"/>
                <w:szCs w:val="20"/>
                <w:color w:val="auto"/>
              </w:rPr>
            </w:pPr>
            <w:r>
              <w:rPr>
                <w:rFonts w:ascii="Arial" w:cs="Arial" w:eastAsia="Arial" w:hAnsi="Arial"/>
                <w:sz w:val="16"/>
                <w:szCs w:val="16"/>
                <w:color w:val="auto"/>
              </w:rPr>
              <w:t>0</w:t>
            </w:r>
          </w:p>
        </w:tc>
        <w:tc>
          <w:tcPr>
            <w:tcW w:w="12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230,404</w:t>
            </w:r>
          </w:p>
        </w:tc>
      </w:tr>
      <w:tr>
        <w:trPr>
          <w:trHeight w:val="203"/>
        </w:trPr>
        <w:tc>
          <w:tcPr>
            <w:tcW w:w="2580" w:type="dxa"/>
            <w:vAlign w:val="bottom"/>
          </w:tcPr>
          <w:p>
            <w:pPr>
              <w:spacing w:after="0" w:line="202" w:lineRule="exact"/>
              <w:rPr>
                <w:sz w:val="20"/>
                <w:szCs w:val="20"/>
                <w:color w:val="auto"/>
              </w:rPr>
            </w:pPr>
            <w:r>
              <w:rPr>
                <w:rFonts w:ascii="Arial" w:cs="Arial" w:eastAsia="Arial" w:hAnsi="Arial"/>
                <w:sz w:val="14"/>
                <w:szCs w:val="14"/>
                <w:color w:val="auto"/>
              </w:rPr>
              <w:t>Eric P. Hansotia</w:t>
            </w:r>
            <w:r>
              <w:rPr>
                <w:rFonts w:ascii="Arial" w:cs="Arial" w:eastAsia="Arial" w:hAnsi="Arial"/>
                <w:sz w:val="23"/>
                <w:szCs w:val="23"/>
                <w:color w:val="auto"/>
                <w:vertAlign w:val="superscript"/>
              </w:rPr>
              <w:t>(7)</w:t>
            </w:r>
          </w:p>
        </w:tc>
        <w:tc>
          <w:tcPr>
            <w:tcW w:w="2400" w:type="dxa"/>
            <w:vAlign w:val="bottom"/>
          </w:tcPr>
          <w:p>
            <w:pPr>
              <w:jc w:val="right"/>
              <w:ind w:right="123"/>
              <w:spacing w:after="0"/>
              <w:rPr>
                <w:sz w:val="20"/>
                <w:szCs w:val="20"/>
                <w:color w:val="auto"/>
              </w:rPr>
            </w:pPr>
            <w:r>
              <w:rPr>
                <w:rFonts w:ascii="Arial" w:cs="Arial" w:eastAsia="Arial" w:hAnsi="Arial"/>
                <w:sz w:val="16"/>
                <w:szCs w:val="16"/>
                <w:color w:val="auto"/>
              </w:rPr>
              <w:t>61,670</w:t>
            </w:r>
          </w:p>
        </w:tc>
        <w:tc>
          <w:tcPr>
            <w:tcW w:w="1600" w:type="dxa"/>
            <w:vAlign w:val="bottom"/>
          </w:tcPr>
          <w:p>
            <w:pPr>
              <w:jc w:val="right"/>
              <w:ind w:right="102"/>
              <w:spacing w:after="0"/>
              <w:rPr>
                <w:sz w:val="20"/>
                <w:szCs w:val="20"/>
                <w:color w:val="auto"/>
              </w:rPr>
            </w:pPr>
            <w:r>
              <w:rPr>
                <w:rFonts w:ascii="Arial" w:cs="Arial" w:eastAsia="Arial" w:hAnsi="Arial"/>
                <w:sz w:val="16"/>
                <w:szCs w:val="16"/>
                <w:color w:val="auto"/>
              </w:rPr>
              <w:t>0</w:t>
            </w:r>
          </w:p>
        </w:tc>
        <w:tc>
          <w:tcPr>
            <w:tcW w:w="1600" w:type="dxa"/>
            <w:vAlign w:val="bottom"/>
          </w:tcPr>
          <w:p>
            <w:pPr>
              <w:jc w:val="right"/>
              <w:ind w:right="102"/>
              <w:spacing w:after="0"/>
              <w:rPr>
                <w:sz w:val="20"/>
                <w:szCs w:val="20"/>
                <w:color w:val="auto"/>
              </w:rPr>
            </w:pPr>
            <w:r>
              <w:rPr>
                <w:rFonts w:ascii="Arial" w:cs="Arial" w:eastAsia="Arial" w:hAnsi="Arial"/>
                <w:sz w:val="16"/>
                <w:szCs w:val="16"/>
                <w:color w:val="auto"/>
              </w:rPr>
              <w:t>0</w:t>
            </w:r>
          </w:p>
        </w:tc>
        <w:tc>
          <w:tcPr>
            <w:tcW w:w="1780" w:type="dxa"/>
            <w:vAlign w:val="bottom"/>
          </w:tcPr>
          <w:p>
            <w:pPr>
              <w:jc w:val="right"/>
              <w:ind w:right="283"/>
              <w:spacing w:after="0"/>
              <w:rPr>
                <w:sz w:val="20"/>
                <w:szCs w:val="20"/>
                <w:color w:val="auto"/>
              </w:rPr>
            </w:pPr>
            <w:r>
              <w:rPr>
                <w:rFonts w:ascii="Arial" w:cs="Arial" w:eastAsia="Arial" w:hAnsi="Arial"/>
                <w:sz w:val="16"/>
                <w:szCs w:val="16"/>
                <w:color w:val="auto"/>
              </w:rPr>
              <w:t>330</w:t>
            </w:r>
          </w:p>
        </w:tc>
        <w:tc>
          <w:tcPr>
            <w:tcW w:w="1280" w:type="dxa"/>
            <w:vAlign w:val="bottom"/>
          </w:tcPr>
          <w:p>
            <w:pPr>
              <w:jc w:val="right"/>
              <w:spacing w:after="0"/>
              <w:rPr>
                <w:sz w:val="20"/>
                <w:szCs w:val="20"/>
                <w:color w:val="auto"/>
              </w:rPr>
            </w:pPr>
            <w:r>
              <w:rPr>
                <w:rFonts w:ascii="Arial" w:cs="Arial" w:eastAsia="Arial" w:hAnsi="Arial"/>
                <w:sz w:val="16"/>
                <w:szCs w:val="16"/>
                <w:color w:val="auto"/>
              </w:rPr>
              <w:t>62,000</w:t>
            </w:r>
          </w:p>
        </w:tc>
      </w:tr>
      <w:tr>
        <w:trPr>
          <w:trHeight w:val="203"/>
        </w:trPr>
        <w:tc>
          <w:tcPr>
            <w:tcW w:w="2580" w:type="dxa"/>
            <w:vAlign w:val="bottom"/>
            <w:shd w:val="clear" w:color="auto" w:fill="D9D9D9"/>
          </w:tcPr>
          <w:p>
            <w:pPr>
              <w:spacing w:after="0" w:line="202" w:lineRule="exact"/>
              <w:rPr>
                <w:sz w:val="20"/>
                <w:szCs w:val="20"/>
                <w:color w:val="auto"/>
              </w:rPr>
            </w:pPr>
            <w:r>
              <w:rPr>
                <w:rFonts w:ascii="Arial" w:cs="Arial" w:eastAsia="Arial" w:hAnsi="Arial"/>
                <w:sz w:val="14"/>
                <w:szCs w:val="14"/>
                <w:color w:val="auto"/>
              </w:rPr>
              <w:t>Katherine J. Harless</w:t>
            </w:r>
            <w:r>
              <w:rPr>
                <w:rFonts w:ascii="Arial" w:cs="Arial" w:eastAsia="Arial" w:hAnsi="Arial"/>
                <w:sz w:val="23"/>
                <w:szCs w:val="23"/>
                <w:color w:val="auto"/>
                <w:vertAlign w:val="superscript"/>
              </w:rPr>
              <w:t>(8)</w:t>
            </w:r>
          </w:p>
        </w:tc>
        <w:tc>
          <w:tcPr>
            <w:tcW w:w="2400" w:type="dxa"/>
            <w:vAlign w:val="bottom"/>
            <w:shd w:val="clear" w:color="auto" w:fill="D9D9D9"/>
          </w:tcPr>
          <w:p>
            <w:pPr>
              <w:jc w:val="right"/>
              <w:ind w:right="123"/>
              <w:spacing w:after="0"/>
              <w:rPr>
                <w:sz w:val="20"/>
                <w:szCs w:val="20"/>
                <w:color w:val="auto"/>
              </w:rPr>
            </w:pPr>
            <w:r>
              <w:rPr>
                <w:rFonts w:ascii="Arial" w:cs="Arial" w:eastAsia="Arial" w:hAnsi="Arial"/>
                <w:sz w:val="16"/>
                <w:szCs w:val="16"/>
                <w:color w:val="auto"/>
              </w:rPr>
              <w:t>103,500</w:t>
            </w:r>
          </w:p>
        </w:tc>
        <w:tc>
          <w:tcPr>
            <w:tcW w:w="1600" w:type="dxa"/>
            <w:vAlign w:val="bottom"/>
            <w:shd w:val="clear" w:color="auto" w:fill="D9D9D9"/>
          </w:tcPr>
          <w:p>
            <w:pPr>
              <w:jc w:val="right"/>
              <w:ind w:right="102"/>
              <w:spacing w:after="0"/>
              <w:rPr>
                <w:sz w:val="20"/>
                <w:szCs w:val="20"/>
                <w:color w:val="auto"/>
              </w:rPr>
            </w:pPr>
            <w:r>
              <w:rPr>
                <w:rFonts w:ascii="Arial" w:cs="Arial" w:eastAsia="Arial" w:hAnsi="Arial"/>
                <w:sz w:val="16"/>
                <w:szCs w:val="16"/>
                <w:color w:val="auto"/>
              </w:rPr>
              <w:t>69,922</w:t>
            </w:r>
          </w:p>
        </w:tc>
        <w:tc>
          <w:tcPr>
            <w:tcW w:w="1600" w:type="dxa"/>
            <w:vAlign w:val="bottom"/>
            <w:shd w:val="clear" w:color="auto" w:fill="D9D9D9"/>
          </w:tcPr>
          <w:p>
            <w:pPr>
              <w:jc w:val="right"/>
              <w:ind w:right="102"/>
              <w:spacing w:after="0"/>
              <w:rPr>
                <w:sz w:val="20"/>
                <w:szCs w:val="20"/>
                <w:color w:val="auto"/>
              </w:rPr>
            </w:pPr>
            <w:r>
              <w:rPr>
                <w:rFonts w:ascii="Arial" w:cs="Arial" w:eastAsia="Arial" w:hAnsi="Arial"/>
                <w:sz w:val="16"/>
                <w:szCs w:val="16"/>
                <w:color w:val="auto"/>
              </w:rPr>
              <w:t>54,982</w:t>
            </w:r>
          </w:p>
        </w:tc>
        <w:tc>
          <w:tcPr>
            <w:tcW w:w="1780" w:type="dxa"/>
            <w:vAlign w:val="bottom"/>
            <w:shd w:val="clear" w:color="auto" w:fill="D9D9D9"/>
          </w:tcPr>
          <w:p>
            <w:pPr>
              <w:jc w:val="right"/>
              <w:ind w:right="283"/>
              <w:spacing w:after="0"/>
              <w:rPr>
                <w:sz w:val="20"/>
                <w:szCs w:val="20"/>
                <w:color w:val="auto"/>
              </w:rPr>
            </w:pPr>
            <w:r>
              <w:rPr>
                <w:rFonts w:ascii="Arial" w:cs="Arial" w:eastAsia="Arial" w:hAnsi="Arial"/>
                <w:sz w:val="16"/>
                <w:szCs w:val="16"/>
                <w:color w:val="auto"/>
              </w:rPr>
              <w:t>1,037</w:t>
            </w:r>
          </w:p>
        </w:tc>
        <w:tc>
          <w:tcPr>
            <w:tcW w:w="12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229,441</w:t>
            </w:r>
          </w:p>
        </w:tc>
      </w:tr>
      <w:tr>
        <w:trPr>
          <w:trHeight w:val="203"/>
        </w:trPr>
        <w:tc>
          <w:tcPr>
            <w:tcW w:w="2580" w:type="dxa"/>
            <w:vAlign w:val="bottom"/>
          </w:tcPr>
          <w:p>
            <w:pPr>
              <w:spacing w:after="0"/>
              <w:rPr>
                <w:sz w:val="20"/>
                <w:szCs w:val="20"/>
                <w:color w:val="auto"/>
              </w:rPr>
            </w:pPr>
            <w:r>
              <w:rPr>
                <w:rFonts w:ascii="Arial" w:cs="Arial" w:eastAsia="Arial" w:hAnsi="Arial"/>
                <w:sz w:val="16"/>
                <w:szCs w:val="16"/>
                <w:color w:val="auto"/>
              </w:rPr>
              <w:t>Jeffrey L. Harmening</w:t>
            </w:r>
          </w:p>
        </w:tc>
        <w:tc>
          <w:tcPr>
            <w:tcW w:w="2400" w:type="dxa"/>
            <w:vAlign w:val="bottom"/>
          </w:tcPr>
          <w:p>
            <w:pPr>
              <w:jc w:val="right"/>
              <w:ind w:right="123"/>
              <w:spacing w:after="0"/>
              <w:rPr>
                <w:sz w:val="20"/>
                <w:szCs w:val="20"/>
                <w:color w:val="auto"/>
              </w:rPr>
            </w:pPr>
            <w:r>
              <w:rPr>
                <w:rFonts w:ascii="Arial" w:cs="Arial" w:eastAsia="Arial" w:hAnsi="Arial"/>
                <w:sz w:val="16"/>
                <w:szCs w:val="16"/>
                <w:color w:val="auto"/>
              </w:rPr>
              <w:t>108,220</w:t>
            </w:r>
          </w:p>
        </w:tc>
        <w:tc>
          <w:tcPr>
            <w:tcW w:w="1600" w:type="dxa"/>
            <w:vAlign w:val="bottom"/>
          </w:tcPr>
          <w:p>
            <w:pPr>
              <w:jc w:val="right"/>
              <w:ind w:right="102"/>
              <w:spacing w:after="0"/>
              <w:rPr>
                <w:sz w:val="20"/>
                <w:szCs w:val="20"/>
                <w:color w:val="auto"/>
              </w:rPr>
            </w:pPr>
            <w:r>
              <w:rPr>
                <w:rFonts w:ascii="Arial" w:cs="Arial" w:eastAsia="Arial" w:hAnsi="Arial"/>
                <w:sz w:val="16"/>
                <w:szCs w:val="16"/>
                <w:color w:val="auto"/>
              </w:rPr>
              <w:t>69,922</w:t>
            </w:r>
          </w:p>
        </w:tc>
        <w:tc>
          <w:tcPr>
            <w:tcW w:w="1600" w:type="dxa"/>
            <w:vAlign w:val="bottom"/>
          </w:tcPr>
          <w:p>
            <w:pPr>
              <w:jc w:val="right"/>
              <w:ind w:right="102"/>
              <w:spacing w:after="0"/>
              <w:rPr>
                <w:sz w:val="20"/>
                <w:szCs w:val="20"/>
                <w:color w:val="auto"/>
              </w:rPr>
            </w:pPr>
            <w:r>
              <w:rPr>
                <w:rFonts w:ascii="Arial" w:cs="Arial" w:eastAsia="Arial" w:hAnsi="Arial"/>
                <w:sz w:val="16"/>
                <w:szCs w:val="16"/>
                <w:color w:val="auto"/>
              </w:rPr>
              <w:t>54,982</w:t>
            </w:r>
          </w:p>
        </w:tc>
        <w:tc>
          <w:tcPr>
            <w:tcW w:w="1780" w:type="dxa"/>
            <w:vAlign w:val="bottom"/>
          </w:tcPr>
          <w:p>
            <w:pPr>
              <w:jc w:val="right"/>
              <w:ind w:right="283"/>
              <w:spacing w:after="0"/>
              <w:rPr>
                <w:sz w:val="20"/>
                <w:szCs w:val="20"/>
                <w:color w:val="auto"/>
              </w:rPr>
            </w:pPr>
            <w:r>
              <w:rPr>
                <w:rFonts w:ascii="Arial" w:cs="Arial" w:eastAsia="Arial" w:hAnsi="Arial"/>
                <w:sz w:val="16"/>
                <w:szCs w:val="16"/>
                <w:color w:val="auto"/>
              </w:rPr>
              <w:t>0</w:t>
            </w:r>
          </w:p>
        </w:tc>
        <w:tc>
          <w:tcPr>
            <w:tcW w:w="1280" w:type="dxa"/>
            <w:vAlign w:val="bottom"/>
          </w:tcPr>
          <w:p>
            <w:pPr>
              <w:jc w:val="right"/>
              <w:spacing w:after="0"/>
              <w:rPr>
                <w:sz w:val="20"/>
                <w:szCs w:val="20"/>
                <w:color w:val="auto"/>
              </w:rPr>
            </w:pPr>
            <w:r>
              <w:rPr>
                <w:rFonts w:ascii="Arial" w:cs="Arial" w:eastAsia="Arial" w:hAnsi="Arial"/>
                <w:sz w:val="16"/>
                <w:szCs w:val="16"/>
                <w:color w:val="auto"/>
              </w:rPr>
              <w:t>233,124</w:t>
            </w:r>
          </w:p>
        </w:tc>
      </w:tr>
      <w:tr>
        <w:trPr>
          <w:trHeight w:val="203"/>
        </w:trPr>
        <w:tc>
          <w:tcPr>
            <w:tcW w:w="2580" w:type="dxa"/>
            <w:vAlign w:val="bottom"/>
            <w:shd w:val="clear" w:color="auto" w:fill="D9D9D9"/>
          </w:tcPr>
          <w:p>
            <w:pPr>
              <w:spacing w:after="0"/>
              <w:rPr>
                <w:sz w:val="20"/>
                <w:szCs w:val="20"/>
                <w:color w:val="auto"/>
              </w:rPr>
            </w:pPr>
            <w:r>
              <w:rPr>
                <w:rFonts w:ascii="Arial" w:cs="Arial" w:eastAsia="Arial" w:hAnsi="Arial"/>
                <w:sz w:val="16"/>
                <w:szCs w:val="16"/>
                <w:color w:val="auto"/>
              </w:rPr>
              <w:t>D. Christian Koch</w:t>
            </w:r>
          </w:p>
        </w:tc>
        <w:tc>
          <w:tcPr>
            <w:tcW w:w="2400" w:type="dxa"/>
            <w:vAlign w:val="bottom"/>
            <w:shd w:val="clear" w:color="auto" w:fill="D9D9D9"/>
          </w:tcPr>
          <w:p>
            <w:pPr>
              <w:jc w:val="right"/>
              <w:ind w:right="123"/>
              <w:spacing w:after="0"/>
              <w:rPr>
                <w:sz w:val="20"/>
                <w:szCs w:val="20"/>
                <w:color w:val="auto"/>
              </w:rPr>
            </w:pPr>
            <w:r>
              <w:rPr>
                <w:rFonts w:ascii="Arial" w:cs="Arial" w:eastAsia="Arial" w:hAnsi="Arial"/>
                <w:sz w:val="16"/>
                <w:szCs w:val="16"/>
                <w:color w:val="auto"/>
              </w:rPr>
              <w:t>98,000</w:t>
            </w:r>
          </w:p>
        </w:tc>
        <w:tc>
          <w:tcPr>
            <w:tcW w:w="1600" w:type="dxa"/>
            <w:vAlign w:val="bottom"/>
            <w:shd w:val="clear" w:color="auto" w:fill="D9D9D9"/>
          </w:tcPr>
          <w:p>
            <w:pPr>
              <w:jc w:val="right"/>
              <w:ind w:right="102"/>
              <w:spacing w:after="0"/>
              <w:rPr>
                <w:sz w:val="20"/>
                <w:szCs w:val="20"/>
                <w:color w:val="auto"/>
              </w:rPr>
            </w:pPr>
            <w:r>
              <w:rPr>
                <w:rFonts w:ascii="Arial" w:cs="Arial" w:eastAsia="Arial" w:hAnsi="Arial"/>
                <w:sz w:val="16"/>
                <w:szCs w:val="16"/>
                <w:color w:val="auto"/>
              </w:rPr>
              <w:t>69,922</w:t>
            </w:r>
          </w:p>
        </w:tc>
        <w:tc>
          <w:tcPr>
            <w:tcW w:w="1600" w:type="dxa"/>
            <w:vAlign w:val="bottom"/>
            <w:shd w:val="clear" w:color="auto" w:fill="D9D9D9"/>
          </w:tcPr>
          <w:p>
            <w:pPr>
              <w:jc w:val="right"/>
              <w:ind w:right="102"/>
              <w:spacing w:after="0"/>
              <w:rPr>
                <w:sz w:val="20"/>
                <w:szCs w:val="20"/>
                <w:color w:val="auto"/>
              </w:rPr>
            </w:pPr>
            <w:r>
              <w:rPr>
                <w:rFonts w:ascii="Arial" w:cs="Arial" w:eastAsia="Arial" w:hAnsi="Arial"/>
                <w:sz w:val="16"/>
                <w:szCs w:val="16"/>
                <w:color w:val="auto"/>
              </w:rPr>
              <w:t>54,982</w:t>
            </w:r>
          </w:p>
        </w:tc>
        <w:tc>
          <w:tcPr>
            <w:tcW w:w="1780" w:type="dxa"/>
            <w:vAlign w:val="bottom"/>
            <w:shd w:val="clear" w:color="auto" w:fill="D9D9D9"/>
          </w:tcPr>
          <w:p>
            <w:pPr>
              <w:jc w:val="right"/>
              <w:ind w:right="283"/>
              <w:spacing w:after="0"/>
              <w:rPr>
                <w:sz w:val="20"/>
                <w:szCs w:val="20"/>
                <w:color w:val="auto"/>
              </w:rPr>
            </w:pPr>
            <w:r>
              <w:rPr>
                <w:rFonts w:ascii="Arial" w:cs="Arial" w:eastAsia="Arial" w:hAnsi="Arial"/>
                <w:sz w:val="16"/>
                <w:szCs w:val="16"/>
                <w:color w:val="auto"/>
              </w:rPr>
              <w:t>0</w:t>
            </w:r>
          </w:p>
        </w:tc>
        <w:tc>
          <w:tcPr>
            <w:tcW w:w="12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222,904</w:t>
            </w:r>
          </w:p>
        </w:tc>
      </w:tr>
      <w:tr>
        <w:trPr>
          <w:trHeight w:val="203"/>
        </w:trPr>
        <w:tc>
          <w:tcPr>
            <w:tcW w:w="2580" w:type="dxa"/>
            <w:vAlign w:val="bottom"/>
          </w:tcPr>
          <w:p>
            <w:pPr>
              <w:spacing w:after="0" w:line="202" w:lineRule="exact"/>
              <w:rPr>
                <w:sz w:val="20"/>
                <w:szCs w:val="20"/>
                <w:color w:val="auto"/>
              </w:rPr>
            </w:pPr>
            <w:r>
              <w:rPr>
                <w:rFonts w:ascii="Arial" w:cs="Arial" w:eastAsia="Arial" w:hAnsi="Arial"/>
                <w:sz w:val="14"/>
                <w:szCs w:val="14"/>
                <w:color w:val="auto"/>
              </w:rPr>
              <w:t>Joyce A. Mullen</w:t>
            </w:r>
            <w:r>
              <w:rPr>
                <w:rFonts w:ascii="Arial" w:cs="Arial" w:eastAsia="Arial" w:hAnsi="Arial"/>
                <w:sz w:val="23"/>
                <w:szCs w:val="23"/>
                <w:color w:val="auto"/>
                <w:vertAlign w:val="superscript"/>
              </w:rPr>
              <w:t>(8)</w:t>
            </w:r>
          </w:p>
        </w:tc>
        <w:tc>
          <w:tcPr>
            <w:tcW w:w="2400" w:type="dxa"/>
            <w:vAlign w:val="bottom"/>
          </w:tcPr>
          <w:p>
            <w:pPr>
              <w:jc w:val="right"/>
              <w:ind w:right="123"/>
              <w:spacing w:after="0"/>
              <w:rPr>
                <w:sz w:val="20"/>
                <w:szCs w:val="20"/>
                <w:color w:val="auto"/>
              </w:rPr>
            </w:pPr>
            <w:r>
              <w:rPr>
                <w:rFonts w:ascii="Arial" w:cs="Arial" w:eastAsia="Arial" w:hAnsi="Arial"/>
                <w:sz w:val="16"/>
                <w:szCs w:val="16"/>
                <w:color w:val="auto"/>
              </w:rPr>
              <w:t>98,000</w:t>
            </w:r>
          </w:p>
        </w:tc>
        <w:tc>
          <w:tcPr>
            <w:tcW w:w="1600" w:type="dxa"/>
            <w:vAlign w:val="bottom"/>
          </w:tcPr>
          <w:p>
            <w:pPr>
              <w:jc w:val="right"/>
              <w:ind w:right="102"/>
              <w:spacing w:after="0"/>
              <w:rPr>
                <w:sz w:val="20"/>
                <w:szCs w:val="20"/>
                <w:color w:val="auto"/>
              </w:rPr>
            </w:pPr>
            <w:r>
              <w:rPr>
                <w:rFonts w:ascii="Arial" w:cs="Arial" w:eastAsia="Arial" w:hAnsi="Arial"/>
                <w:sz w:val="16"/>
                <w:szCs w:val="16"/>
                <w:color w:val="auto"/>
              </w:rPr>
              <w:t>69,922</w:t>
            </w:r>
          </w:p>
        </w:tc>
        <w:tc>
          <w:tcPr>
            <w:tcW w:w="1600" w:type="dxa"/>
            <w:vAlign w:val="bottom"/>
          </w:tcPr>
          <w:p>
            <w:pPr>
              <w:jc w:val="right"/>
              <w:ind w:right="102"/>
              <w:spacing w:after="0"/>
              <w:rPr>
                <w:sz w:val="20"/>
                <w:szCs w:val="20"/>
                <w:color w:val="auto"/>
              </w:rPr>
            </w:pPr>
            <w:r>
              <w:rPr>
                <w:rFonts w:ascii="Arial" w:cs="Arial" w:eastAsia="Arial" w:hAnsi="Arial"/>
                <w:sz w:val="16"/>
                <w:szCs w:val="16"/>
                <w:color w:val="auto"/>
              </w:rPr>
              <w:t>54,982</w:t>
            </w:r>
          </w:p>
        </w:tc>
        <w:tc>
          <w:tcPr>
            <w:tcW w:w="1780" w:type="dxa"/>
            <w:vAlign w:val="bottom"/>
          </w:tcPr>
          <w:p>
            <w:pPr>
              <w:jc w:val="right"/>
              <w:ind w:right="283"/>
              <w:spacing w:after="0"/>
              <w:rPr>
                <w:sz w:val="20"/>
                <w:szCs w:val="20"/>
                <w:color w:val="auto"/>
              </w:rPr>
            </w:pPr>
            <w:r>
              <w:rPr>
                <w:rFonts w:ascii="Arial" w:cs="Arial" w:eastAsia="Arial" w:hAnsi="Arial"/>
                <w:sz w:val="16"/>
                <w:szCs w:val="16"/>
                <w:color w:val="auto"/>
              </w:rPr>
              <w:t>0</w:t>
            </w:r>
          </w:p>
        </w:tc>
        <w:tc>
          <w:tcPr>
            <w:tcW w:w="1280" w:type="dxa"/>
            <w:vAlign w:val="bottom"/>
          </w:tcPr>
          <w:p>
            <w:pPr>
              <w:jc w:val="right"/>
              <w:spacing w:after="0"/>
              <w:rPr>
                <w:sz w:val="20"/>
                <w:szCs w:val="20"/>
                <w:color w:val="auto"/>
              </w:rPr>
            </w:pPr>
            <w:r>
              <w:rPr>
                <w:rFonts w:ascii="Arial" w:cs="Arial" w:eastAsia="Arial" w:hAnsi="Arial"/>
                <w:sz w:val="16"/>
                <w:szCs w:val="16"/>
                <w:color w:val="auto"/>
              </w:rPr>
              <w:t>222,904</w:t>
            </w:r>
          </w:p>
        </w:tc>
      </w:tr>
      <w:tr>
        <w:trPr>
          <w:trHeight w:val="203"/>
        </w:trPr>
        <w:tc>
          <w:tcPr>
            <w:tcW w:w="2580" w:type="dxa"/>
            <w:vAlign w:val="bottom"/>
            <w:shd w:val="clear" w:color="auto" w:fill="D9D9D9"/>
          </w:tcPr>
          <w:p>
            <w:pPr>
              <w:spacing w:after="0"/>
              <w:rPr>
                <w:sz w:val="20"/>
                <w:szCs w:val="20"/>
                <w:color w:val="auto"/>
              </w:rPr>
            </w:pPr>
            <w:r>
              <w:rPr>
                <w:rFonts w:ascii="Arial" w:cs="Arial" w:eastAsia="Arial" w:hAnsi="Arial"/>
                <w:sz w:val="16"/>
                <w:szCs w:val="16"/>
                <w:color w:val="auto"/>
              </w:rPr>
              <w:t>James C. O’Rourke</w:t>
            </w:r>
          </w:p>
        </w:tc>
        <w:tc>
          <w:tcPr>
            <w:tcW w:w="2400" w:type="dxa"/>
            <w:vAlign w:val="bottom"/>
            <w:shd w:val="clear" w:color="auto" w:fill="D9D9D9"/>
          </w:tcPr>
          <w:p>
            <w:pPr>
              <w:jc w:val="right"/>
              <w:ind w:right="123"/>
              <w:spacing w:after="0"/>
              <w:rPr>
                <w:sz w:val="20"/>
                <w:szCs w:val="20"/>
                <w:color w:val="auto"/>
              </w:rPr>
            </w:pPr>
            <w:r>
              <w:rPr>
                <w:rFonts w:ascii="Arial" w:cs="Arial" w:eastAsia="Arial" w:hAnsi="Arial"/>
                <w:sz w:val="16"/>
                <w:szCs w:val="16"/>
                <w:color w:val="auto"/>
              </w:rPr>
              <w:t>110,000</w:t>
            </w:r>
          </w:p>
        </w:tc>
        <w:tc>
          <w:tcPr>
            <w:tcW w:w="1600" w:type="dxa"/>
            <w:vAlign w:val="bottom"/>
            <w:shd w:val="clear" w:color="auto" w:fill="D9D9D9"/>
          </w:tcPr>
          <w:p>
            <w:pPr>
              <w:jc w:val="right"/>
              <w:ind w:right="102"/>
              <w:spacing w:after="0"/>
              <w:rPr>
                <w:sz w:val="20"/>
                <w:szCs w:val="20"/>
                <w:color w:val="auto"/>
              </w:rPr>
            </w:pPr>
            <w:r>
              <w:rPr>
                <w:rFonts w:ascii="Arial" w:cs="Arial" w:eastAsia="Arial" w:hAnsi="Arial"/>
                <w:sz w:val="16"/>
                <w:szCs w:val="16"/>
                <w:color w:val="auto"/>
              </w:rPr>
              <w:t>69,922</w:t>
            </w:r>
          </w:p>
        </w:tc>
        <w:tc>
          <w:tcPr>
            <w:tcW w:w="1600" w:type="dxa"/>
            <w:vAlign w:val="bottom"/>
            <w:shd w:val="clear" w:color="auto" w:fill="D9D9D9"/>
          </w:tcPr>
          <w:p>
            <w:pPr>
              <w:jc w:val="right"/>
              <w:ind w:right="102"/>
              <w:spacing w:after="0"/>
              <w:rPr>
                <w:sz w:val="20"/>
                <w:szCs w:val="20"/>
                <w:color w:val="auto"/>
              </w:rPr>
            </w:pPr>
            <w:r>
              <w:rPr>
                <w:rFonts w:ascii="Arial" w:cs="Arial" w:eastAsia="Arial" w:hAnsi="Arial"/>
                <w:sz w:val="16"/>
                <w:szCs w:val="16"/>
                <w:color w:val="auto"/>
              </w:rPr>
              <w:t>54,982</w:t>
            </w:r>
          </w:p>
        </w:tc>
        <w:tc>
          <w:tcPr>
            <w:tcW w:w="1780" w:type="dxa"/>
            <w:vAlign w:val="bottom"/>
            <w:shd w:val="clear" w:color="auto" w:fill="D9D9D9"/>
          </w:tcPr>
          <w:p>
            <w:pPr>
              <w:jc w:val="right"/>
              <w:ind w:right="283"/>
              <w:spacing w:after="0"/>
              <w:rPr>
                <w:sz w:val="20"/>
                <w:szCs w:val="20"/>
                <w:color w:val="auto"/>
              </w:rPr>
            </w:pPr>
            <w:r>
              <w:rPr>
                <w:rFonts w:ascii="Arial" w:cs="Arial" w:eastAsia="Arial" w:hAnsi="Arial"/>
                <w:sz w:val="16"/>
                <w:szCs w:val="16"/>
                <w:color w:val="auto"/>
              </w:rPr>
              <w:t>0</w:t>
            </w:r>
          </w:p>
        </w:tc>
        <w:tc>
          <w:tcPr>
            <w:tcW w:w="12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234,904</w:t>
            </w:r>
          </w:p>
        </w:tc>
      </w:tr>
      <w:tr>
        <w:trPr>
          <w:trHeight w:val="203"/>
        </w:trPr>
        <w:tc>
          <w:tcPr>
            <w:tcW w:w="2580" w:type="dxa"/>
            <w:vAlign w:val="bottom"/>
          </w:tcPr>
          <w:p>
            <w:pPr>
              <w:spacing w:after="0" w:line="202" w:lineRule="exact"/>
              <w:rPr>
                <w:sz w:val="20"/>
                <w:szCs w:val="20"/>
                <w:color w:val="auto"/>
              </w:rPr>
            </w:pPr>
            <w:r>
              <w:rPr>
                <w:rFonts w:ascii="Arial" w:cs="Arial" w:eastAsia="Arial" w:hAnsi="Arial"/>
                <w:sz w:val="14"/>
                <w:szCs w:val="14"/>
                <w:color w:val="auto"/>
              </w:rPr>
              <w:t>Jill M. Pemberton</w:t>
            </w:r>
            <w:r>
              <w:rPr>
                <w:rFonts w:ascii="Arial" w:cs="Arial" w:eastAsia="Arial" w:hAnsi="Arial"/>
                <w:sz w:val="23"/>
                <w:szCs w:val="23"/>
                <w:color w:val="auto"/>
                <w:vertAlign w:val="superscript"/>
              </w:rPr>
              <w:t>(7)</w:t>
            </w:r>
          </w:p>
        </w:tc>
        <w:tc>
          <w:tcPr>
            <w:tcW w:w="2400" w:type="dxa"/>
            <w:vAlign w:val="bottom"/>
          </w:tcPr>
          <w:p>
            <w:pPr>
              <w:jc w:val="right"/>
              <w:ind w:right="123"/>
              <w:spacing w:after="0"/>
              <w:rPr>
                <w:sz w:val="20"/>
                <w:szCs w:val="20"/>
                <w:color w:val="auto"/>
              </w:rPr>
            </w:pPr>
            <w:r>
              <w:rPr>
                <w:rFonts w:ascii="Arial" w:cs="Arial" w:eastAsia="Arial" w:hAnsi="Arial"/>
                <w:sz w:val="16"/>
                <w:szCs w:val="16"/>
                <w:color w:val="auto"/>
              </w:rPr>
              <w:t>65,135</w:t>
            </w:r>
          </w:p>
        </w:tc>
        <w:tc>
          <w:tcPr>
            <w:tcW w:w="1600" w:type="dxa"/>
            <w:vAlign w:val="bottom"/>
          </w:tcPr>
          <w:p>
            <w:pPr>
              <w:jc w:val="right"/>
              <w:ind w:right="102"/>
              <w:spacing w:after="0"/>
              <w:rPr>
                <w:sz w:val="20"/>
                <w:szCs w:val="20"/>
                <w:color w:val="auto"/>
              </w:rPr>
            </w:pPr>
            <w:r>
              <w:rPr>
                <w:rFonts w:ascii="Arial" w:cs="Arial" w:eastAsia="Arial" w:hAnsi="Arial"/>
                <w:sz w:val="16"/>
                <w:szCs w:val="16"/>
                <w:color w:val="auto"/>
              </w:rPr>
              <w:t>0</w:t>
            </w:r>
          </w:p>
        </w:tc>
        <w:tc>
          <w:tcPr>
            <w:tcW w:w="1600" w:type="dxa"/>
            <w:vAlign w:val="bottom"/>
          </w:tcPr>
          <w:p>
            <w:pPr>
              <w:jc w:val="right"/>
              <w:ind w:right="102"/>
              <w:spacing w:after="0"/>
              <w:rPr>
                <w:sz w:val="20"/>
                <w:szCs w:val="20"/>
                <w:color w:val="auto"/>
              </w:rPr>
            </w:pPr>
            <w:r>
              <w:rPr>
                <w:rFonts w:ascii="Arial" w:cs="Arial" w:eastAsia="Arial" w:hAnsi="Arial"/>
                <w:sz w:val="16"/>
                <w:szCs w:val="16"/>
                <w:color w:val="auto"/>
              </w:rPr>
              <w:t>0</w:t>
            </w:r>
          </w:p>
        </w:tc>
        <w:tc>
          <w:tcPr>
            <w:tcW w:w="1780" w:type="dxa"/>
            <w:vAlign w:val="bottom"/>
          </w:tcPr>
          <w:p>
            <w:pPr>
              <w:jc w:val="right"/>
              <w:ind w:right="283"/>
              <w:spacing w:after="0"/>
              <w:rPr>
                <w:sz w:val="20"/>
                <w:szCs w:val="20"/>
                <w:color w:val="auto"/>
              </w:rPr>
            </w:pPr>
            <w:r>
              <w:rPr>
                <w:rFonts w:ascii="Arial" w:cs="Arial" w:eastAsia="Arial" w:hAnsi="Arial"/>
                <w:sz w:val="16"/>
                <w:szCs w:val="16"/>
                <w:color w:val="auto"/>
              </w:rPr>
              <w:t>0</w:t>
            </w:r>
          </w:p>
        </w:tc>
        <w:tc>
          <w:tcPr>
            <w:tcW w:w="1280" w:type="dxa"/>
            <w:vAlign w:val="bottom"/>
          </w:tcPr>
          <w:p>
            <w:pPr>
              <w:jc w:val="right"/>
              <w:spacing w:after="0"/>
              <w:rPr>
                <w:sz w:val="20"/>
                <w:szCs w:val="20"/>
                <w:color w:val="auto"/>
              </w:rPr>
            </w:pPr>
            <w:r>
              <w:rPr>
                <w:rFonts w:ascii="Arial" w:cs="Arial" w:eastAsia="Arial" w:hAnsi="Arial"/>
                <w:sz w:val="16"/>
                <w:szCs w:val="16"/>
                <w:color w:val="auto"/>
              </w:rPr>
              <w:t>65,135</w:t>
            </w:r>
          </w:p>
        </w:tc>
      </w:tr>
      <w:tr>
        <w:trPr>
          <w:trHeight w:val="203"/>
        </w:trPr>
        <w:tc>
          <w:tcPr>
            <w:tcW w:w="2580" w:type="dxa"/>
            <w:vAlign w:val="bottom"/>
            <w:shd w:val="clear" w:color="auto" w:fill="D9D9D9"/>
          </w:tcPr>
          <w:p>
            <w:pPr>
              <w:spacing w:after="0" w:line="202" w:lineRule="exact"/>
              <w:rPr>
                <w:sz w:val="20"/>
                <w:szCs w:val="20"/>
                <w:color w:val="auto"/>
              </w:rPr>
            </w:pPr>
            <w:r>
              <w:rPr>
                <w:rFonts w:ascii="Arial" w:cs="Arial" w:eastAsia="Arial" w:hAnsi="Arial"/>
                <w:sz w:val="14"/>
                <w:szCs w:val="14"/>
                <w:color w:val="auto"/>
              </w:rPr>
              <w:t>Michael G. Vale</w:t>
            </w:r>
            <w:r>
              <w:rPr>
                <w:rFonts w:ascii="Arial" w:cs="Arial" w:eastAsia="Arial" w:hAnsi="Arial"/>
                <w:sz w:val="23"/>
                <w:szCs w:val="23"/>
                <w:color w:val="auto"/>
                <w:vertAlign w:val="superscript"/>
              </w:rPr>
              <w:t>(8)</w:t>
            </w:r>
          </w:p>
        </w:tc>
        <w:tc>
          <w:tcPr>
            <w:tcW w:w="2400" w:type="dxa"/>
            <w:vAlign w:val="bottom"/>
            <w:shd w:val="clear" w:color="auto" w:fill="D9D9D9"/>
          </w:tcPr>
          <w:p>
            <w:pPr>
              <w:jc w:val="right"/>
              <w:ind w:right="123"/>
              <w:spacing w:after="0"/>
              <w:rPr>
                <w:sz w:val="20"/>
                <w:szCs w:val="20"/>
                <w:color w:val="auto"/>
              </w:rPr>
            </w:pPr>
            <w:r>
              <w:rPr>
                <w:rFonts w:ascii="Arial" w:cs="Arial" w:eastAsia="Arial" w:hAnsi="Arial"/>
                <w:sz w:val="16"/>
                <w:szCs w:val="16"/>
                <w:color w:val="auto"/>
              </w:rPr>
              <w:t>103,500</w:t>
            </w:r>
          </w:p>
        </w:tc>
        <w:tc>
          <w:tcPr>
            <w:tcW w:w="1600" w:type="dxa"/>
            <w:vAlign w:val="bottom"/>
            <w:shd w:val="clear" w:color="auto" w:fill="D9D9D9"/>
          </w:tcPr>
          <w:p>
            <w:pPr>
              <w:jc w:val="right"/>
              <w:ind w:right="102"/>
              <w:spacing w:after="0"/>
              <w:rPr>
                <w:sz w:val="20"/>
                <w:szCs w:val="20"/>
                <w:color w:val="auto"/>
              </w:rPr>
            </w:pPr>
            <w:r>
              <w:rPr>
                <w:rFonts w:ascii="Arial" w:cs="Arial" w:eastAsia="Arial" w:hAnsi="Arial"/>
                <w:sz w:val="16"/>
                <w:szCs w:val="16"/>
                <w:color w:val="auto"/>
              </w:rPr>
              <w:t>69,922</w:t>
            </w:r>
          </w:p>
        </w:tc>
        <w:tc>
          <w:tcPr>
            <w:tcW w:w="1600" w:type="dxa"/>
            <w:vAlign w:val="bottom"/>
            <w:shd w:val="clear" w:color="auto" w:fill="D9D9D9"/>
          </w:tcPr>
          <w:p>
            <w:pPr>
              <w:jc w:val="right"/>
              <w:ind w:right="102"/>
              <w:spacing w:after="0"/>
              <w:rPr>
                <w:sz w:val="20"/>
                <w:szCs w:val="20"/>
                <w:color w:val="auto"/>
              </w:rPr>
            </w:pPr>
            <w:r>
              <w:rPr>
                <w:rFonts w:ascii="Arial" w:cs="Arial" w:eastAsia="Arial" w:hAnsi="Arial"/>
                <w:sz w:val="16"/>
                <w:szCs w:val="16"/>
                <w:color w:val="auto"/>
              </w:rPr>
              <w:t>54,982</w:t>
            </w:r>
          </w:p>
        </w:tc>
        <w:tc>
          <w:tcPr>
            <w:tcW w:w="1780" w:type="dxa"/>
            <w:vAlign w:val="bottom"/>
            <w:shd w:val="clear" w:color="auto" w:fill="D9D9D9"/>
          </w:tcPr>
          <w:p>
            <w:pPr>
              <w:jc w:val="right"/>
              <w:ind w:right="283"/>
              <w:spacing w:after="0"/>
              <w:rPr>
                <w:sz w:val="20"/>
                <w:szCs w:val="20"/>
                <w:color w:val="auto"/>
              </w:rPr>
            </w:pPr>
            <w:r>
              <w:rPr>
                <w:rFonts w:ascii="Arial" w:cs="Arial" w:eastAsia="Arial" w:hAnsi="Arial"/>
                <w:sz w:val="16"/>
                <w:szCs w:val="16"/>
                <w:color w:val="auto"/>
              </w:rPr>
              <w:t>0</w:t>
            </w:r>
          </w:p>
        </w:tc>
        <w:tc>
          <w:tcPr>
            <w:tcW w:w="12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228,404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0402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37" w:lineRule="exact"/>
        <w:rPr>
          <w:sz w:val="20"/>
          <w:szCs w:val="20"/>
          <w:color w:val="auto"/>
        </w:rPr>
      </w:pPr>
    </w:p>
    <w:p>
      <w:pPr>
        <w:ind w:left="500" w:right="420" w:hanging="492"/>
        <w:spacing w:after="0" w:line="266"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Unless a director elected to defer receipt or convert a portion or all of his or her annual retainers into shares of our common stock, annual retainers were paid in cash at the beginning of each fiscal quarter.</w:t>
      </w:r>
    </w:p>
    <w:p>
      <w:pPr>
        <w:ind w:left="500" w:right="80" w:hanging="492"/>
        <w:spacing w:after="0" w:line="253"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following directors elected to convert all of their annual cash retainers into the following shares of our common stock, which number of shares received was based on the closing stock price of our common stock on December 15, 2022, of $111.74: Mr. Ettinger —966 shares; and Mr. Koch—899 shares.</w:t>
      </w:r>
    </w:p>
    <w:p>
      <w:pPr>
        <w:spacing w:after="0" w:line="6" w:lineRule="exact"/>
        <w:rPr>
          <w:rFonts w:ascii="Arial" w:cs="Arial" w:eastAsia="Arial" w:hAnsi="Arial"/>
          <w:sz w:val="18"/>
          <w:szCs w:val="18"/>
          <w:color w:val="auto"/>
        </w:rPr>
      </w:pPr>
    </w:p>
    <w:p>
      <w:pPr>
        <w:ind w:left="500" w:right="60" w:hanging="492"/>
        <w:spacing w:after="0" w:line="242"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November 1, 2021, 717 shares of our common stock were granted to each non-employee director with the calculation as to the number of shares based on the average of the closing prices of our common stock during the three months prior to the grant, which was $104.57. However, the amount reported in the table represents the grant date fair value, computed in accordance with Financial Accounting Standards Board (FASB) Accounting Standard Codification (ASC) Topic 718. The closing price on the grant date of $97.52 was used in calculating the grant date fair value. The stock awards granted on November 1, 2021, were the only stock awards granted to directors during fiscal 2022. As of October 31, 2022, no directors held any restricted stock or other unvested stock awards.</w:t>
      </w:r>
    </w:p>
    <w:p>
      <w:pPr>
        <w:spacing w:after="0" w:line="16" w:lineRule="exact"/>
        <w:rPr>
          <w:rFonts w:ascii="Arial" w:cs="Arial" w:eastAsia="Arial" w:hAnsi="Arial"/>
          <w:sz w:val="18"/>
          <w:szCs w:val="18"/>
          <w:color w:val="auto"/>
        </w:rPr>
      </w:pPr>
    </w:p>
    <w:p>
      <w:pPr>
        <w:ind w:left="500" w:right="40" w:hanging="492"/>
        <w:spacing w:after="0" w:line="239"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November 1, 2021, a stock option to purchase 2,435 shares of our common stock was granted to each non-employee director. The amount reported in the table represents the grant date fair value computed in accordance with FASB ASC Topic 718. The grant date fair value is based on a Black-Scholes model valuation of $22.58 per share. The following assumptions were used in the Black-Scholes calculation: a risk-free interest rate of 1.382%; expected life of 6.4 years; expected volatility of 23.685%; and an expected dividend yield of 0.95%. The exercise price per share is equal to 100% of the fair market value of one share of our common stock on the grant date, as determined by the closing price for our common stock, which was $97.52 on November 1, 2021. The actual value of the stock option awards, if any, to be realized by a director depends upon whether the price of our common stock at exercise is greater than the exercise price of the stock options. The stock option awards granted on November 1, 2021, were the only stock options granted to directors during fiscal 2022.</w:t>
      </w:r>
    </w:p>
    <w:p>
      <w:pPr>
        <w:spacing w:after="0" w:line="21" w:lineRule="exact"/>
        <w:rPr>
          <w:rFonts w:ascii="Arial" w:cs="Arial" w:eastAsia="Arial" w:hAnsi="Arial"/>
          <w:sz w:val="18"/>
          <w:szCs w:val="18"/>
          <w:color w:val="auto"/>
        </w:rPr>
      </w:pPr>
    </w:p>
    <w:p>
      <w:pPr>
        <w:ind w:left="500" w:right="20" w:hanging="492"/>
        <w:spacing w:after="0" w:line="247"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 of October 31, 2022, the aggregate number of stock options (exercisable and unexercisable) held by each director who served during all or part of fiscal 2022 was as follows: Ms. Cooper—27,474; Mr. Ellis—37,770; Mr. Ettinger—37,770; Ms. Harless—37,770; Mr. Harmening—9,157; Mr. Koch—22,436; Ms. Mullen—9,157; Mr. O’Rourke—27,474; and Dr. Vale—13,639. These numbers are different from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numbers set forth in the “Stock Options” column in footnote (2) to the “Directors and Executive Officers” stock ownership table which</w:t>
      </w:r>
    </w:p>
    <w:p>
      <w:pPr>
        <w:spacing w:after="0" w:line="14" w:lineRule="exact"/>
        <w:rPr>
          <w:sz w:val="20"/>
          <w:szCs w:val="20"/>
          <w:color w:val="auto"/>
        </w:rPr>
      </w:pPr>
    </w:p>
    <w:p>
      <w:pPr>
        <w:ind w:left="500" w:right="80"/>
        <w:spacing w:after="0" w:line="250" w:lineRule="auto"/>
        <w:rPr>
          <w:sz w:val="20"/>
          <w:szCs w:val="20"/>
          <w:color w:val="auto"/>
        </w:rPr>
      </w:pPr>
      <w:r>
        <w:rPr>
          <w:rFonts w:ascii="Arial" w:cs="Arial" w:eastAsia="Arial" w:hAnsi="Arial"/>
          <w:sz w:val="18"/>
          <w:szCs w:val="18"/>
          <w:color w:val="auto"/>
        </w:rPr>
        <w:t>(i) sets forth information as of January 20, 2023 and (ii) does not include options that will become exercisable more than 60 days after January 20, 2023.</w:t>
      </w:r>
    </w:p>
    <w:p>
      <w:pPr>
        <w:spacing w:after="0" w:line="9" w:lineRule="exact"/>
        <w:rPr>
          <w:sz w:val="20"/>
          <w:szCs w:val="20"/>
          <w:color w:val="auto"/>
        </w:rPr>
      </w:pPr>
    </w:p>
    <w:p>
      <w:pPr>
        <w:jc w:val="both"/>
        <w:ind w:left="500" w:right="180" w:hanging="492"/>
        <w:spacing w:after="0" w:line="253"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generally do not provide perquisites and other personal benefits to our non-employee directors other than Company products for personal use and occasional travel for guests of non-employee directors and officers. The amount reported includes for each of Ms. Harless and Mr. Hansotia the value of products, parts, service or accessories, as described under “Company Products” above.</w:t>
      </w:r>
    </w:p>
    <w:p>
      <w:pPr>
        <w:spacing w:after="0" w:line="6" w:lineRule="exact"/>
        <w:rPr>
          <w:rFonts w:ascii="Arial" w:cs="Arial" w:eastAsia="Arial" w:hAnsi="Arial"/>
          <w:sz w:val="18"/>
          <w:szCs w:val="18"/>
          <w:color w:val="auto"/>
        </w:rPr>
      </w:pPr>
    </w:p>
    <w:p>
      <w:pPr>
        <w:ind w:left="500" w:right="60" w:hanging="492"/>
        <w:spacing w:after="0" w:line="244"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Mr. Hansotia and Ms. Pemberton were elected to the Board at our 2022 Annual Meeting of Shareholders. Accordingly, the fees shown for Mr. Hansotia and Ms. Pemberton are for the period from March 15, 2022 through October 31, 2022. As they were not serving on the Board on November 1, 2021, the date of the fiscal 2022 annual stock award and annual stock option grants, they did not receive such awards in fiscal 2022. Additionally, Mr. Hansotia and Ms. Pemberton elected to defer receipt of their retainers earned in fiscal 2022 under the Deferred Plan for Directors.</w:t>
      </w:r>
    </w:p>
    <w:p>
      <w:pPr>
        <w:spacing w:after="0" w:line="14" w:lineRule="exact"/>
        <w:rPr>
          <w:rFonts w:ascii="Arial" w:cs="Arial" w:eastAsia="Arial" w:hAnsi="Arial"/>
          <w:sz w:val="18"/>
          <w:szCs w:val="18"/>
          <w:color w:val="auto"/>
        </w:rPr>
      </w:pPr>
    </w:p>
    <w:p>
      <w:pPr>
        <w:ind w:left="500" w:hanging="492"/>
        <w:spacing w:after="0" w:line="247"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Ms. Harless and Ms. Mullen elected to defer receipt of their (i) calendar 2021 and calendar 2022 retainers earned in fiscal 2022 and (ii) the annual stock award granted on November 1, 2021, each under the Deferred Plan for Directors. Dr. Vale elected to defer receipt of his (i) calendar 2021 retainers earned in fiscal 2022 and (ii) the annual stock award granted on November 1, 2021, each under the Deferred Plan for Directors.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257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FFFFFF"/>
        </w:rPr>
        <w:t>PROPOSAL TWO—RATIFICATION OF SELECTION OF</w:t>
      </w:r>
    </w:p>
    <w:p>
      <w:pPr>
        <w:jc w:val="center"/>
        <w:ind w:right="20"/>
        <w:spacing w:after="0"/>
        <w:rPr>
          <w:sz w:val="20"/>
          <w:szCs w:val="20"/>
          <w:color w:val="auto"/>
        </w:rPr>
      </w:pPr>
      <w:r>
        <w:rPr>
          <w:rFonts w:ascii="Arial" w:cs="Arial" w:eastAsia="Arial" w:hAnsi="Arial"/>
          <w:sz w:val="22"/>
          <w:szCs w:val="22"/>
          <w:b w:val="1"/>
          <w:bCs w:val="1"/>
          <w:color w:val="FFFFFF"/>
        </w:rPr>
        <w:t>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Selection of Independent Registered Public Accounting Firm</w:t>
      </w:r>
    </w:p>
    <w:p>
      <w:pPr>
        <w:spacing w:after="0" w:line="99" w:lineRule="exact"/>
        <w:rPr>
          <w:sz w:val="20"/>
          <w:szCs w:val="20"/>
          <w:color w:val="auto"/>
        </w:rPr>
      </w:pPr>
    </w:p>
    <w:p>
      <w:pPr>
        <w:ind w:right="100" w:firstLine="401"/>
        <w:spacing w:after="0" w:line="238" w:lineRule="auto"/>
        <w:rPr>
          <w:sz w:val="20"/>
          <w:szCs w:val="20"/>
          <w:color w:val="auto"/>
        </w:rPr>
      </w:pPr>
      <w:r>
        <w:rPr>
          <w:rFonts w:ascii="Arial" w:cs="Arial" w:eastAsia="Arial" w:hAnsi="Arial"/>
          <w:sz w:val="18"/>
          <w:szCs w:val="18"/>
          <w:color w:val="auto"/>
        </w:rPr>
        <w:t>The Audit Committee selects our external auditor. In this regard, the Audit Committee evaluates the qualifications, performance and independence of our external auditor and determines whether to re-engage the current external auditor. As part of its evaluation, the Audit Committee considers, among other factors, the quality and efficiency of the services provided by the external auditor, including the performance, technical expertise, and industry knowledge of the lead audit partner and the audit team assigned to our account; the overall strength and reputation of the external audit firm; the external auditor’s global capabilities relative to our business; the external auditor’s knowledge of our operations; and the external auditor’s fees. Upon consideration of these and other factors, the Audit Committee has selected KPMG LLP, or KPMG, to serve as our external auditor for fiscal 2023. Although it is not required to do so, the Board, as it traditionally has done in the past, is asking our shareholders to ratify the Audit Committee’s selection of KPMG. If our shareholders do not ratify the selection of KPMG, the Audit Committee may reconsider its selection. Even if the selection is ratified by our shareholders, the Audit Committee in its discretion may change the appointment at any time during the year if it determines that such a change would be in the best interests of our Company and our shareholders.</w:t>
      </w:r>
    </w:p>
    <w:p>
      <w:pPr>
        <w:spacing w:after="0" w:line="78" w:lineRule="exact"/>
        <w:rPr>
          <w:sz w:val="20"/>
          <w:szCs w:val="20"/>
          <w:color w:val="auto"/>
        </w:rPr>
      </w:pPr>
    </w:p>
    <w:p>
      <w:pPr>
        <w:ind w:right="120" w:firstLine="401"/>
        <w:spacing w:after="0" w:line="271" w:lineRule="auto"/>
        <w:rPr>
          <w:sz w:val="20"/>
          <w:szCs w:val="20"/>
          <w:color w:val="auto"/>
        </w:rPr>
      </w:pPr>
      <w:r>
        <w:rPr>
          <w:rFonts w:ascii="Arial" w:cs="Arial" w:eastAsia="Arial" w:hAnsi="Arial"/>
          <w:sz w:val="18"/>
          <w:szCs w:val="18"/>
          <w:color w:val="auto"/>
        </w:rPr>
        <w:t>Representatives of KPMG will be present at the annual meeting to answer appropriate questions. They also will have the opportunity to make a statement if they wish to do so.</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Audit, Audit-Related, Tax and Other Fees</w:t>
      </w:r>
    </w:p>
    <w:p>
      <w:pPr>
        <w:spacing w:after="0" w:line="99" w:lineRule="exact"/>
        <w:rPr>
          <w:sz w:val="20"/>
          <w:szCs w:val="20"/>
          <w:color w:val="auto"/>
        </w:rPr>
      </w:pPr>
    </w:p>
    <w:p>
      <w:pPr>
        <w:ind w:right="80" w:firstLine="401"/>
        <w:spacing w:after="0" w:line="271" w:lineRule="auto"/>
        <w:rPr>
          <w:sz w:val="20"/>
          <w:szCs w:val="20"/>
          <w:color w:val="auto"/>
        </w:rPr>
      </w:pPr>
      <w:r>
        <w:rPr>
          <w:rFonts w:ascii="Arial" w:cs="Arial" w:eastAsia="Arial" w:hAnsi="Arial"/>
          <w:sz w:val="18"/>
          <w:szCs w:val="18"/>
          <w:color w:val="auto"/>
        </w:rPr>
        <w:t>The following table sets forth the aggregate fees billed to us for professional services rendered by KPMG for fiscal 2022 and fiscal 2021 by category, as described in the footnotes to the table.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860" w:type="dxa"/>
            <w:vAlign w:val="bottom"/>
            <w:shd w:val="clear" w:color="auto" w:fill="C00000"/>
          </w:tcPr>
          <w:p>
            <w:pPr>
              <w:spacing w:after="0"/>
              <w:rPr>
                <w:sz w:val="14"/>
                <w:szCs w:val="14"/>
                <w:color w:val="auto"/>
              </w:rPr>
            </w:pPr>
          </w:p>
        </w:tc>
        <w:tc>
          <w:tcPr>
            <w:tcW w:w="4820" w:type="dxa"/>
            <w:vAlign w:val="bottom"/>
            <w:shd w:val="clear" w:color="auto" w:fill="C00000"/>
          </w:tcPr>
          <w:p>
            <w:pPr>
              <w:jc w:val="right"/>
              <w:ind w:right="682"/>
              <w:spacing w:after="0"/>
              <w:rPr>
                <w:sz w:val="20"/>
                <w:szCs w:val="20"/>
                <w:color w:val="auto"/>
              </w:rPr>
            </w:pPr>
            <w:r>
              <w:rPr>
                <w:rFonts w:ascii="Arial" w:cs="Arial" w:eastAsia="Arial" w:hAnsi="Arial"/>
                <w:sz w:val="14"/>
                <w:szCs w:val="14"/>
                <w:b w:val="1"/>
                <w:bCs w:val="1"/>
                <w:color w:val="FFFFFF"/>
              </w:rPr>
              <w:t>Fiscal 2022</w:t>
            </w:r>
          </w:p>
        </w:tc>
        <w:tc>
          <w:tcPr>
            <w:tcW w:w="1560" w:type="dxa"/>
            <w:vAlign w:val="bottom"/>
            <w:shd w:val="clear" w:color="auto" w:fill="C00000"/>
          </w:tcPr>
          <w:p>
            <w:pPr>
              <w:jc w:val="right"/>
              <w:ind w:right="382"/>
              <w:spacing w:after="0"/>
              <w:rPr>
                <w:sz w:val="20"/>
                <w:szCs w:val="20"/>
                <w:color w:val="auto"/>
              </w:rPr>
            </w:pPr>
            <w:r>
              <w:rPr>
                <w:rFonts w:ascii="Arial" w:cs="Arial" w:eastAsia="Arial" w:hAnsi="Arial"/>
                <w:sz w:val="14"/>
                <w:szCs w:val="14"/>
                <w:b w:val="1"/>
                <w:bCs w:val="1"/>
                <w:color w:val="FFFFFF"/>
              </w:rPr>
              <w:t>Fiscal 2021</w:t>
            </w:r>
          </w:p>
        </w:tc>
      </w:tr>
      <w:tr>
        <w:trPr>
          <w:trHeight w:val="171"/>
        </w:trPr>
        <w:tc>
          <w:tcPr>
            <w:tcW w:w="4860" w:type="dxa"/>
            <w:vAlign w:val="bottom"/>
            <w:shd w:val="clear" w:color="auto" w:fill="C00000"/>
          </w:tcPr>
          <w:p>
            <w:pPr>
              <w:spacing w:after="0"/>
              <w:rPr>
                <w:sz w:val="14"/>
                <w:szCs w:val="14"/>
                <w:color w:val="auto"/>
              </w:rPr>
            </w:pPr>
          </w:p>
        </w:tc>
        <w:tc>
          <w:tcPr>
            <w:tcW w:w="4820" w:type="dxa"/>
            <w:vAlign w:val="bottom"/>
            <w:shd w:val="clear" w:color="auto" w:fill="C00000"/>
          </w:tcPr>
          <w:p>
            <w:pPr>
              <w:jc w:val="right"/>
              <w:ind w:right="982"/>
              <w:spacing w:after="0"/>
              <w:rPr>
                <w:sz w:val="20"/>
                <w:szCs w:val="20"/>
                <w:color w:val="auto"/>
              </w:rPr>
            </w:pPr>
            <w:r>
              <w:rPr>
                <w:rFonts w:ascii="Arial" w:cs="Arial" w:eastAsia="Arial" w:hAnsi="Arial"/>
                <w:sz w:val="14"/>
                <w:szCs w:val="14"/>
                <w:b w:val="1"/>
                <w:bCs w:val="1"/>
                <w:color w:val="FFFFFF"/>
              </w:rPr>
              <w:t>($)</w:t>
            </w:r>
          </w:p>
        </w:tc>
        <w:tc>
          <w:tcPr>
            <w:tcW w:w="1560" w:type="dxa"/>
            <w:vAlign w:val="bottom"/>
            <w:shd w:val="clear" w:color="auto" w:fill="C00000"/>
          </w:tcPr>
          <w:p>
            <w:pPr>
              <w:jc w:val="right"/>
              <w:ind w:right="682"/>
              <w:spacing w:after="0"/>
              <w:rPr>
                <w:sz w:val="20"/>
                <w:szCs w:val="20"/>
                <w:color w:val="auto"/>
              </w:rPr>
            </w:pPr>
            <w:r>
              <w:rPr>
                <w:rFonts w:ascii="Arial" w:cs="Arial" w:eastAsia="Arial" w:hAnsi="Arial"/>
                <w:sz w:val="14"/>
                <w:szCs w:val="14"/>
                <w:b w:val="1"/>
                <w:bCs w:val="1"/>
                <w:color w:val="FFFFFF"/>
              </w:rPr>
              <w:t>($)</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4"/>
                <w:szCs w:val="14"/>
                <w:color w:val="auto"/>
              </w:rPr>
              <w:t>Audit Fees</w:t>
            </w:r>
            <w:r>
              <w:rPr>
                <w:rFonts w:ascii="Arial" w:cs="Arial" w:eastAsia="Arial" w:hAnsi="Arial"/>
                <w:sz w:val="23"/>
                <w:szCs w:val="23"/>
                <w:color w:val="auto"/>
                <w:vertAlign w:val="superscript"/>
              </w:rPr>
              <w:t>(1)</w:t>
            </w:r>
          </w:p>
        </w:tc>
        <w:tc>
          <w:tcPr>
            <w:tcW w:w="4820" w:type="dxa"/>
            <w:vAlign w:val="bottom"/>
          </w:tcPr>
          <w:p>
            <w:pPr>
              <w:jc w:val="right"/>
              <w:ind w:right="242"/>
              <w:spacing w:after="0"/>
              <w:rPr>
                <w:sz w:val="20"/>
                <w:szCs w:val="20"/>
                <w:color w:val="auto"/>
              </w:rPr>
            </w:pPr>
            <w:r>
              <w:rPr>
                <w:rFonts w:ascii="Arial" w:cs="Arial" w:eastAsia="Arial" w:hAnsi="Arial"/>
                <w:sz w:val="16"/>
                <w:szCs w:val="16"/>
                <w:color w:val="auto"/>
              </w:rPr>
              <w:t>2,013,551</w:t>
            </w:r>
          </w:p>
        </w:tc>
        <w:tc>
          <w:tcPr>
            <w:tcW w:w="1560" w:type="dxa"/>
            <w:vAlign w:val="bottom"/>
          </w:tcPr>
          <w:p>
            <w:pPr>
              <w:jc w:val="right"/>
              <w:spacing w:after="0"/>
              <w:rPr>
                <w:sz w:val="20"/>
                <w:szCs w:val="20"/>
                <w:color w:val="auto"/>
              </w:rPr>
            </w:pPr>
            <w:r>
              <w:rPr>
                <w:rFonts w:ascii="Arial" w:cs="Arial" w:eastAsia="Arial" w:hAnsi="Arial"/>
                <w:sz w:val="16"/>
                <w:szCs w:val="16"/>
                <w:color w:val="auto"/>
              </w:rPr>
              <w:t>1,740,738</w:t>
            </w:r>
          </w:p>
        </w:tc>
      </w:tr>
      <w:tr>
        <w:trPr>
          <w:trHeight w:val="203"/>
        </w:trPr>
        <w:tc>
          <w:tcPr>
            <w:tcW w:w="4860" w:type="dxa"/>
            <w:vAlign w:val="bottom"/>
            <w:shd w:val="clear" w:color="auto" w:fill="D9D9D9"/>
          </w:tcPr>
          <w:p>
            <w:pPr>
              <w:spacing w:after="0" w:line="202" w:lineRule="exact"/>
              <w:rPr>
                <w:sz w:val="20"/>
                <w:szCs w:val="20"/>
                <w:color w:val="auto"/>
              </w:rPr>
            </w:pPr>
            <w:r>
              <w:rPr>
                <w:rFonts w:ascii="Arial" w:cs="Arial" w:eastAsia="Arial" w:hAnsi="Arial"/>
                <w:sz w:val="14"/>
                <w:szCs w:val="14"/>
                <w:color w:val="auto"/>
              </w:rPr>
              <w:t>Audit-Related Fees</w:t>
            </w:r>
            <w:r>
              <w:rPr>
                <w:rFonts w:ascii="Arial" w:cs="Arial" w:eastAsia="Arial" w:hAnsi="Arial"/>
                <w:sz w:val="23"/>
                <w:szCs w:val="23"/>
                <w:color w:val="auto"/>
                <w:vertAlign w:val="superscript"/>
              </w:rPr>
              <w:t>(2)</w:t>
            </w:r>
          </w:p>
        </w:tc>
        <w:tc>
          <w:tcPr>
            <w:tcW w:w="4820" w:type="dxa"/>
            <w:vAlign w:val="bottom"/>
            <w:shd w:val="clear" w:color="auto" w:fill="D9D9D9"/>
          </w:tcPr>
          <w:p>
            <w:pPr>
              <w:jc w:val="right"/>
              <w:ind w:right="242"/>
              <w:spacing w:after="0"/>
              <w:rPr>
                <w:sz w:val="20"/>
                <w:szCs w:val="20"/>
                <w:color w:val="auto"/>
              </w:rPr>
            </w:pPr>
            <w:r>
              <w:rPr>
                <w:rFonts w:ascii="Arial" w:cs="Arial" w:eastAsia="Arial" w:hAnsi="Arial"/>
                <w:sz w:val="16"/>
                <w:szCs w:val="16"/>
                <w:color w:val="auto"/>
              </w:rPr>
              <w:t>56,700</w:t>
            </w:r>
          </w:p>
        </w:tc>
        <w:tc>
          <w:tcPr>
            <w:tcW w:w="15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40,000</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4"/>
                <w:szCs w:val="14"/>
                <w:color w:val="auto"/>
              </w:rPr>
              <w:t>Tax Fees</w:t>
            </w:r>
            <w:r>
              <w:rPr>
                <w:rFonts w:ascii="Arial" w:cs="Arial" w:eastAsia="Arial" w:hAnsi="Arial"/>
                <w:sz w:val="23"/>
                <w:szCs w:val="23"/>
                <w:color w:val="auto"/>
                <w:vertAlign w:val="superscript"/>
              </w:rPr>
              <w:t>(3)</w:t>
            </w:r>
          </w:p>
        </w:tc>
        <w:tc>
          <w:tcPr>
            <w:tcW w:w="4820" w:type="dxa"/>
            <w:vAlign w:val="bottom"/>
          </w:tcPr>
          <w:p>
            <w:pPr>
              <w:jc w:val="right"/>
              <w:ind w:right="242"/>
              <w:spacing w:after="0"/>
              <w:rPr>
                <w:sz w:val="20"/>
                <w:szCs w:val="20"/>
                <w:color w:val="auto"/>
              </w:rPr>
            </w:pPr>
            <w:r>
              <w:rPr>
                <w:rFonts w:ascii="Arial" w:cs="Arial" w:eastAsia="Arial" w:hAnsi="Arial"/>
                <w:sz w:val="16"/>
                <w:szCs w:val="16"/>
                <w:color w:val="auto"/>
              </w:rPr>
              <w:t>142,150</w:t>
            </w:r>
          </w:p>
        </w:tc>
        <w:tc>
          <w:tcPr>
            <w:tcW w:w="1560" w:type="dxa"/>
            <w:vAlign w:val="bottom"/>
          </w:tcPr>
          <w:p>
            <w:pPr>
              <w:jc w:val="right"/>
              <w:spacing w:after="0"/>
              <w:rPr>
                <w:sz w:val="20"/>
                <w:szCs w:val="20"/>
                <w:color w:val="auto"/>
              </w:rPr>
            </w:pPr>
            <w:r>
              <w:rPr>
                <w:rFonts w:ascii="Arial" w:cs="Arial" w:eastAsia="Arial" w:hAnsi="Arial"/>
                <w:sz w:val="16"/>
                <w:szCs w:val="16"/>
                <w:color w:val="auto"/>
              </w:rPr>
              <w:t>143,798</w:t>
            </w:r>
          </w:p>
        </w:tc>
      </w:tr>
      <w:tr>
        <w:trPr>
          <w:trHeight w:val="216"/>
        </w:trPr>
        <w:tc>
          <w:tcPr>
            <w:tcW w:w="4860" w:type="dxa"/>
            <w:vAlign w:val="bottom"/>
            <w:shd w:val="clear" w:color="auto" w:fill="D9D9D9"/>
          </w:tcPr>
          <w:p>
            <w:pPr>
              <w:spacing w:after="0"/>
              <w:rPr>
                <w:sz w:val="20"/>
                <w:szCs w:val="20"/>
                <w:color w:val="auto"/>
              </w:rPr>
            </w:pPr>
            <w:r>
              <w:rPr>
                <w:rFonts w:ascii="Arial" w:cs="Arial" w:eastAsia="Arial" w:hAnsi="Arial"/>
                <w:sz w:val="16"/>
                <w:szCs w:val="16"/>
                <w:color w:val="auto"/>
              </w:rPr>
              <w:t>All Other Fees</w:t>
            </w:r>
          </w:p>
        </w:tc>
        <w:tc>
          <w:tcPr>
            <w:tcW w:w="4820" w:type="dxa"/>
            <w:vAlign w:val="bottom"/>
            <w:shd w:val="clear" w:color="auto" w:fill="D9D9D9"/>
          </w:tcPr>
          <w:p>
            <w:pPr>
              <w:jc w:val="right"/>
              <w:ind w:right="242"/>
              <w:spacing w:after="0"/>
              <w:rPr>
                <w:sz w:val="20"/>
                <w:szCs w:val="20"/>
                <w:color w:val="auto"/>
              </w:rPr>
            </w:pPr>
            <w:r>
              <w:rPr>
                <w:rFonts w:ascii="Arial" w:cs="Arial" w:eastAsia="Arial" w:hAnsi="Arial"/>
                <w:sz w:val="16"/>
                <w:szCs w:val="16"/>
                <w:color w:val="auto"/>
              </w:rPr>
              <w:t>0</w:t>
            </w:r>
          </w:p>
        </w:tc>
        <w:tc>
          <w:tcPr>
            <w:tcW w:w="15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040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23" w:lineRule="exact"/>
        <w:rPr>
          <w:sz w:val="20"/>
          <w:szCs w:val="20"/>
          <w:color w:val="auto"/>
        </w:rPr>
      </w:pPr>
    </w:p>
    <w:p>
      <w:pPr>
        <w:ind w:left="400" w:right="60" w:hanging="392"/>
        <w:spacing w:after="0" w:line="242" w:lineRule="auto"/>
        <w:tabs>
          <w:tab w:leader="none" w:pos="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Consist of aggregate fees billed, or expected to be billed, for fiscal 2022 and fiscal 2021, respectively, for professional services rendered by KPMG in connection with the audit of our consolidated financial statements included in our Annual Report on Form 10-K, review of our condensed consolidated financial statements included in our Quarterly Reports on Form 10-Q, statutory audits of certain of our international subsidiaries and the audit of internal control over financial reporting in accordance with Section 404 of the Sarbanes-Oxley Act of 2002. Fees for fiscal 2022 also include audit work related to the Intimidator Group acquisition and consent fees for a registration statement on Form S-8 for the 2022 Plan.</w:t>
      </w:r>
    </w:p>
    <w:p>
      <w:pPr>
        <w:spacing w:after="0" w:line="70" w:lineRule="exact"/>
        <w:rPr>
          <w:rFonts w:ascii="Arial" w:cs="Arial" w:eastAsia="Arial" w:hAnsi="Arial"/>
          <w:sz w:val="18"/>
          <w:szCs w:val="18"/>
          <w:color w:val="auto"/>
        </w:rPr>
      </w:pPr>
    </w:p>
    <w:p>
      <w:pPr>
        <w:ind w:left="400" w:right="360" w:hanging="392"/>
        <w:spacing w:after="0" w:line="271" w:lineRule="auto"/>
        <w:tabs>
          <w:tab w:leader="none" w:pos="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Consist of aggregate fees billed for KPMG’s services related to audits of employee benefit plans and an international statutory social security audit.</w:t>
      </w:r>
    </w:p>
    <w:p>
      <w:pPr>
        <w:spacing w:after="0" w:line="45" w:lineRule="exact"/>
        <w:rPr>
          <w:rFonts w:ascii="Arial" w:cs="Arial" w:eastAsia="Arial" w:hAnsi="Arial"/>
          <w:sz w:val="18"/>
          <w:szCs w:val="18"/>
          <w:color w:val="auto"/>
        </w:rPr>
      </w:pPr>
    </w:p>
    <w:p>
      <w:pPr>
        <w:ind w:left="400" w:right="180" w:hanging="392"/>
        <w:spacing w:after="0" w:line="271" w:lineRule="auto"/>
        <w:tabs>
          <w:tab w:leader="none" w:pos="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Consist of aggregate fees billed for professional services rendered by KPMG for permissible domestic and international tax consulting, planning and compliance services.</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Pre-Approval Policies and Procedures</w:t>
      </w:r>
    </w:p>
    <w:p>
      <w:pPr>
        <w:spacing w:after="0" w:line="99" w:lineRule="exact"/>
        <w:rPr>
          <w:sz w:val="20"/>
          <w:szCs w:val="20"/>
          <w:color w:val="auto"/>
        </w:rPr>
      </w:pPr>
    </w:p>
    <w:p>
      <w:pPr>
        <w:ind w:right="120" w:firstLine="401"/>
        <w:spacing w:after="0" w:line="244" w:lineRule="auto"/>
        <w:rPr>
          <w:sz w:val="20"/>
          <w:szCs w:val="20"/>
          <w:color w:val="auto"/>
        </w:rPr>
      </w:pPr>
      <w:r>
        <w:rPr>
          <w:rFonts w:ascii="Arial" w:cs="Arial" w:eastAsia="Arial" w:hAnsi="Arial"/>
          <w:sz w:val="18"/>
          <w:szCs w:val="18"/>
          <w:color w:val="auto"/>
        </w:rPr>
        <w:t>The Audit Committee Charter requires that the Audit Committee review and approve in advance the retention of our external auditor for all types of audit and non-audit services to be performed for us by our external auditor and approve the fees for such services, other than de minimis non-audit services allowed by relevant rules and regulations. All of the services provided to us by KPMG for which we paid Audit Fees, Audit-Related Fees and Tax Fees, as shown in the table above, were pre-approved by the Audit Committee in accordance with these pre-approval policies and procedures.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9960" w:type="dxa"/>
            <w:vAlign w:val="bottom"/>
            <w:shd w:val="clear" w:color="auto" w:fill="C00000"/>
          </w:tcPr>
          <w:p>
            <w:pPr>
              <w:jc w:val="center"/>
              <w:ind w:left="258"/>
              <w:spacing w:after="0"/>
              <w:rPr>
                <w:sz w:val="20"/>
                <w:szCs w:val="20"/>
                <w:color w:val="auto"/>
              </w:rPr>
            </w:pPr>
            <w:r>
              <w:rPr>
                <w:rFonts w:ascii="Arial" w:cs="Arial" w:eastAsia="Arial" w:hAnsi="Arial"/>
                <w:sz w:val="22"/>
                <w:szCs w:val="22"/>
                <w:b w:val="1"/>
                <w:bCs w:val="1"/>
                <w:color w:val="FFFFFF"/>
                <w:w w:val="94"/>
              </w:rPr>
              <w:t>The Board of Directors Recommends a Vote FOR Ratification of the Selection of</w:t>
            </w:r>
          </w:p>
        </w:tc>
        <w:tc>
          <w:tcPr>
            <w:tcW w:w="1280" w:type="dxa"/>
            <w:vAlign w:val="bottom"/>
            <w:vMerge w:val="restart"/>
            <w:shd w:val="clear" w:color="auto" w:fill="C00000"/>
          </w:tcPr>
          <w:p>
            <w:pPr>
              <w:ind w:left="720"/>
              <w:spacing w:after="0" w:line="501" w:lineRule="exact"/>
              <w:rPr>
                <w:sz w:val="20"/>
                <w:szCs w:val="20"/>
                <w:color w:val="auto"/>
              </w:rPr>
            </w:pPr>
            <w:r>
              <w:rPr>
                <w:rFonts w:ascii="MS PGothic" w:cs="MS PGothic" w:eastAsia="MS PGothic" w:hAnsi="MS PGothic"/>
                <w:sz w:val="50"/>
                <w:szCs w:val="50"/>
                <w:color w:val="auto"/>
                <w:highlight w:val="white"/>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5"/>
        </w:trPr>
        <w:tc>
          <w:tcPr>
            <w:tcW w:w="9960" w:type="dxa"/>
            <w:vAlign w:val="bottom"/>
            <w:shd w:val="clear" w:color="auto" w:fill="C00000"/>
          </w:tcPr>
          <w:p>
            <w:pPr>
              <w:jc w:val="center"/>
              <w:ind w:left="318"/>
              <w:spacing w:after="0"/>
              <w:rPr>
                <w:sz w:val="20"/>
                <w:szCs w:val="20"/>
                <w:color w:val="auto"/>
              </w:rPr>
            </w:pPr>
            <w:r>
              <w:rPr>
                <w:rFonts w:ascii="Arial" w:cs="Arial" w:eastAsia="Arial" w:hAnsi="Arial"/>
                <w:sz w:val="22"/>
                <w:szCs w:val="22"/>
                <w:b w:val="1"/>
                <w:bCs w:val="1"/>
                <w:color w:val="FFFFFF"/>
                <w:w w:val="94"/>
              </w:rPr>
              <w:t>KPMG LLP as Our Independent Registered Public Accounting Firm for Fiscal 2023</w:t>
            </w:r>
          </w:p>
        </w:tc>
        <w:tc>
          <w:tcPr>
            <w:tcW w:w="1280" w:type="dxa"/>
            <w:vAlign w:val="bottom"/>
            <w:vMerge w:val="continue"/>
            <w:shd w:val="clear" w:color="auto" w:fill="C0000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9960" w:type="dxa"/>
            <w:vAlign w:val="bottom"/>
          </w:tcPr>
          <w:p>
            <w:pPr>
              <w:jc w:val="right"/>
              <w:ind w:right="4138"/>
              <w:spacing w:after="0"/>
              <w:rPr>
                <w:sz w:val="20"/>
                <w:szCs w:val="20"/>
                <w:color w:val="auto"/>
              </w:rPr>
            </w:pPr>
            <w:r>
              <w:rPr>
                <w:rFonts w:ascii="Arial" w:cs="Arial" w:eastAsia="Arial" w:hAnsi="Arial"/>
                <w:sz w:val="18"/>
                <w:szCs w:val="18"/>
                <w:color w:val="auto"/>
              </w:rPr>
              <w:t>24</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996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Audit Committee Report</w:t>
      </w:r>
    </w:p>
    <w:p>
      <w:pPr>
        <w:spacing w:after="0" w:line="9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This report is furnished by the Audit Committee with respect to our financial statements for fiscal 2022.</w:t>
      </w:r>
    </w:p>
    <w:p>
      <w:pPr>
        <w:spacing w:after="0" w:line="104" w:lineRule="exact"/>
        <w:rPr>
          <w:sz w:val="20"/>
          <w:szCs w:val="20"/>
          <w:color w:val="auto"/>
        </w:rPr>
      </w:pPr>
    </w:p>
    <w:p>
      <w:pPr>
        <w:ind w:firstLine="401"/>
        <w:spacing w:after="0" w:line="261" w:lineRule="auto"/>
        <w:rPr>
          <w:sz w:val="20"/>
          <w:szCs w:val="20"/>
          <w:color w:val="auto"/>
        </w:rPr>
      </w:pPr>
      <w:r>
        <w:rPr>
          <w:rFonts w:ascii="Arial" w:cs="Arial" w:eastAsia="Arial" w:hAnsi="Arial"/>
          <w:sz w:val="17"/>
          <w:szCs w:val="17"/>
          <w:color w:val="auto"/>
        </w:rPr>
        <w:t>Ultimate responsibility for good corporate governance rests with our Board, whose primary roles and responsibilities involve oversight, counseling and providing direction to our Management in the best long-term interests of TTC and our shareholders. As set forth in its charter, the Audit Committee assists our Board by, among other things, providing oversight of our accounting and financial reporting processes, the audits of our annual financial statements and internal control over financial reporting. A copy of our Audit Committee Charter, which further describes the role and responsibilities of the Audit Committee, is available online at www.thetorocompany.com/corporategovernance.</w:t>
      </w:r>
    </w:p>
    <w:p>
      <w:pPr>
        <w:spacing w:after="0" w:line="58" w:lineRule="exact"/>
        <w:rPr>
          <w:sz w:val="20"/>
          <w:szCs w:val="20"/>
          <w:color w:val="auto"/>
        </w:rPr>
      </w:pPr>
    </w:p>
    <w:p>
      <w:pPr>
        <w:ind w:right="340" w:firstLine="401"/>
        <w:spacing w:after="0" w:line="242" w:lineRule="auto"/>
        <w:rPr>
          <w:sz w:val="20"/>
          <w:szCs w:val="20"/>
          <w:color w:val="auto"/>
        </w:rPr>
      </w:pPr>
      <w:r>
        <w:rPr>
          <w:rFonts w:ascii="Arial" w:cs="Arial" w:eastAsia="Arial" w:hAnsi="Arial"/>
          <w:sz w:val="18"/>
          <w:szCs w:val="18"/>
          <w:color w:val="auto"/>
        </w:rPr>
        <w:t>Management is primarily responsible for the establishment and maintenance of our accounting and financial reporting processes, including our internal controls, and for the preparation and presentation of complete and accurate financial statements. Our independent registered public accounting firm, KPMG LLP, is responsible for performing an independent audit of our financial statements and internal controls over financial reporting in accordance with the standards of the Public Company Accounting Oversight Board (U.S.), or PCAOB, expressing an opinion as to the conformity of the financial statements with generally accepted accounting principles, and expressing an opinion on the effectiveness of our internal control over financial reporting.</w:t>
      </w:r>
    </w:p>
    <w:p>
      <w:pPr>
        <w:spacing w:after="0" w:line="71" w:lineRule="exact"/>
        <w:rPr>
          <w:sz w:val="20"/>
          <w:szCs w:val="20"/>
          <w:color w:val="auto"/>
        </w:rPr>
      </w:pPr>
    </w:p>
    <w:p>
      <w:pPr>
        <w:ind w:right="40" w:firstLine="401"/>
        <w:spacing w:after="0" w:line="244" w:lineRule="auto"/>
        <w:rPr>
          <w:sz w:val="20"/>
          <w:szCs w:val="20"/>
          <w:color w:val="auto"/>
        </w:rPr>
      </w:pPr>
      <w:r>
        <w:rPr>
          <w:rFonts w:ascii="Arial" w:cs="Arial" w:eastAsia="Arial" w:hAnsi="Arial"/>
          <w:sz w:val="18"/>
          <w:szCs w:val="18"/>
          <w:color w:val="auto"/>
        </w:rPr>
        <w:t>In performing its oversight role, the Audit Committee has (i) reviewed and discussed with Management our audited financial statements for fiscal 2022, (ii) discussed with representatives of KPMG the matters required to be discussed by the applicable requirements of the PCAOB and the SEC, (iii) received the written disclosures and the letters from KPMG required by applicable requirements of the PCAOB regarding KPMG’s communications with the Audit Committee concerning KPMG’s independence, and (iv) discussed with representatives of KPMG its independence and concluded that it is independent from TTC and its Management.</w:t>
      </w:r>
    </w:p>
    <w:p>
      <w:pPr>
        <w:spacing w:after="0" w:line="68" w:lineRule="exact"/>
        <w:rPr>
          <w:sz w:val="20"/>
          <w:szCs w:val="20"/>
          <w:color w:val="auto"/>
        </w:rPr>
      </w:pPr>
    </w:p>
    <w:p>
      <w:pPr>
        <w:jc w:val="both"/>
        <w:ind w:right="40" w:firstLine="401"/>
        <w:spacing w:after="0" w:line="253" w:lineRule="auto"/>
        <w:rPr>
          <w:sz w:val="20"/>
          <w:szCs w:val="20"/>
          <w:color w:val="auto"/>
        </w:rPr>
      </w:pPr>
      <w:r>
        <w:rPr>
          <w:rFonts w:ascii="Arial" w:cs="Arial" w:eastAsia="Arial" w:hAnsi="Arial"/>
          <w:sz w:val="18"/>
          <w:szCs w:val="18"/>
          <w:color w:val="auto"/>
        </w:rPr>
        <w:t>Based on the review and discussions referred to in the foregoing paragraph and subject to the limitations on its responsibilities set forth in its charter, the Audit Committee recommended to our Board that our audited financial statements for fiscal 2022 be included in our Annual Report on Form 10-K for the fiscal year ended October 31, 2022, for filing with the SEC.</w:t>
      </w:r>
    </w:p>
    <w:p>
      <w:pPr>
        <w:spacing w:after="0" w:line="6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C00000"/>
        </w:rPr>
        <w:t>Audit Committee: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Janet K. Cooper (Chair)</w:t>
      </w:r>
    </w:p>
    <w:p>
      <w:pPr>
        <w:jc w:val="center"/>
        <w:ind w:right="-59"/>
        <w:spacing w:after="0" w:line="234" w:lineRule="auto"/>
        <w:rPr>
          <w:sz w:val="20"/>
          <w:szCs w:val="20"/>
          <w:color w:val="auto"/>
        </w:rPr>
      </w:pPr>
      <w:r>
        <w:rPr>
          <w:rFonts w:ascii="Arial" w:cs="Arial" w:eastAsia="Arial" w:hAnsi="Arial"/>
          <w:sz w:val="18"/>
          <w:szCs w:val="18"/>
          <w:color w:val="auto"/>
        </w:rPr>
        <w:t>Gary L. Ellis</w:t>
      </w:r>
    </w:p>
    <w:p>
      <w:pPr>
        <w:jc w:val="center"/>
        <w:ind w:right="-59"/>
        <w:spacing w:after="0" w:line="235" w:lineRule="auto"/>
        <w:rPr>
          <w:sz w:val="20"/>
          <w:szCs w:val="20"/>
          <w:color w:val="auto"/>
        </w:rPr>
      </w:pPr>
      <w:r>
        <w:rPr>
          <w:rFonts w:ascii="Arial" w:cs="Arial" w:eastAsia="Arial" w:hAnsi="Arial"/>
          <w:sz w:val="18"/>
          <w:szCs w:val="18"/>
          <w:color w:val="auto"/>
        </w:rPr>
        <w:t>Katherine J. Harless</w:t>
      </w:r>
    </w:p>
    <w:p>
      <w:pPr>
        <w:jc w:val="center"/>
        <w:ind w:right="-59"/>
        <w:spacing w:after="0" w:line="235" w:lineRule="auto"/>
        <w:rPr>
          <w:sz w:val="20"/>
          <w:szCs w:val="20"/>
          <w:color w:val="auto"/>
        </w:rPr>
      </w:pPr>
      <w:r>
        <w:rPr>
          <w:rFonts w:ascii="Arial" w:cs="Arial" w:eastAsia="Arial" w:hAnsi="Arial"/>
          <w:sz w:val="18"/>
          <w:szCs w:val="18"/>
          <w:color w:val="auto"/>
        </w:rPr>
        <w:t>Jeffrey L. Harmening</w:t>
      </w:r>
    </w:p>
    <w:p>
      <w:pPr>
        <w:jc w:val="center"/>
        <w:ind w:right="-59"/>
        <w:spacing w:after="0" w:line="235" w:lineRule="auto"/>
        <w:rPr>
          <w:sz w:val="20"/>
          <w:szCs w:val="20"/>
          <w:color w:val="auto"/>
        </w:rPr>
      </w:pPr>
      <w:r>
        <w:rPr>
          <w:rFonts w:ascii="Arial" w:cs="Arial" w:eastAsia="Arial" w:hAnsi="Arial"/>
          <w:sz w:val="18"/>
          <w:szCs w:val="18"/>
          <w:color w:val="auto"/>
        </w:rPr>
        <w:t>Jill M. Pemberton</w:t>
      </w:r>
    </w:p>
    <w:p>
      <w:pPr>
        <w:jc w:val="center"/>
        <w:ind w:right="-59"/>
        <w:spacing w:after="0"/>
        <w:rPr>
          <w:sz w:val="20"/>
          <w:szCs w:val="20"/>
          <w:color w:val="auto"/>
        </w:rPr>
      </w:pPr>
      <w:r>
        <w:rPr>
          <w:rFonts w:ascii="Arial" w:cs="Arial" w:eastAsia="Arial" w:hAnsi="Arial"/>
          <w:sz w:val="18"/>
          <w:szCs w:val="18"/>
          <w:color w:val="auto"/>
        </w:rPr>
        <w:t>Michael G. Vale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057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FFFFFF"/>
        </w:rPr>
        <w:t>PROPOSAL THREE—ADVISORY APPROVAL OF OUR EXECUTIVE COMPENSATION</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Background</w:t>
      </w:r>
    </w:p>
    <w:p>
      <w:pPr>
        <w:spacing w:after="0" w:line="99" w:lineRule="exact"/>
        <w:rPr>
          <w:sz w:val="20"/>
          <w:szCs w:val="20"/>
          <w:color w:val="auto"/>
        </w:rPr>
      </w:pPr>
    </w:p>
    <w:p>
      <w:pPr>
        <w:ind w:firstLine="401"/>
        <w:spacing w:after="0"/>
        <w:rPr>
          <w:sz w:val="20"/>
          <w:szCs w:val="20"/>
          <w:color w:val="auto"/>
        </w:rPr>
      </w:pPr>
      <w:r>
        <w:rPr>
          <w:rFonts w:ascii="Arial" w:cs="Arial" w:eastAsia="Arial" w:hAnsi="Arial"/>
          <w:sz w:val="18"/>
          <w:szCs w:val="18"/>
          <w:color w:val="auto"/>
        </w:rPr>
        <w:t>The Board is providing our shareholders with an advisory vote on our executive compensation pursuant to the Dodd-Frank Wall Street Consumer Protection Act, or Dodd-Frank Act, and Section 14A of the Securities Exchange Act of 1934, as amended, or Exchange Act. This advisory vote, commonly known as a say-on-pay vote, is a non-binding vote on the compensation paid to our named executive officers as set forth in the “Compensation Discussion and Analysis” and “Executive Compensation” sections of this proxy statement, including in the “Compensation Discussion and Analysis,” the accompanying compensation tables and the corresponding narrative discussion and footnotes. At the 2022 Annual Meeting of Shareholders held on March 15, 2022, over 95% of the votes cast by our shareholders were in favor of our say-on-pay vote. The Compensation &amp; Human Resources Committee believes that such results affirmed shareholder support of our approach to executive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Our Pay Philosophy</w:t>
      </w:r>
    </w:p>
    <w:p>
      <w:pPr>
        <w:spacing w:after="0" w:line="99" w:lineRule="exact"/>
        <w:rPr>
          <w:sz w:val="20"/>
          <w:szCs w:val="20"/>
          <w:color w:val="auto"/>
        </w:rPr>
      </w:pPr>
    </w:p>
    <w:p>
      <w:pPr>
        <w:ind w:firstLine="401"/>
        <w:spacing w:after="0" w:line="239" w:lineRule="auto"/>
        <w:rPr>
          <w:sz w:val="20"/>
          <w:szCs w:val="20"/>
          <w:color w:val="auto"/>
        </w:rPr>
      </w:pPr>
      <w:r>
        <w:rPr>
          <w:rFonts w:ascii="Arial" w:cs="Arial" w:eastAsia="Arial" w:hAnsi="Arial"/>
          <w:sz w:val="18"/>
          <w:szCs w:val="18"/>
          <w:color w:val="auto"/>
        </w:rPr>
        <w:t>Our executive compensation program is generally designed to attract, retain, motivate and reward highly qualified and talented executive officers, including our NEOs, that will enable us to execute our strategic priorities, perform better than our competitors and drive long-term shareholder value. The underlying core principles of our executive compensation program include (i) aligning the interests of our executives with those of our shareholders and linking pay to performance by providing compensation opportunities that are tied directly to the achievement of financial performance goals and long-term stock price performance, and (ii) providing competitive compensation opportunities targeted at the market 50th percentile for both individual elements of compensation and total direct compensation at target levels of financial performance, which we believe allows us to attract and retain the necessary executive talent while motivating and rewarding the accomplishment of annual and long-term financial performance goals and maintaining an appropriate cost structure. The “Compensation Discussion and Analysis” and “Executive Compensation” sections describe our executive compensation program and the executive compensation decisions made by the Compensation &amp; Human Resources Committee in fiscal 2022 in more detail.</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Best Practices</w:t>
      </w:r>
    </w:p>
    <w:p>
      <w:pPr>
        <w:spacing w:after="0" w:line="45" w:lineRule="exact"/>
        <w:rPr>
          <w:sz w:val="20"/>
          <w:szCs w:val="20"/>
          <w:color w:val="auto"/>
        </w:rPr>
      </w:pPr>
    </w:p>
    <w:p>
      <w:pPr>
        <w:ind w:left="800" w:hanging="401"/>
        <w:spacing w:after="0"/>
        <w:tabs>
          <w:tab w:leader="none" w:pos="80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8"/>
          <w:szCs w:val="18"/>
          <w:color w:val="auto"/>
        </w:rPr>
        <w:t>A substantial portion of total executive compensation is linked directly to performance.</w:t>
      </w:r>
    </w:p>
    <w:p>
      <w:pPr>
        <w:spacing w:after="0" w:line="49" w:lineRule="exact"/>
        <w:rPr>
          <w:rFonts w:ascii="Times New Roman" w:cs="Times New Roman" w:eastAsia="Times New Roman" w:hAnsi="Times New Roman"/>
          <w:sz w:val="16"/>
          <w:szCs w:val="16"/>
          <w:color w:val="auto"/>
        </w:rPr>
      </w:pPr>
    </w:p>
    <w:p>
      <w:pPr>
        <w:ind w:left="800" w:hanging="401"/>
        <w:spacing w:after="0"/>
        <w:tabs>
          <w:tab w:leader="none" w:pos="80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8"/>
          <w:szCs w:val="18"/>
          <w:color w:val="auto"/>
        </w:rPr>
        <w:t>All incentive compensation awards are subject to a clawback policy.</w:t>
      </w:r>
    </w:p>
    <w:p>
      <w:pPr>
        <w:spacing w:after="0" w:line="49" w:lineRule="exact"/>
        <w:rPr>
          <w:rFonts w:ascii="Times New Roman" w:cs="Times New Roman" w:eastAsia="Times New Roman" w:hAnsi="Times New Roman"/>
          <w:sz w:val="16"/>
          <w:szCs w:val="16"/>
          <w:color w:val="auto"/>
        </w:rPr>
      </w:pPr>
    </w:p>
    <w:p>
      <w:pPr>
        <w:ind w:left="800" w:right="100" w:hanging="401"/>
        <w:spacing w:after="0" w:line="266" w:lineRule="auto"/>
        <w:tabs>
          <w:tab w:leader="none" w:pos="80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8"/>
          <w:szCs w:val="18"/>
          <w:color w:val="auto"/>
        </w:rPr>
        <w:t>Our CEO and other executive officers do not have employment or severance agreements or arrangements, except as provided for in our change in control severance compensation policy, or CIC policy.</w:t>
      </w:r>
    </w:p>
    <w:p>
      <w:pPr>
        <w:ind w:left="800" w:right="440" w:hanging="401"/>
        <w:spacing w:after="0" w:line="266" w:lineRule="auto"/>
        <w:tabs>
          <w:tab w:leader="none" w:pos="80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8"/>
          <w:szCs w:val="18"/>
          <w:color w:val="auto"/>
        </w:rPr>
        <w:t>We do not provide tax “gross-up” payments under our CIC policy or in connection with any annual or long-term compensation, benefits or perquisites provided to our executive officers.</w:t>
      </w:r>
    </w:p>
    <w:p>
      <w:pPr>
        <w:ind w:left="800" w:hanging="401"/>
        <w:spacing w:after="0"/>
        <w:tabs>
          <w:tab w:leader="none" w:pos="80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8"/>
          <w:szCs w:val="18"/>
          <w:color w:val="auto"/>
        </w:rPr>
        <w:t>Our executive officers receive only modest perquisites.</w:t>
      </w:r>
    </w:p>
    <w:p>
      <w:pPr>
        <w:spacing w:after="0" w:line="49" w:lineRule="exact"/>
        <w:rPr>
          <w:rFonts w:ascii="Times New Roman" w:cs="Times New Roman" w:eastAsia="Times New Roman" w:hAnsi="Times New Roman"/>
          <w:sz w:val="16"/>
          <w:szCs w:val="16"/>
          <w:color w:val="auto"/>
        </w:rPr>
      </w:pPr>
    </w:p>
    <w:p>
      <w:pPr>
        <w:ind w:left="800" w:hanging="401"/>
        <w:spacing w:after="0"/>
        <w:tabs>
          <w:tab w:leader="none" w:pos="80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8"/>
          <w:szCs w:val="18"/>
          <w:color w:val="auto"/>
        </w:rPr>
        <w:t>We maintain stock ownership guidelines for each of our executive officers.</w:t>
      </w:r>
    </w:p>
    <w:p>
      <w:pPr>
        <w:spacing w:after="0" w:line="49" w:lineRule="exact"/>
        <w:rPr>
          <w:rFonts w:ascii="Times New Roman" w:cs="Times New Roman" w:eastAsia="Times New Roman" w:hAnsi="Times New Roman"/>
          <w:sz w:val="16"/>
          <w:szCs w:val="16"/>
          <w:color w:val="auto"/>
        </w:rPr>
      </w:pPr>
    </w:p>
    <w:p>
      <w:pPr>
        <w:ind w:left="800" w:right="260" w:hanging="401"/>
        <w:spacing w:after="0" w:line="266" w:lineRule="auto"/>
        <w:tabs>
          <w:tab w:leader="none" w:pos="80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8"/>
          <w:szCs w:val="18"/>
          <w:color w:val="auto"/>
        </w:rPr>
        <w:t>Our insider trading policy prohibits executive officers and directors from purchasing TTC securities on margin, borrowing against any account in which TTC securities are held, hedging, or pledging TTC securities as collateral for a loan.</w:t>
      </w:r>
    </w:p>
    <w:p>
      <w:pPr>
        <w:ind w:left="800" w:hanging="401"/>
        <w:spacing w:after="0"/>
        <w:tabs>
          <w:tab w:leader="none" w:pos="80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8"/>
          <w:szCs w:val="18"/>
          <w:color w:val="auto"/>
        </w:rPr>
        <w:t>We have an independent Compensation &amp; Human Resources Committee.</w:t>
      </w:r>
    </w:p>
    <w:p>
      <w:pPr>
        <w:spacing w:after="0" w:line="49" w:lineRule="exact"/>
        <w:rPr>
          <w:rFonts w:ascii="Times New Roman" w:cs="Times New Roman" w:eastAsia="Times New Roman" w:hAnsi="Times New Roman"/>
          <w:sz w:val="16"/>
          <w:szCs w:val="16"/>
          <w:color w:val="auto"/>
        </w:rPr>
      </w:pPr>
    </w:p>
    <w:p>
      <w:pPr>
        <w:ind w:left="800" w:hanging="401"/>
        <w:spacing w:after="0"/>
        <w:tabs>
          <w:tab w:leader="none" w:pos="80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8"/>
          <w:szCs w:val="18"/>
          <w:color w:val="auto"/>
        </w:rPr>
        <w:t>We utilize an independent external compensation consultant.</w:t>
      </w:r>
    </w:p>
    <w:p>
      <w:pPr>
        <w:spacing w:after="0" w:line="104" w:lineRule="exact"/>
        <w:rPr>
          <w:sz w:val="20"/>
          <w:szCs w:val="20"/>
          <w:color w:val="auto"/>
        </w:rPr>
      </w:pPr>
    </w:p>
    <w:p>
      <w:pPr>
        <w:jc w:val="both"/>
        <w:ind w:right="200" w:firstLine="401"/>
        <w:spacing w:after="0" w:line="253" w:lineRule="auto"/>
        <w:rPr>
          <w:sz w:val="20"/>
          <w:szCs w:val="20"/>
          <w:color w:val="auto"/>
        </w:rPr>
      </w:pPr>
      <w:r>
        <w:rPr>
          <w:rFonts w:ascii="Arial" w:cs="Arial" w:eastAsia="Arial" w:hAnsi="Arial"/>
          <w:sz w:val="18"/>
          <w:szCs w:val="18"/>
          <w:color w:val="auto"/>
        </w:rPr>
        <w:t>We believe that our executive compensation objectives and core principles have resulted in an executive compensation program and related decisions that have appropriately incentivized the achievement of financial goals and produced financial results that have benefited our Company and our shareholders and are expected to drive long-term shareholder value.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Proposed Resolution</w:t>
      </w:r>
    </w:p>
    <w:p>
      <w:pPr>
        <w:spacing w:after="0" w:line="9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Accordingly, the Board recommends that our shareholders vote in favor of the say-on-pay vote as set forth in the following resolution:</w:t>
      </w:r>
    </w:p>
    <w:p>
      <w:pPr>
        <w:spacing w:after="0" w:line="104" w:lineRule="exact"/>
        <w:rPr>
          <w:sz w:val="20"/>
          <w:szCs w:val="20"/>
          <w:color w:val="auto"/>
        </w:rPr>
      </w:pPr>
    </w:p>
    <w:p>
      <w:pPr>
        <w:ind w:left="400" w:right="900"/>
        <w:spacing w:after="0" w:line="247" w:lineRule="auto"/>
        <w:rPr>
          <w:sz w:val="20"/>
          <w:szCs w:val="20"/>
          <w:color w:val="auto"/>
        </w:rPr>
      </w:pPr>
      <w:r>
        <w:rPr>
          <w:rFonts w:ascii="Arial" w:cs="Arial" w:eastAsia="Arial" w:hAnsi="Arial"/>
          <w:sz w:val="18"/>
          <w:szCs w:val="18"/>
          <w:color w:val="auto"/>
        </w:rPr>
        <w:t>RESOLVED, that our shareholders approve, on an advisory basis, the compensation paid to our named executive officers, as disclosed pursuant to the compensation disclosure rules of the SEC, including in the “Compensation Discussion and Analysis,” the accompanying compensation tables and the corresponding narrative discussion and footnotes, and any related material disclosed in this proxy statement.</w:t>
      </w:r>
    </w:p>
    <w:p>
      <w:pPr>
        <w:spacing w:after="0" w:line="66" w:lineRule="exact"/>
        <w:rPr>
          <w:sz w:val="20"/>
          <w:szCs w:val="20"/>
          <w:color w:val="auto"/>
        </w:rPr>
      </w:pPr>
    </w:p>
    <w:p>
      <w:pPr>
        <w:ind w:right="100" w:firstLine="401"/>
        <w:spacing w:after="0" w:line="247" w:lineRule="auto"/>
        <w:rPr>
          <w:sz w:val="20"/>
          <w:szCs w:val="20"/>
          <w:color w:val="auto"/>
        </w:rPr>
      </w:pPr>
      <w:r>
        <w:rPr>
          <w:rFonts w:ascii="Arial" w:cs="Arial" w:eastAsia="Arial" w:hAnsi="Arial"/>
          <w:sz w:val="18"/>
          <w:szCs w:val="18"/>
          <w:color w:val="auto"/>
        </w:rPr>
        <w:t>Shareholders are not voting to approve or disapprove the Board’s recommendation. As this is an advisory vote, the outcome of the vote is not binding on us with respect to future executive compensation decisions, including those relating to our NEOs, or otherwise. Our Compensation &amp; Human Resources Committee and Board expect to take into account the outcome of the vote when considering future executive compensation decisions.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Next Say-on-Pay Vote</w:t>
      </w:r>
    </w:p>
    <w:p>
      <w:pPr>
        <w:spacing w:after="0" w:line="99" w:lineRule="exact"/>
        <w:rPr>
          <w:sz w:val="20"/>
          <w:szCs w:val="20"/>
          <w:color w:val="auto"/>
        </w:rPr>
      </w:pPr>
    </w:p>
    <w:p>
      <w:pPr>
        <w:ind w:right="60" w:firstLine="401"/>
        <w:spacing w:after="0" w:line="253" w:lineRule="auto"/>
        <w:rPr>
          <w:sz w:val="20"/>
          <w:szCs w:val="20"/>
          <w:color w:val="auto"/>
        </w:rPr>
      </w:pPr>
      <w:r>
        <w:rPr>
          <w:rFonts w:ascii="Arial" w:cs="Arial" w:eastAsia="Arial" w:hAnsi="Arial"/>
          <w:sz w:val="18"/>
          <w:szCs w:val="18"/>
          <w:color w:val="auto"/>
        </w:rPr>
        <w:t>Pursuant to Proposal Four—Advisory Approval of the Frequency of the Advisory Approval of our Executive Compensation, and assuming our shareholders agree with the Board’s recommendation for an annual say-on-pay vote, the next say-on-pay vote will occur at our 2024 Annual Meeting of Shareholders.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9540" w:type="dxa"/>
            <w:vAlign w:val="bottom"/>
            <w:shd w:val="clear" w:color="auto" w:fill="C00000"/>
          </w:tcPr>
          <w:p>
            <w:pPr>
              <w:jc w:val="center"/>
              <w:ind w:left="438"/>
              <w:spacing w:after="0"/>
              <w:rPr>
                <w:sz w:val="20"/>
                <w:szCs w:val="20"/>
                <w:color w:val="auto"/>
              </w:rPr>
            </w:pPr>
            <w:r>
              <w:rPr>
                <w:rFonts w:ascii="Arial" w:cs="Arial" w:eastAsia="Arial" w:hAnsi="Arial"/>
                <w:sz w:val="22"/>
                <w:szCs w:val="22"/>
                <w:b w:val="1"/>
                <w:bCs w:val="1"/>
                <w:color w:val="FFFFFF"/>
                <w:w w:val="97"/>
              </w:rPr>
              <w:t>The Board of Directors Recommends a Vote FOR Approval, on an</w:t>
            </w:r>
          </w:p>
        </w:tc>
        <w:tc>
          <w:tcPr>
            <w:tcW w:w="1700" w:type="dxa"/>
            <w:vAlign w:val="bottom"/>
            <w:vMerge w:val="restart"/>
            <w:shd w:val="clear" w:color="auto" w:fill="C00000"/>
          </w:tcPr>
          <w:p>
            <w:pPr>
              <w:ind w:left="920"/>
              <w:spacing w:after="0" w:line="501" w:lineRule="exact"/>
              <w:rPr>
                <w:sz w:val="20"/>
                <w:szCs w:val="20"/>
                <w:color w:val="auto"/>
              </w:rPr>
            </w:pPr>
            <w:r>
              <w:rPr>
                <w:rFonts w:ascii="MS PGothic" w:cs="MS PGothic" w:eastAsia="MS PGothic" w:hAnsi="MS PGothic"/>
                <w:sz w:val="50"/>
                <w:szCs w:val="50"/>
                <w:color w:val="auto"/>
                <w:highlight w:val="white"/>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5"/>
        </w:trPr>
        <w:tc>
          <w:tcPr>
            <w:tcW w:w="9540" w:type="dxa"/>
            <w:vAlign w:val="bottom"/>
            <w:shd w:val="clear" w:color="auto" w:fill="C00000"/>
          </w:tcPr>
          <w:p>
            <w:pPr>
              <w:jc w:val="center"/>
              <w:ind w:left="498"/>
              <w:spacing w:after="0"/>
              <w:rPr>
                <w:sz w:val="20"/>
                <w:szCs w:val="20"/>
                <w:color w:val="auto"/>
              </w:rPr>
            </w:pPr>
            <w:r>
              <w:rPr>
                <w:rFonts w:ascii="Arial" w:cs="Arial" w:eastAsia="Arial" w:hAnsi="Arial"/>
                <w:sz w:val="22"/>
                <w:szCs w:val="22"/>
                <w:b w:val="1"/>
                <w:bCs w:val="1"/>
                <w:color w:val="FFFFFF"/>
                <w:w w:val="97"/>
              </w:rPr>
              <w:t>Advisory Basis, of our Executive Compensation, or Say-On-Pay Vote.</w:t>
            </w:r>
          </w:p>
        </w:tc>
        <w:tc>
          <w:tcPr>
            <w:tcW w:w="1700" w:type="dxa"/>
            <w:vAlign w:val="bottom"/>
            <w:vMerge w:val="continue"/>
            <w:shd w:val="clear" w:color="auto" w:fill="C0000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2"/>
        </w:trPr>
        <w:tc>
          <w:tcPr>
            <w:tcW w:w="9540" w:type="dxa"/>
            <w:vAlign w:val="bottom"/>
          </w:tcPr>
          <w:p>
            <w:pPr>
              <w:jc w:val="right"/>
              <w:ind w:right="3718"/>
              <w:spacing w:after="0"/>
              <w:rPr>
                <w:sz w:val="20"/>
                <w:szCs w:val="20"/>
                <w:color w:val="auto"/>
              </w:rPr>
            </w:pPr>
            <w:r>
              <w:rPr>
                <w:rFonts w:ascii="Arial" w:cs="Arial" w:eastAsia="Arial" w:hAnsi="Arial"/>
                <w:sz w:val="18"/>
                <w:szCs w:val="18"/>
                <w:color w:val="auto"/>
              </w:rPr>
              <w:t>27</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954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771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FFFFFF"/>
        </w:rPr>
        <w:t>PROPOSAL FOUR—ADVISORY APPROVAL OF THE</w:t>
      </w:r>
    </w:p>
    <w:p>
      <w:pPr>
        <w:spacing w:after="0" w:line="3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FFFFFF"/>
        </w:rPr>
        <w:t>FREQUENCY OF THE ADVISORY APPROVAL OF OUR 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Background</w:t>
      </w:r>
    </w:p>
    <w:p>
      <w:pPr>
        <w:spacing w:after="0" w:line="99" w:lineRule="exact"/>
        <w:rPr>
          <w:sz w:val="20"/>
          <w:szCs w:val="20"/>
          <w:color w:val="auto"/>
        </w:rPr>
      </w:pPr>
    </w:p>
    <w:p>
      <w:pPr>
        <w:ind w:right="20" w:firstLine="401"/>
        <w:spacing w:after="0" w:line="242" w:lineRule="auto"/>
        <w:rPr>
          <w:sz w:val="20"/>
          <w:szCs w:val="20"/>
          <w:color w:val="auto"/>
        </w:rPr>
      </w:pPr>
      <w:r>
        <w:rPr>
          <w:rFonts w:ascii="Arial" w:cs="Arial" w:eastAsia="Arial" w:hAnsi="Arial"/>
          <w:sz w:val="18"/>
          <w:szCs w:val="18"/>
          <w:color w:val="auto"/>
        </w:rPr>
        <w:t>The Board is providing our shareholders with an advisory vote on the frequency of future advisory votes on our executive compensation, such as that provided for in Proposal Three—Advisory Approval of our Executive Compensation. This non-binding advisory vote is required to be conducted every six years under Section 14A of the Exchange Act pursuant to the Dodd-Frank Act. We last asked our shareholders to indicate the frequency with which they believe a say-on-pay vote should occur at the Company’s 2017 Annual Meeting of Shareholders. Shareholders may indicate whether they prefer that we hold a say-on-pay vote every year, every two years, every three years, or they may abstain from this vote.</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Reasons for Annual Say-on-Pay Vote</w:t>
      </w:r>
    </w:p>
    <w:p>
      <w:pPr>
        <w:spacing w:after="0" w:line="99" w:lineRule="exact"/>
        <w:rPr>
          <w:sz w:val="20"/>
          <w:szCs w:val="20"/>
          <w:color w:val="auto"/>
        </w:rPr>
      </w:pPr>
    </w:p>
    <w:p>
      <w:pPr>
        <w:ind w:right="200" w:firstLine="401"/>
        <w:spacing w:after="0" w:line="253" w:lineRule="auto"/>
        <w:rPr>
          <w:sz w:val="20"/>
          <w:szCs w:val="20"/>
          <w:color w:val="auto"/>
        </w:rPr>
      </w:pPr>
      <w:r>
        <w:rPr>
          <w:rFonts w:ascii="Arial" w:cs="Arial" w:eastAsia="Arial" w:hAnsi="Arial"/>
          <w:sz w:val="18"/>
          <w:szCs w:val="18"/>
          <w:color w:val="auto"/>
        </w:rPr>
        <w:t>After careful consideration, the Board, on the recommendation of the Compensation &amp; Human Resources Committee, has determined that a say-on-pay vote every year continues to be the best approach for the Company and our shareholders for a number of reasons, including:</w:t>
      </w:r>
    </w:p>
    <w:p>
      <w:pPr>
        <w:spacing w:after="0" w:line="115" w:lineRule="exact"/>
        <w:rPr>
          <w:sz w:val="20"/>
          <w:szCs w:val="20"/>
          <w:color w:val="auto"/>
        </w:rPr>
      </w:pPr>
    </w:p>
    <w:p>
      <w:pPr>
        <w:ind w:left="800" w:right="100" w:hanging="401"/>
        <w:spacing w:after="0" w:line="270" w:lineRule="auto"/>
        <w:tabs>
          <w:tab w:leader="none" w:pos="8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It allows shareholders to provide timely, direct input on our executive compensation philosophy, policies and practices as disclosed in the proxy statement each year; and</w:t>
      </w:r>
    </w:p>
    <w:p>
      <w:pPr>
        <w:spacing w:after="0" w:line="4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It is consistent with our annual review of core elements of our executive compensation program.</w:t>
      </w:r>
    </w:p>
    <w:p>
      <w:pPr>
        <w:spacing w:after="0" w:line="170" w:lineRule="exact"/>
        <w:rPr>
          <w:sz w:val="20"/>
          <w:szCs w:val="20"/>
          <w:color w:val="auto"/>
        </w:rPr>
      </w:pPr>
    </w:p>
    <w:p>
      <w:pPr>
        <w:ind w:right="60" w:firstLine="401"/>
        <w:spacing w:after="0" w:line="253" w:lineRule="auto"/>
        <w:rPr>
          <w:sz w:val="20"/>
          <w:szCs w:val="20"/>
          <w:color w:val="auto"/>
        </w:rPr>
      </w:pPr>
      <w:r>
        <w:rPr>
          <w:rFonts w:ascii="Arial" w:cs="Arial" w:eastAsia="Arial" w:hAnsi="Arial"/>
          <w:sz w:val="18"/>
          <w:szCs w:val="18"/>
          <w:color w:val="auto"/>
        </w:rPr>
        <w:t>Shareholders are not voting to approve or disapprove the Board’s recommendation. Instead, shareholders may indicate their preference regarding the frequency of future say-on-pay votes by selecting every year, every two years or every three years. Shareholders that do not have a preference regarding the frequency of future say-on-pay votes may abstain from voting on the proposal.</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Effect of Say-on-Pay Frequency Vote Outcome</w:t>
      </w:r>
    </w:p>
    <w:p>
      <w:pPr>
        <w:spacing w:after="0" w:line="99" w:lineRule="exact"/>
        <w:rPr>
          <w:sz w:val="20"/>
          <w:szCs w:val="20"/>
          <w:color w:val="auto"/>
        </w:rPr>
      </w:pPr>
    </w:p>
    <w:p>
      <w:pPr>
        <w:ind w:right="20" w:firstLine="401"/>
        <w:spacing w:after="0"/>
        <w:rPr>
          <w:sz w:val="20"/>
          <w:szCs w:val="20"/>
          <w:color w:val="auto"/>
        </w:rPr>
      </w:pPr>
      <w:r>
        <w:rPr>
          <w:rFonts w:ascii="Arial" w:cs="Arial" w:eastAsia="Arial" w:hAnsi="Arial"/>
          <w:sz w:val="18"/>
          <w:szCs w:val="18"/>
          <w:color w:val="auto"/>
        </w:rPr>
        <w:t>The option of every year, every two years or every three years that receives the highest number of votes cast by shareholders will reflect the frequency for future say-on-pay votes that has been selected by shareholders. As this is an advisory vote, the outcome of the vote is not binding on us, and our Compensation &amp; Human Resources Committee and the Board may decide that it is in the best interests of our Company and our shareholders to hold a say-on-pay vote more or less frequently than the preference receiving the highest number of votes of our shareholders. However, our Compensation &amp; Human Resources Committee and Board value the opinions expressed by our shareholders in their vote on this proposal and expect to take into account the outcome of this vote when considering the frequency of future advisory votes on our executive compensation.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9760" w:type="dxa"/>
            <w:vAlign w:val="bottom"/>
            <w:shd w:val="clear" w:color="auto" w:fill="C00000"/>
          </w:tcPr>
          <w:p>
            <w:pPr>
              <w:jc w:val="center"/>
              <w:ind w:left="258"/>
              <w:spacing w:after="0"/>
              <w:rPr>
                <w:sz w:val="20"/>
                <w:szCs w:val="20"/>
                <w:color w:val="auto"/>
              </w:rPr>
            </w:pPr>
            <w:r>
              <w:rPr>
                <w:rFonts w:ascii="Arial" w:cs="Arial" w:eastAsia="Arial" w:hAnsi="Arial"/>
                <w:sz w:val="22"/>
                <w:szCs w:val="22"/>
                <w:b w:val="1"/>
                <w:bCs w:val="1"/>
                <w:color w:val="FFFFFF"/>
                <w:w w:val="97"/>
              </w:rPr>
              <w:t>The Board of Directors Recommends a Vote for a Frequency of EVERY YEAR,</w:t>
            </w:r>
          </w:p>
        </w:tc>
        <w:tc>
          <w:tcPr>
            <w:tcW w:w="1480" w:type="dxa"/>
            <w:vAlign w:val="bottom"/>
            <w:vMerge w:val="restart"/>
            <w:shd w:val="clear" w:color="auto" w:fill="C00000"/>
          </w:tcPr>
          <w:p>
            <w:pPr>
              <w:ind w:left="700"/>
              <w:spacing w:after="0" w:line="501" w:lineRule="exact"/>
              <w:rPr>
                <w:sz w:val="20"/>
                <w:szCs w:val="20"/>
                <w:color w:val="auto"/>
              </w:rPr>
            </w:pPr>
            <w:r>
              <w:rPr>
                <w:rFonts w:ascii="MS PGothic" w:cs="MS PGothic" w:eastAsia="MS PGothic" w:hAnsi="MS PGothic"/>
                <w:sz w:val="50"/>
                <w:szCs w:val="50"/>
                <w:color w:val="auto"/>
                <w:highlight w:val="white"/>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5"/>
        </w:trPr>
        <w:tc>
          <w:tcPr>
            <w:tcW w:w="9760" w:type="dxa"/>
            <w:vAlign w:val="bottom"/>
            <w:shd w:val="clear" w:color="auto" w:fill="C00000"/>
          </w:tcPr>
          <w:p>
            <w:pPr>
              <w:jc w:val="center"/>
              <w:ind w:left="258"/>
              <w:spacing w:after="0"/>
              <w:rPr>
                <w:sz w:val="20"/>
                <w:szCs w:val="20"/>
                <w:color w:val="auto"/>
              </w:rPr>
            </w:pPr>
            <w:r>
              <w:rPr>
                <w:rFonts w:ascii="Arial" w:cs="Arial" w:eastAsia="Arial" w:hAnsi="Arial"/>
                <w:sz w:val="22"/>
                <w:szCs w:val="22"/>
                <w:b w:val="1"/>
                <w:bCs w:val="1"/>
                <w:color w:val="FFFFFF"/>
                <w:w w:val="97"/>
              </w:rPr>
              <w:t>on an Advisory Basis, for the Say-On-Pay Vote.</w:t>
            </w:r>
          </w:p>
        </w:tc>
        <w:tc>
          <w:tcPr>
            <w:tcW w:w="1480" w:type="dxa"/>
            <w:vAlign w:val="bottom"/>
            <w:vMerge w:val="continue"/>
            <w:shd w:val="clear" w:color="auto" w:fill="C0000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8"/>
        </w:trPr>
        <w:tc>
          <w:tcPr>
            <w:tcW w:w="9760" w:type="dxa"/>
            <w:vAlign w:val="bottom"/>
          </w:tcPr>
          <w:p>
            <w:pPr>
              <w:jc w:val="right"/>
              <w:ind w:right="3938"/>
              <w:spacing w:after="0"/>
              <w:rPr>
                <w:sz w:val="20"/>
                <w:szCs w:val="20"/>
                <w:color w:val="auto"/>
              </w:rPr>
            </w:pPr>
            <w:r>
              <w:rPr>
                <w:rFonts w:ascii="Arial" w:cs="Arial" w:eastAsia="Arial" w:hAnsi="Arial"/>
                <w:sz w:val="18"/>
                <w:szCs w:val="18"/>
                <w:color w:val="auto"/>
              </w:rPr>
              <w:t>28</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976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2057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COMPENSATION DISCUSSION AND ANALYSIS</w:t>
      </w:r>
    </w:p>
    <w:p>
      <w:pPr>
        <w:spacing w:after="0" w:line="256" w:lineRule="exact"/>
        <w:rPr>
          <w:sz w:val="20"/>
          <w:szCs w:val="20"/>
          <w:color w:val="auto"/>
        </w:rPr>
      </w:pPr>
    </w:p>
    <w:p>
      <w:pPr>
        <w:ind w:right="240" w:firstLine="401"/>
        <w:spacing w:after="0" w:line="253" w:lineRule="auto"/>
        <w:rPr>
          <w:sz w:val="20"/>
          <w:szCs w:val="20"/>
          <w:color w:val="auto"/>
        </w:rPr>
      </w:pPr>
      <w:r>
        <w:rPr>
          <w:rFonts w:ascii="Arial" w:cs="Arial" w:eastAsia="Arial" w:hAnsi="Arial"/>
          <w:sz w:val="18"/>
          <w:szCs w:val="18"/>
          <w:color w:val="auto"/>
        </w:rPr>
        <w:t>This section, the CD&amp;A, discusses our executive compensation program and plans for our Named Executive Officers, or NEOs, listed below. This CD&amp;A should be read together with the related tables and disclosures that follow and our advisory vote on executive compensation, which can be found under “Proposal Three—Advisory Approval of our Executive Compensation.”</w:t>
      </w:r>
    </w:p>
    <w:p>
      <w:pPr>
        <w:spacing w:after="0" w:line="174" w:lineRule="exact"/>
        <w:rPr>
          <w:sz w:val="20"/>
          <w:szCs w:val="20"/>
          <w:color w:val="auto"/>
        </w:rPr>
      </w:pPr>
    </w:p>
    <w:p>
      <w:pPr>
        <w:ind w:left="2840"/>
        <w:spacing w:after="0"/>
        <w:tabs>
          <w:tab w:leader="none" w:pos="8400" w:val="left"/>
        </w:tabs>
        <w:rPr>
          <w:sz w:val="20"/>
          <w:szCs w:val="20"/>
          <w:color w:val="auto"/>
        </w:rPr>
      </w:pPr>
      <w:r>
        <w:rPr>
          <w:rFonts w:ascii="Arial" w:cs="Arial" w:eastAsia="Arial" w:hAnsi="Arial"/>
          <w:sz w:val="16"/>
          <w:szCs w:val="16"/>
          <w:b w:val="1"/>
          <w:bCs w:val="1"/>
          <w:color w:val="auto"/>
        </w:rPr>
        <w:t>Richard M. Olson</w:t>
      </w:r>
      <w:r>
        <w:rPr>
          <w:sz w:val="20"/>
          <w:szCs w:val="20"/>
          <w:color w:val="auto"/>
        </w:rPr>
        <w:tab/>
      </w:r>
      <w:r>
        <w:rPr>
          <w:rFonts w:ascii="Arial" w:cs="Arial" w:eastAsia="Arial" w:hAnsi="Arial"/>
          <w:sz w:val="16"/>
          <w:szCs w:val="16"/>
          <w:b w:val="1"/>
          <w:bCs w:val="1"/>
          <w:color w:val="auto"/>
        </w:rPr>
        <w:t>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-107315</wp:posOffset>
            </wp:positionV>
            <wp:extent cx="779780" cy="10629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9780" cy="1062990"/>
                    </a:xfrm>
                    <a:prstGeom prst="rect">
                      <a:avLst/>
                    </a:prstGeom>
                    <a:noFill/>
                  </pic:spPr>
                </pic:pic>
              </a:graphicData>
            </a:graphic>
          </wp:anchor>
        </w:drawing>
      </w:r>
    </w:p>
    <w:p>
      <w:pPr>
        <w:spacing w:after="0" w:line="1" w:lineRule="exact"/>
        <w:rPr>
          <w:sz w:val="20"/>
          <w:szCs w:val="20"/>
          <w:color w:val="auto"/>
        </w:rPr>
      </w:pPr>
    </w:p>
    <w:p>
      <w:pPr>
        <w:ind w:left="2840"/>
        <w:spacing w:after="0"/>
        <w:tabs>
          <w:tab w:leader="none" w:pos="8400" w:val="left"/>
        </w:tabs>
        <w:rPr>
          <w:sz w:val="20"/>
          <w:szCs w:val="20"/>
          <w:color w:val="auto"/>
        </w:rPr>
      </w:pPr>
      <w:r>
        <w:rPr>
          <w:rFonts w:ascii="Arial" w:cs="Arial" w:eastAsia="Arial" w:hAnsi="Arial"/>
          <w:sz w:val="16"/>
          <w:szCs w:val="16"/>
          <w:color w:val="auto"/>
        </w:rPr>
        <w:t>Chairman of the Board, President and</w:t>
      </w:r>
      <w:r>
        <w:rPr>
          <w:sz w:val="20"/>
          <w:szCs w:val="20"/>
          <w:color w:val="auto"/>
        </w:rPr>
        <w:tab/>
      </w:r>
      <w:r>
        <w:rPr>
          <w:rFonts w:ascii="Arial" w:cs="Arial" w:eastAsia="Arial" w:hAnsi="Arial"/>
          <w:sz w:val="16"/>
          <w:szCs w:val="16"/>
          <w:color w:val="auto"/>
        </w:rPr>
        <w:t>Vice President and</w:t>
      </w:r>
    </w:p>
    <w:p>
      <w:pPr>
        <w:spacing w:after="0" w:line="5" w:lineRule="exact"/>
        <w:rPr>
          <w:sz w:val="20"/>
          <w:szCs w:val="20"/>
          <w:color w:val="auto"/>
        </w:rPr>
      </w:pPr>
    </w:p>
    <w:p>
      <w:pPr>
        <w:ind w:left="2840"/>
        <w:spacing w:after="0"/>
        <w:tabs>
          <w:tab w:leader="none" w:pos="8400" w:val="left"/>
        </w:tabs>
        <w:rPr>
          <w:sz w:val="20"/>
          <w:szCs w:val="20"/>
          <w:color w:val="auto"/>
        </w:rPr>
      </w:pPr>
      <w:r>
        <w:rPr>
          <w:rFonts w:ascii="Arial" w:cs="Arial" w:eastAsia="Arial" w:hAnsi="Arial"/>
          <w:sz w:val="16"/>
          <w:szCs w:val="16"/>
          <w:color w:val="auto"/>
        </w:rPr>
        <w:t>Chief Executive Officer</w:t>
      </w:r>
      <w:r>
        <w:rPr>
          <w:sz w:val="20"/>
          <w:szCs w:val="20"/>
          <w:color w:val="auto"/>
        </w:rPr>
        <w:tab/>
      </w:r>
      <w:r>
        <w:rPr>
          <w:rFonts w:ascii="Arial" w:cs="Arial" w:eastAsia="Arial" w:hAnsi="Arial"/>
          <w:sz w:val="16"/>
          <w:szCs w:val="16"/>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1880" w:type="dxa"/>
        <w:tblCellMar>
          <w:top w:w="0" w:type="dxa"/>
          <w:left w:w="0" w:type="dxa"/>
          <w:bottom w:w="0" w:type="dxa"/>
          <w:right w:w="0" w:type="dxa"/>
        </w:tblCellMar>
      </w:tblPr>
      <w:tr>
        <w:trPr>
          <w:trHeight w:val="189"/>
        </w:trPr>
        <w:tc>
          <w:tcPr>
            <w:tcW w:w="2740" w:type="dxa"/>
            <w:vAlign w:val="bottom"/>
          </w:tcPr>
          <w:p>
            <w:pPr>
              <w:spacing w:after="0"/>
              <w:rPr>
                <w:sz w:val="20"/>
                <w:szCs w:val="20"/>
                <w:color w:val="auto"/>
              </w:rPr>
            </w:pPr>
            <w:r>
              <w:rPr>
                <w:rFonts w:ascii="Arial" w:cs="Arial" w:eastAsia="Arial" w:hAnsi="Arial"/>
                <w:sz w:val="16"/>
                <w:szCs w:val="16"/>
                <w:b w:val="1"/>
                <w:bCs w:val="1"/>
                <w:color w:val="auto"/>
              </w:rPr>
              <w:t>Kevin N. Carpenter</w:t>
            </w:r>
          </w:p>
        </w:tc>
        <w:tc>
          <w:tcPr>
            <w:tcW w:w="3780" w:type="dxa"/>
            <w:vAlign w:val="bottom"/>
          </w:tcPr>
          <w:p>
            <w:pPr>
              <w:ind w:left="1000"/>
              <w:spacing w:after="0"/>
              <w:rPr>
                <w:sz w:val="20"/>
                <w:szCs w:val="20"/>
                <w:color w:val="auto"/>
              </w:rPr>
            </w:pPr>
            <w:r>
              <w:rPr>
                <w:rFonts w:ascii="Arial" w:cs="Arial" w:eastAsia="Arial" w:hAnsi="Arial"/>
                <w:sz w:val="16"/>
                <w:szCs w:val="16"/>
                <w:b w:val="1"/>
                <w:bCs w:val="1"/>
                <w:color w:val="auto"/>
              </w:rPr>
              <w:t>Richard W. Rodier</w:t>
            </w:r>
          </w:p>
        </w:tc>
        <w:tc>
          <w:tcPr>
            <w:tcW w:w="2680" w:type="dxa"/>
            <w:vAlign w:val="bottom"/>
          </w:tcPr>
          <w:p>
            <w:pPr>
              <w:ind w:left="980"/>
              <w:spacing w:after="0"/>
              <w:rPr>
                <w:sz w:val="20"/>
                <w:szCs w:val="20"/>
                <w:color w:val="auto"/>
              </w:rPr>
            </w:pPr>
            <w:r>
              <w:rPr>
                <w:rFonts w:ascii="Arial" w:cs="Arial" w:eastAsia="Arial" w:hAnsi="Arial"/>
                <w:sz w:val="16"/>
                <w:szCs w:val="16"/>
                <w:b w:val="1"/>
                <w:bCs w:val="1"/>
                <w:color w:val="auto"/>
              </w:rPr>
              <w:t>Amy E. Dahl</w:t>
            </w:r>
          </w:p>
        </w:tc>
      </w:tr>
      <w:tr>
        <w:trPr>
          <w:trHeight w:val="189"/>
        </w:trPr>
        <w:tc>
          <w:tcPr>
            <w:tcW w:w="2740" w:type="dxa"/>
            <w:vAlign w:val="bottom"/>
          </w:tcPr>
          <w:p>
            <w:pPr>
              <w:spacing w:after="0"/>
              <w:rPr>
                <w:sz w:val="20"/>
                <w:szCs w:val="20"/>
                <w:color w:val="auto"/>
              </w:rPr>
            </w:pPr>
            <w:r>
              <w:rPr>
                <w:rFonts w:ascii="Arial" w:cs="Arial" w:eastAsia="Arial" w:hAnsi="Arial"/>
                <w:sz w:val="16"/>
                <w:szCs w:val="16"/>
                <w:color w:val="auto"/>
              </w:rPr>
              <w:t>Vice President,</w:t>
            </w:r>
          </w:p>
        </w:tc>
        <w:tc>
          <w:tcPr>
            <w:tcW w:w="3780" w:type="dxa"/>
            <w:vAlign w:val="bottom"/>
          </w:tcPr>
          <w:p>
            <w:pPr>
              <w:ind w:left="1000"/>
              <w:spacing w:after="0"/>
              <w:rPr>
                <w:sz w:val="20"/>
                <w:szCs w:val="20"/>
                <w:color w:val="auto"/>
              </w:rPr>
            </w:pPr>
            <w:r>
              <w:rPr>
                <w:rFonts w:ascii="Arial" w:cs="Arial" w:eastAsia="Arial" w:hAnsi="Arial"/>
                <w:sz w:val="16"/>
                <w:szCs w:val="16"/>
                <w:color w:val="auto"/>
              </w:rPr>
              <w:t>Group Vice President,</w:t>
            </w:r>
          </w:p>
        </w:tc>
        <w:tc>
          <w:tcPr>
            <w:tcW w:w="2680" w:type="dxa"/>
            <w:vAlign w:val="bottom"/>
          </w:tcPr>
          <w:p>
            <w:pPr>
              <w:ind w:left="980"/>
              <w:spacing w:after="0"/>
              <w:rPr>
                <w:sz w:val="20"/>
                <w:szCs w:val="20"/>
                <w:color w:val="auto"/>
              </w:rPr>
            </w:pPr>
            <w:r>
              <w:rPr>
                <w:rFonts w:ascii="Arial" w:cs="Arial" w:eastAsia="Arial" w:hAnsi="Arial"/>
                <w:sz w:val="16"/>
                <w:szCs w:val="16"/>
                <w:color w:val="auto"/>
                <w:w w:val="99"/>
              </w:rPr>
              <w:t>Vice President, General</w:t>
            </w:r>
          </w:p>
        </w:tc>
      </w:tr>
      <w:tr>
        <w:trPr>
          <w:trHeight w:val="189"/>
        </w:trPr>
        <w:tc>
          <w:tcPr>
            <w:tcW w:w="2740" w:type="dxa"/>
            <w:vAlign w:val="bottom"/>
          </w:tcPr>
          <w:p>
            <w:pPr>
              <w:spacing w:after="0"/>
              <w:rPr>
                <w:sz w:val="20"/>
                <w:szCs w:val="20"/>
                <w:color w:val="auto"/>
              </w:rPr>
            </w:pPr>
            <w:r>
              <w:rPr>
                <w:rFonts w:ascii="Arial" w:cs="Arial" w:eastAsia="Arial" w:hAnsi="Arial"/>
                <w:sz w:val="16"/>
                <w:szCs w:val="16"/>
                <w:color w:val="auto"/>
              </w:rPr>
              <w:t>Global Operations and</w:t>
            </w:r>
          </w:p>
        </w:tc>
        <w:tc>
          <w:tcPr>
            <w:tcW w:w="3780" w:type="dxa"/>
            <w:vAlign w:val="bottom"/>
          </w:tcPr>
          <w:p>
            <w:pPr>
              <w:ind w:left="1000"/>
              <w:spacing w:after="0"/>
              <w:rPr>
                <w:sz w:val="20"/>
                <w:szCs w:val="20"/>
                <w:color w:val="auto"/>
              </w:rPr>
            </w:pPr>
            <w:r>
              <w:rPr>
                <w:rFonts w:ascii="Arial" w:cs="Arial" w:eastAsia="Arial" w:hAnsi="Arial"/>
                <w:sz w:val="16"/>
                <w:szCs w:val="16"/>
                <w:color w:val="auto"/>
              </w:rPr>
              <w:t>Construction Businesses</w:t>
            </w:r>
          </w:p>
        </w:tc>
        <w:tc>
          <w:tcPr>
            <w:tcW w:w="2680" w:type="dxa"/>
            <w:vAlign w:val="bottom"/>
          </w:tcPr>
          <w:p>
            <w:pPr>
              <w:ind w:left="980"/>
              <w:spacing w:after="0"/>
              <w:rPr>
                <w:sz w:val="20"/>
                <w:szCs w:val="20"/>
                <w:color w:val="auto"/>
              </w:rPr>
            </w:pPr>
            <w:r>
              <w:rPr>
                <w:rFonts w:ascii="Arial" w:cs="Arial" w:eastAsia="Arial" w:hAnsi="Arial"/>
                <w:sz w:val="16"/>
                <w:szCs w:val="16"/>
                <w:color w:val="auto"/>
              </w:rPr>
              <w:t>Counsel and Corporate</w:t>
            </w:r>
          </w:p>
        </w:tc>
      </w:tr>
      <w:tr>
        <w:trPr>
          <w:trHeight w:val="215"/>
        </w:trPr>
        <w:tc>
          <w:tcPr>
            <w:tcW w:w="2740" w:type="dxa"/>
            <w:vAlign w:val="bottom"/>
          </w:tcPr>
          <w:p>
            <w:pPr>
              <w:spacing w:after="0"/>
              <w:rPr>
                <w:sz w:val="20"/>
                <w:szCs w:val="20"/>
                <w:color w:val="auto"/>
              </w:rPr>
            </w:pPr>
            <w:r>
              <w:rPr>
                <w:rFonts w:ascii="Arial" w:cs="Arial" w:eastAsia="Arial" w:hAnsi="Arial"/>
                <w:sz w:val="16"/>
                <w:szCs w:val="16"/>
                <w:color w:val="auto"/>
              </w:rPr>
              <w:t>Integrated Supply Chain</w:t>
            </w:r>
          </w:p>
        </w:tc>
        <w:tc>
          <w:tcPr>
            <w:tcW w:w="3780" w:type="dxa"/>
            <w:vAlign w:val="bottom"/>
          </w:tcPr>
          <w:p>
            <w:pPr>
              <w:spacing w:after="0"/>
              <w:rPr>
                <w:sz w:val="18"/>
                <w:szCs w:val="18"/>
                <w:color w:val="auto"/>
              </w:rPr>
            </w:pPr>
          </w:p>
        </w:tc>
        <w:tc>
          <w:tcPr>
            <w:tcW w:w="2680" w:type="dxa"/>
            <w:vAlign w:val="bottom"/>
          </w:tcPr>
          <w:p>
            <w:pPr>
              <w:ind w:left="980"/>
              <w:spacing w:after="0"/>
              <w:rPr>
                <w:sz w:val="20"/>
                <w:szCs w:val="20"/>
                <w:color w:val="auto"/>
              </w:rPr>
            </w:pPr>
            <w:r>
              <w:rPr>
                <w:rFonts w:ascii="Arial" w:cs="Arial" w:eastAsia="Arial" w:hAnsi="Arial"/>
                <w:sz w:val="16"/>
                <w:szCs w:val="16"/>
                <w:color w:val="auto"/>
              </w:rPr>
              <w:t>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-487045</wp:posOffset>
            </wp:positionV>
            <wp:extent cx="779780" cy="10629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9780" cy="1062990"/>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-487045</wp:posOffset>
            </wp:positionV>
            <wp:extent cx="780415" cy="10629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80415" cy="10629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-487045</wp:posOffset>
            </wp:positionV>
            <wp:extent cx="779780" cy="10629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978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Executive Summary: Fiscal 2022 Compensation Actions and Outcomes</w:t>
      </w:r>
    </w:p>
    <w:p>
      <w:pPr>
        <w:spacing w:after="0" w:line="99" w:lineRule="exact"/>
        <w:rPr>
          <w:sz w:val="20"/>
          <w:szCs w:val="20"/>
          <w:color w:val="auto"/>
        </w:rPr>
      </w:pPr>
    </w:p>
    <w:p>
      <w:pPr>
        <w:ind w:right="140" w:firstLine="401"/>
        <w:spacing w:after="0" w:line="253" w:lineRule="auto"/>
        <w:rPr>
          <w:sz w:val="20"/>
          <w:szCs w:val="20"/>
          <w:color w:val="auto"/>
        </w:rPr>
      </w:pPr>
      <w:r>
        <w:rPr>
          <w:rFonts w:ascii="Arial" w:cs="Arial" w:eastAsia="Arial" w:hAnsi="Arial"/>
          <w:sz w:val="18"/>
          <w:szCs w:val="18"/>
          <w:color w:val="auto"/>
        </w:rPr>
        <w:t>One of our key executive compensation objectives is to link pay to performance by aligning the financial interests of our executive officers, including our NEOs, with those of our shareholders and by emphasizing pay for performance in our compensation programs. Fiscal 2022 compensation actions and incentive plan outcomes based on performance described are summarized below:</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shd w:val="clear" w:color="auto" w:fill="C00000"/>
          </w:tcPr>
          <w:p>
            <w:pPr>
              <w:spacing w:after="0"/>
              <w:rPr>
                <w:sz w:val="20"/>
                <w:szCs w:val="20"/>
                <w:color w:val="auto"/>
              </w:rPr>
            </w:pPr>
            <w:r>
              <w:rPr>
                <w:rFonts w:ascii="Arial" w:cs="Arial" w:eastAsia="Arial" w:hAnsi="Arial"/>
                <w:sz w:val="18"/>
                <w:szCs w:val="18"/>
                <w:b w:val="1"/>
                <w:bCs w:val="1"/>
                <w:color w:val="FFFFFF"/>
              </w:rPr>
              <w:t>Pay Element</w:t>
            </w:r>
          </w:p>
        </w:tc>
        <w:tc>
          <w:tcPr>
            <w:tcW w:w="9320" w:type="dxa"/>
            <w:vAlign w:val="bottom"/>
            <w:gridSpan w:val="2"/>
            <w:shd w:val="clear" w:color="auto" w:fill="C00000"/>
          </w:tcPr>
          <w:p>
            <w:pPr>
              <w:ind w:left="280"/>
              <w:spacing w:after="0"/>
              <w:rPr>
                <w:sz w:val="20"/>
                <w:szCs w:val="20"/>
                <w:color w:val="auto"/>
              </w:rPr>
            </w:pPr>
            <w:r>
              <w:rPr>
                <w:rFonts w:ascii="Arial" w:cs="Arial" w:eastAsia="Arial" w:hAnsi="Arial"/>
                <w:sz w:val="18"/>
                <w:szCs w:val="18"/>
                <w:b w:val="1"/>
                <w:bCs w:val="1"/>
                <w:color w:val="FFFFFF"/>
              </w:rPr>
              <w:t>Fiscal 2022 Actions</w:t>
            </w:r>
          </w:p>
        </w:tc>
      </w:tr>
      <w:tr>
        <w:trPr>
          <w:trHeight w:val="228"/>
        </w:trPr>
        <w:tc>
          <w:tcPr>
            <w:tcW w:w="1920" w:type="dxa"/>
            <w:vAlign w:val="bottom"/>
          </w:tcPr>
          <w:p>
            <w:pPr>
              <w:spacing w:after="0"/>
              <w:rPr>
                <w:sz w:val="20"/>
                <w:szCs w:val="20"/>
                <w:color w:val="auto"/>
              </w:rPr>
            </w:pPr>
            <w:r>
              <w:rPr>
                <w:rFonts w:ascii="Arial" w:cs="Arial" w:eastAsia="Arial" w:hAnsi="Arial"/>
                <w:sz w:val="16"/>
                <w:szCs w:val="16"/>
                <w:i w:val="1"/>
                <w:iCs w:val="1"/>
                <w:color w:val="auto"/>
              </w:rPr>
              <w:t>Base Salary</w:t>
            </w:r>
          </w:p>
        </w:tc>
        <w:tc>
          <w:tcPr>
            <w:tcW w:w="4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920" w:type="dxa"/>
            <w:vAlign w:val="bottom"/>
          </w:tcPr>
          <w:p>
            <w:pPr>
              <w:ind w:left="40"/>
              <w:spacing w:after="0"/>
              <w:rPr>
                <w:sz w:val="20"/>
                <w:szCs w:val="20"/>
                <w:color w:val="auto"/>
              </w:rPr>
            </w:pPr>
            <w:r>
              <w:rPr>
                <w:rFonts w:ascii="Arial" w:cs="Arial" w:eastAsia="Arial" w:hAnsi="Arial"/>
                <w:sz w:val="16"/>
                <w:szCs w:val="16"/>
                <w:color w:val="auto"/>
              </w:rPr>
              <w:t>Our Chairman and CEO received a base salary increase of 3.8%.</w:t>
            </w:r>
          </w:p>
        </w:tc>
      </w:tr>
      <w:tr>
        <w:trPr>
          <w:trHeight w:val="252"/>
        </w:trPr>
        <w:tc>
          <w:tcPr>
            <w:tcW w:w="1920" w:type="dxa"/>
            <w:vAlign w:val="bottom"/>
            <w:tcBorders>
              <w:bottom w:val="single" w:sz="8" w:color="D9D9D9"/>
            </w:tcBorders>
          </w:tcPr>
          <w:p>
            <w:pPr>
              <w:spacing w:after="0"/>
              <w:rPr>
                <w:sz w:val="21"/>
                <w:szCs w:val="21"/>
                <w:color w:val="auto"/>
              </w:rPr>
            </w:pPr>
          </w:p>
        </w:tc>
        <w:tc>
          <w:tcPr>
            <w:tcW w:w="400" w:type="dxa"/>
            <w:vAlign w:val="bottom"/>
            <w:tcBorders>
              <w:bottom w:val="single" w:sz="8" w:color="D9D9D9"/>
            </w:tcBorders>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920" w:type="dxa"/>
            <w:vAlign w:val="bottom"/>
            <w:tcBorders>
              <w:bottom w:val="single" w:sz="8" w:color="D9D9D9"/>
            </w:tcBorders>
          </w:tcPr>
          <w:p>
            <w:pPr>
              <w:ind w:left="40"/>
              <w:spacing w:after="0"/>
              <w:rPr>
                <w:sz w:val="20"/>
                <w:szCs w:val="20"/>
                <w:color w:val="auto"/>
              </w:rPr>
            </w:pPr>
            <w:r>
              <w:rPr>
                <w:rFonts w:ascii="Arial" w:cs="Arial" w:eastAsia="Arial" w:hAnsi="Arial"/>
                <w:sz w:val="16"/>
                <w:szCs w:val="16"/>
                <w:color w:val="auto"/>
              </w:rPr>
              <w:t>Our other NEOs received base salary increases ranging from 3.4% to 5.2%.</w:t>
            </w:r>
          </w:p>
        </w:tc>
      </w:tr>
      <w:tr>
        <w:trPr>
          <w:trHeight w:val="215"/>
        </w:trPr>
        <w:tc>
          <w:tcPr>
            <w:tcW w:w="1920" w:type="dxa"/>
            <w:vAlign w:val="bottom"/>
          </w:tcPr>
          <w:p>
            <w:pPr>
              <w:spacing w:after="0"/>
              <w:rPr>
                <w:sz w:val="20"/>
                <w:szCs w:val="20"/>
                <w:color w:val="auto"/>
              </w:rPr>
            </w:pPr>
            <w:r>
              <w:rPr>
                <w:rFonts w:ascii="Arial" w:cs="Arial" w:eastAsia="Arial" w:hAnsi="Arial"/>
                <w:sz w:val="16"/>
                <w:szCs w:val="16"/>
                <w:i w:val="1"/>
                <w:iCs w:val="1"/>
                <w:color w:val="auto"/>
              </w:rPr>
              <w:t>Annual Cash Incentive</w:t>
            </w:r>
          </w:p>
        </w:tc>
        <w:tc>
          <w:tcPr>
            <w:tcW w:w="4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920" w:type="dxa"/>
            <w:vAlign w:val="bottom"/>
          </w:tcPr>
          <w:p>
            <w:pPr>
              <w:ind w:left="40"/>
              <w:spacing w:after="0"/>
              <w:rPr>
                <w:sz w:val="20"/>
                <w:szCs w:val="20"/>
                <w:color w:val="auto"/>
              </w:rPr>
            </w:pPr>
            <w:r>
              <w:rPr>
                <w:rFonts w:ascii="Arial" w:cs="Arial" w:eastAsia="Arial" w:hAnsi="Arial"/>
                <w:sz w:val="16"/>
                <w:szCs w:val="16"/>
                <w:color w:val="auto"/>
              </w:rPr>
              <w:t>The target annual cash incentive award opportunity for our Chairman and CEO was 130% of base salary earnings,</w:t>
            </w:r>
          </w:p>
        </w:tc>
      </w:tr>
      <w:tr>
        <w:trPr>
          <w:trHeight w:val="189"/>
        </w:trPr>
        <w:tc>
          <w:tcPr>
            <w:tcW w:w="1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920" w:type="dxa"/>
            <w:vAlign w:val="bottom"/>
          </w:tcPr>
          <w:p>
            <w:pPr>
              <w:ind w:left="40"/>
              <w:spacing w:after="0"/>
              <w:rPr>
                <w:sz w:val="20"/>
                <w:szCs w:val="20"/>
                <w:color w:val="auto"/>
              </w:rPr>
            </w:pPr>
            <w:r>
              <w:rPr>
                <w:rFonts w:ascii="Arial" w:cs="Arial" w:eastAsia="Arial" w:hAnsi="Arial"/>
                <w:sz w:val="16"/>
                <w:szCs w:val="16"/>
                <w:color w:val="auto"/>
              </w:rPr>
              <w:t>representing an increase over the 120% target from last fiscal year; the target annual cash incentive award opportunities</w:t>
            </w:r>
          </w:p>
        </w:tc>
      </w:tr>
      <w:tr>
        <w:trPr>
          <w:trHeight w:val="215"/>
        </w:trPr>
        <w:tc>
          <w:tcPr>
            <w:tcW w:w="1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920" w:type="dxa"/>
            <w:vAlign w:val="bottom"/>
          </w:tcPr>
          <w:p>
            <w:pPr>
              <w:ind w:left="40"/>
              <w:spacing w:after="0"/>
              <w:rPr>
                <w:sz w:val="20"/>
                <w:szCs w:val="20"/>
                <w:color w:val="auto"/>
              </w:rPr>
            </w:pPr>
            <w:r>
              <w:rPr>
                <w:rFonts w:ascii="Arial" w:cs="Arial" w:eastAsia="Arial" w:hAnsi="Arial"/>
                <w:sz w:val="16"/>
                <w:szCs w:val="16"/>
                <w:color w:val="auto"/>
              </w:rPr>
              <w:t>for our other NEOs ranged from 60% to 80% of base salary earnings.</w:t>
            </w:r>
          </w:p>
        </w:tc>
      </w:tr>
      <w:tr>
        <w:trPr>
          <w:trHeight w:val="238"/>
        </w:trPr>
        <w:tc>
          <w:tcPr>
            <w:tcW w:w="1920" w:type="dxa"/>
            <w:vAlign w:val="bottom"/>
            <w:tcBorders>
              <w:bottom w:val="single" w:sz="8" w:color="BFBFBF"/>
            </w:tcBorders>
          </w:tcPr>
          <w:p>
            <w:pPr>
              <w:spacing w:after="0"/>
              <w:rPr>
                <w:sz w:val="20"/>
                <w:szCs w:val="20"/>
                <w:color w:val="auto"/>
              </w:rPr>
            </w:pPr>
          </w:p>
        </w:tc>
        <w:tc>
          <w:tcPr>
            <w:tcW w:w="400" w:type="dxa"/>
            <w:vAlign w:val="bottom"/>
            <w:tcBorders>
              <w:bottom w:val="single" w:sz="8" w:color="BFBFBF"/>
            </w:tcBorders>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920" w:type="dxa"/>
            <w:vAlign w:val="bottom"/>
            <w:tcBorders>
              <w:bottom w:val="single" w:sz="8" w:color="BFBFBF"/>
            </w:tcBorders>
          </w:tcPr>
          <w:p>
            <w:pPr>
              <w:ind w:left="40"/>
              <w:spacing w:after="0"/>
              <w:rPr>
                <w:sz w:val="20"/>
                <w:szCs w:val="20"/>
                <w:color w:val="auto"/>
              </w:rPr>
            </w:pPr>
            <w:r>
              <w:rPr>
                <w:rFonts w:ascii="Arial" w:cs="Arial" w:eastAsia="Arial" w:hAnsi="Arial"/>
                <w:sz w:val="16"/>
                <w:szCs w:val="16"/>
                <w:color w:val="auto"/>
              </w:rPr>
              <w:t>Our corporate performance metrics and weightings were as follows:</w:t>
            </w:r>
          </w:p>
        </w:tc>
      </w:tr>
    </w:tbl>
    <w:p>
      <w:pPr>
        <w:spacing w:after="0" w:line="67" w:lineRule="exact"/>
        <w:rPr>
          <w:sz w:val="20"/>
          <w:szCs w:val="20"/>
          <w:color w:val="auto"/>
        </w:rPr>
      </w:pPr>
    </w:p>
    <w:p>
      <w:pPr>
        <w:sectPr>
          <w:pgSz w:w="11900" w:h="16838" w:orient="portrait"/>
          <w:cols w:equalWidth="0" w:num="1">
            <w:col w:w="11240"/>
          </w:cols>
          <w:pgMar w:left="320" w:top="122" w:right="339" w:bottom="1440" w:gutter="0" w:footer="0" w:header="0"/>
        </w:sectPr>
      </w:pPr>
    </w:p>
    <w:p>
      <w:pPr>
        <w:ind w:left="3240"/>
        <w:spacing w:after="0"/>
        <w:rPr>
          <w:sz w:val="20"/>
          <w:szCs w:val="20"/>
          <w:color w:val="auto"/>
        </w:rPr>
      </w:pPr>
      <w:r>
        <w:rPr>
          <w:rFonts w:ascii="Arial" w:cs="Arial" w:eastAsia="Arial" w:hAnsi="Arial"/>
          <w:sz w:val="16"/>
          <w:szCs w:val="16"/>
          <w:b w:val="1"/>
          <w:bCs w:val="1"/>
          <w:color w:val="FFFFFF"/>
        </w:rPr>
        <w:t>Corporate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-115570</wp:posOffset>
            </wp:positionV>
            <wp:extent cx="2237105" cy="2654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237105" cy="265430"/>
                    </a:xfrm>
                    <a:prstGeom prst="rect">
                      <a:avLst/>
                    </a:prstGeom>
                    <a:noFill/>
                  </pic:spPr>
                </pic:pic>
              </a:graphicData>
            </a:graphic>
          </wp:anchor>
        </w:drawing>
      </w:r>
    </w:p>
    <w:p>
      <w:pPr>
        <w:spacing w:after="0" w:line="1"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FFFFFF"/>
        </w:rPr>
        <w:t>Measures</w:t>
      </w:r>
    </w:p>
    <w:p>
      <w:pPr>
        <w:spacing w:after="0" w:line="30"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Adjusted diluted EPS*</w:t>
      </w:r>
    </w:p>
    <w:p>
      <w:pPr>
        <w:spacing w:after="0" w:line="46"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-115570</wp:posOffset>
            </wp:positionV>
            <wp:extent cx="2237105" cy="146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237105" cy="146050"/>
                    </a:xfrm>
                    <a:prstGeom prst="rect">
                      <a:avLst/>
                    </a:prstGeom>
                    <a:noFill/>
                  </pic:spPr>
                </pic:pic>
              </a:graphicData>
            </a:graphic>
          </wp:anchor>
        </w:drawing>
      </w:r>
    </w:p>
    <w:p>
      <w:pPr>
        <w:spacing w:after="0" w:line="26"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Working capital as a percent of</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sales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center"/>
        <w:ind w:right="4600"/>
        <w:spacing w:after="0"/>
        <w:rPr>
          <w:sz w:val="20"/>
          <w:szCs w:val="20"/>
          <w:color w:val="auto"/>
        </w:rPr>
      </w:pPr>
      <w:r>
        <w:rPr>
          <w:rFonts w:ascii="Arial" w:cs="Arial" w:eastAsia="Arial" w:hAnsi="Arial"/>
          <w:sz w:val="16"/>
          <w:szCs w:val="16"/>
          <w:b w:val="1"/>
          <w:bCs w:val="1"/>
          <w:color w:val="FFFFFF"/>
        </w:rPr>
        <w:t>Weighting</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50%</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30%</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20%</w:t>
      </w:r>
    </w:p>
    <w:p>
      <w:pPr>
        <w:spacing w:after="0" w:line="221" w:lineRule="exact"/>
        <w:rPr>
          <w:sz w:val="20"/>
          <w:szCs w:val="20"/>
          <w:color w:val="auto"/>
        </w:rPr>
      </w:pPr>
    </w:p>
    <w:p>
      <w:pPr>
        <w:sectPr>
          <w:pgSz w:w="11900" w:h="16838" w:orient="portrait"/>
          <w:cols w:equalWidth="0" w:num="2">
            <w:col w:w="5460" w:space="400"/>
            <w:col w:w="5380"/>
          </w:cols>
          <w:pgMar w:left="320" w:top="122" w:right="339" w:bottom="1440" w:gutter="0" w:footer="0" w:header="0"/>
          <w:type w:val="continuous"/>
        </w:sectPr>
      </w:pPr>
    </w:p>
    <w:p>
      <w:pPr>
        <w:ind w:left="2360" w:right="260" w:hanging="144"/>
        <w:spacing w:after="0" w:line="257" w:lineRule="auto"/>
        <w:tabs>
          <w:tab w:leader="none" w:pos="2361" w:val="left"/>
        </w:tabs>
        <w:numPr>
          <w:ilvl w:val="1"/>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In addition to threshold (40% payout), target (100% payout) and maximum (200%) levels of performance, for fiscal 2022, we established a new 90% payout level for the adjusted diluted EPS and revenue growth goals. In light of significant economic uncertainties and unprecedented supply chain challenges, we believed that, while it was important to drive toward performance levels that met or exceeded plan, a 90% payout level between threshold and target levels of performance was appropriate to recognize the impact that these challenges had on our ability to impact performance against these goals.</w:t>
      </w:r>
    </w:p>
    <w:p>
      <w:pPr>
        <w:spacing w:after="0" w:line="5" w:lineRule="exact"/>
        <w:rPr>
          <w:rFonts w:ascii="Times New Roman" w:cs="Times New Roman" w:eastAsia="Times New Roman" w:hAnsi="Times New Roman"/>
          <w:sz w:val="16"/>
          <w:szCs w:val="16"/>
          <w:color w:val="auto"/>
        </w:rPr>
      </w:pPr>
    </w:p>
    <w:p>
      <w:pPr>
        <w:ind w:left="2360" w:right="500" w:hanging="144"/>
        <w:spacing w:after="0" w:line="261" w:lineRule="auto"/>
        <w:tabs>
          <w:tab w:leader="none" w:pos="2361" w:val="left"/>
        </w:tabs>
        <w:numPr>
          <w:ilvl w:val="1"/>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Actual performance, which excluded the financial impact of our January 2022 acquisition of Intimidator Group, was between the 90% payout level and target for adjusted diluted EPS, between threshold and the 90% payout level for revenue growth and below threshold for working capital as a percent of sales. The resulting corporate payout percent was 69.0% of target.</w:t>
      </w:r>
    </w:p>
    <w:p>
      <w:pPr>
        <w:ind w:left="2200"/>
        <w:spacing w:after="0"/>
        <w:rPr>
          <w:rFonts w:ascii="Times New Roman" w:cs="Times New Roman" w:eastAsia="Times New Roman" w:hAnsi="Times New Roman"/>
          <w:sz w:val="16"/>
          <w:szCs w:val="16"/>
          <w:color w:val="auto"/>
        </w:rPr>
      </w:pPr>
      <w:r>
        <w:rPr>
          <w:rFonts w:ascii="Arial" w:cs="Arial" w:eastAsia="Arial" w:hAnsi="Arial"/>
          <w:sz w:val="14"/>
          <w:szCs w:val="14"/>
          <w:color w:val="auto"/>
        </w:rPr>
        <w:t>* Non-GAAP financial measure. See fiscal 2022 investor presentation for definition and reconciliation to 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color w:val="0000EE"/>
        </w:rPr>
        <w:t>Table of Contents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880" w:type="dxa"/>
            <w:vAlign w:val="bottom"/>
            <w:shd w:val="clear" w:color="auto" w:fill="C00000"/>
          </w:tcPr>
          <w:p>
            <w:pPr>
              <w:spacing w:after="0"/>
              <w:rPr>
                <w:sz w:val="20"/>
                <w:szCs w:val="20"/>
                <w:color w:val="auto"/>
              </w:rPr>
            </w:pPr>
            <w:r>
              <w:rPr>
                <w:rFonts w:ascii="Arial" w:cs="Arial" w:eastAsia="Arial" w:hAnsi="Arial"/>
                <w:sz w:val="18"/>
                <w:szCs w:val="18"/>
                <w:b w:val="1"/>
                <w:bCs w:val="1"/>
                <w:color w:val="FFFFFF"/>
              </w:rPr>
              <w:t>Pay Element</w:t>
            </w:r>
          </w:p>
        </w:tc>
        <w:tc>
          <w:tcPr>
            <w:tcW w:w="9360" w:type="dxa"/>
            <w:vAlign w:val="bottom"/>
            <w:gridSpan w:val="2"/>
            <w:shd w:val="clear" w:color="auto" w:fill="C00000"/>
          </w:tcPr>
          <w:p>
            <w:pPr>
              <w:ind w:left="340"/>
              <w:spacing w:after="0"/>
              <w:rPr>
                <w:sz w:val="20"/>
                <w:szCs w:val="20"/>
                <w:color w:val="auto"/>
              </w:rPr>
            </w:pPr>
            <w:r>
              <w:rPr>
                <w:rFonts w:ascii="Arial" w:cs="Arial" w:eastAsia="Arial" w:hAnsi="Arial"/>
                <w:sz w:val="18"/>
                <w:szCs w:val="18"/>
                <w:b w:val="1"/>
                <w:bCs w:val="1"/>
                <w:color w:val="FFFFFF"/>
              </w:rPr>
              <w:t>Fiscal 2022 Actions</w:t>
            </w:r>
          </w:p>
        </w:tc>
      </w:tr>
      <w:tr>
        <w:trPr>
          <w:trHeight w:val="215"/>
        </w:trPr>
        <w:tc>
          <w:tcPr>
            <w:tcW w:w="1880" w:type="dxa"/>
            <w:vAlign w:val="bottom"/>
          </w:tcPr>
          <w:p>
            <w:pPr>
              <w:spacing w:after="0"/>
              <w:rPr>
                <w:sz w:val="20"/>
                <w:szCs w:val="20"/>
                <w:color w:val="auto"/>
              </w:rPr>
            </w:pPr>
            <w:r>
              <w:rPr>
                <w:rFonts w:ascii="Arial" w:cs="Arial" w:eastAsia="Arial" w:hAnsi="Arial"/>
                <w:sz w:val="16"/>
                <w:szCs w:val="16"/>
                <w:i w:val="1"/>
                <w:iCs w:val="1"/>
                <w:color w:val="auto"/>
              </w:rPr>
              <w:t>Long-Term Incentives</w:t>
            </w:r>
          </w:p>
        </w:tc>
        <w:tc>
          <w:tcPr>
            <w:tcW w:w="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8920" w:type="dxa"/>
            <w:vAlign w:val="bottom"/>
          </w:tcPr>
          <w:p>
            <w:pPr>
              <w:ind w:left="40"/>
              <w:spacing w:after="0"/>
              <w:rPr>
                <w:sz w:val="20"/>
                <w:szCs w:val="20"/>
                <w:color w:val="auto"/>
              </w:rPr>
            </w:pPr>
            <w:r>
              <w:rPr>
                <w:rFonts w:ascii="Arial" w:cs="Arial" w:eastAsia="Arial" w:hAnsi="Arial"/>
                <w:sz w:val="16"/>
                <w:szCs w:val="16"/>
                <w:color w:val="auto"/>
              </w:rPr>
              <w:t>Each of our NEOs had a target long-term incentive value established with the long-term mix consisting of 50% of the</w:t>
            </w:r>
          </w:p>
        </w:tc>
      </w:tr>
      <w:tr>
        <w:trPr>
          <w:trHeight w:val="215"/>
        </w:trPr>
        <w:tc>
          <w:tcPr>
            <w:tcW w:w="1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920" w:type="dxa"/>
            <w:vAlign w:val="bottom"/>
          </w:tcPr>
          <w:p>
            <w:pPr>
              <w:ind w:left="40"/>
              <w:spacing w:after="0"/>
              <w:rPr>
                <w:sz w:val="20"/>
                <w:szCs w:val="20"/>
                <w:color w:val="auto"/>
              </w:rPr>
            </w:pPr>
            <w:r>
              <w:rPr>
                <w:rFonts w:ascii="Arial" w:cs="Arial" w:eastAsia="Arial" w:hAnsi="Arial"/>
                <w:sz w:val="16"/>
                <w:szCs w:val="16"/>
                <w:color w:val="auto"/>
              </w:rPr>
              <w:t>target value delivered in stock options and 50% in performance share awards.</w:t>
            </w:r>
          </w:p>
        </w:tc>
      </w:tr>
      <w:tr>
        <w:trPr>
          <w:trHeight w:val="229"/>
        </w:trPr>
        <w:tc>
          <w:tcPr>
            <w:tcW w:w="1880" w:type="dxa"/>
            <w:vAlign w:val="bottom"/>
          </w:tcPr>
          <w:p>
            <w:pPr>
              <w:spacing w:after="0"/>
              <w:rPr>
                <w:sz w:val="19"/>
                <w:szCs w:val="19"/>
                <w:color w:val="auto"/>
              </w:rPr>
            </w:pPr>
          </w:p>
        </w:tc>
        <w:tc>
          <w:tcPr>
            <w:tcW w:w="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8920" w:type="dxa"/>
            <w:vAlign w:val="bottom"/>
          </w:tcPr>
          <w:p>
            <w:pPr>
              <w:ind w:left="40"/>
              <w:spacing w:after="0"/>
              <w:rPr>
                <w:sz w:val="20"/>
                <w:szCs w:val="20"/>
                <w:color w:val="auto"/>
              </w:rPr>
            </w:pPr>
            <w:r>
              <w:rPr>
                <w:rFonts w:ascii="Arial" w:cs="Arial" w:eastAsia="Arial" w:hAnsi="Arial"/>
                <w:sz w:val="16"/>
                <w:szCs w:val="16"/>
                <w:color w:val="auto"/>
              </w:rPr>
              <w:t>The stock options vest in annual installments over three years.</w:t>
            </w:r>
          </w:p>
        </w:tc>
      </w:tr>
      <w:tr>
        <w:trPr>
          <w:trHeight w:val="217"/>
        </w:trPr>
        <w:tc>
          <w:tcPr>
            <w:tcW w:w="1880" w:type="dxa"/>
            <w:vAlign w:val="bottom"/>
          </w:tcPr>
          <w:p>
            <w:pPr>
              <w:spacing w:after="0"/>
              <w:rPr>
                <w:sz w:val="18"/>
                <w:szCs w:val="18"/>
                <w:color w:val="auto"/>
              </w:rPr>
            </w:pPr>
          </w:p>
        </w:tc>
        <w:tc>
          <w:tcPr>
            <w:tcW w:w="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8920" w:type="dxa"/>
            <w:vAlign w:val="bottom"/>
          </w:tcPr>
          <w:p>
            <w:pPr>
              <w:ind w:left="40"/>
              <w:spacing w:after="0"/>
              <w:rPr>
                <w:sz w:val="20"/>
                <w:szCs w:val="20"/>
                <w:color w:val="auto"/>
              </w:rPr>
            </w:pPr>
            <w:r>
              <w:rPr>
                <w:rFonts w:ascii="Arial" w:cs="Arial" w:eastAsia="Arial" w:hAnsi="Arial"/>
                <w:sz w:val="16"/>
                <w:szCs w:val="16"/>
                <w:color w:val="auto"/>
              </w:rPr>
              <w:t>The performance share awards may vest and be paid out in shares of our common stock dependent upon the</w:t>
            </w:r>
          </w:p>
        </w:tc>
      </w:tr>
      <w:tr>
        <w:trPr>
          <w:trHeight w:val="189"/>
        </w:trPr>
        <w:tc>
          <w:tcPr>
            <w:tcW w:w="1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920" w:type="dxa"/>
            <w:vAlign w:val="bottom"/>
          </w:tcPr>
          <w:p>
            <w:pPr>
              <w:ind w:left="40"/>
              <w:spacing w:after="0"/>
              <w:rPr>
                <w:sz w:val="20"/>
                <w:szCs w:val="20"/>
                <w:color w:val="auto"/>
              </w:rPr>
            </w:pPr>
            <w:r>
              <w:rPr>
                <w:rFonts w:ascii="Arial" w:cs="Arial" w:eastAsia="Arial" w:hAnsi="Arial"/>
                <w:sz w:val="16"/>
                <w:szCs w:val="16"/>
                <w:color w:val="auto"/>
              </w:rPr>
              <w:t>achievement of the following corporate performance measures over a three-year performance period from fiscal 2022 to</w:t>
            </w:r>
          </w:p>
        </w:tc>
      </w:tr>
      <w:tr>
        <w:trPr>
          <w:trHeight w:val="215"/>
        </w:trPr>
        <w:tc>
          <w:tcPr>
            <w:tcW w:w="1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920" w:type="dxa"/>
            <w:vAlign w:val="bottom"/>
          </w:tcPr>
          <w:p>
            <w:pPr>
              <w:ind w:left="40"/>
              <w:spacing w:after="0"/>
              <w:rPr>
                <w:sz w:val="20"/>
                <w:szCs w:val="20"/>
                <w:color w:val="auto"/>
              </w:rPr>
            </w:pPr>
            <w:r>
              <w:rPr>
                <w:rFonts w:ascii="Arial" w:cs="Arial" w:eastAsia="Arial" w:hAnsi="Arial"/>
                <w:sz w:val="16"/>
                <w:szCs w:val="16"/>
                <w:color w:val="auto"/>
              </w:rPr>
              <w:t>fiscal 2024:</w:t>
            </w:r>
          </w:p>
        </w:tc>
      </w:tr>
    </w:tbl>
    <w:p>
      <w:pPr>
        <w:spacing w:after="0" w:line="110" w:lineRule="exact"/>
        <w:rPr>
          <w:sz w:val="20"/>
          <w:szCs w:val="20"/>
          <w:color w:val="auto"/>
        </w:rPr>
      </w:pPr>
    </w:p>
    <w:tbl>
      <w:tblPr>
        <w:tblLayout w:type="fixed"/>
        <w:tblInd w:w="3220" w:type="dxa"/>
        <w:tblCellMar>
          <w:top w:w="0" w:type="dxa"/>
          <w:left w:w="0" w:type="dxa"/>
          <w:bottom w:w="0" w:type="dxa"/>
          <w:right w:w="0" w:type="dxa"/>
        </w:tblCellMar>
      </w:tblPr>
      <w:tr>
        <w:trPr>
          <w:trHeight w:val="229"/>
        </w:trPr>
        <w:tc>
          <w:tcPr>
            <w:tcW w:w="2440" w:type="dxa"/>
            <w:vAlign w:val="bottom"/>
            <w:shd w:val="clear" w:color="auto" w:fill="C00000"/>
          </w:tcPr>
          <w:p>
            <w:pPr>
              <w:ind w:left="20"/>
              <w:spacing w:after="0"/>
              <w:rPr>
                <w:sz w:val="20"/>
                <w:szCs w:val="20"/>
                <w:color w:val="auto"/>
              </w:rPr>
            </w:pPr>
            <w:r>
              <w:rPr>
                <w:rFonts w:ascii="Arial" w:cs="Arial" w:eastAsia="Arial" w:hAnsi="Arial"/>
                <w:sz w:val="16"/>
                <w:szCs w:val="16"/>
                <w:b w:val="1"/>
                <w:bCs w:val="1"/>
                <w:color w:val="FFFFFF"/>
              </w:rPr>
              <w:t>Performance Measures</w:t>
            </w:r>
          </w:p>
        </w:tc>
        <w:tc>
          <w:tcPr>
            <w:tcW w:w="1080" w:type="dxa"/>
            <w:vAlign w:val="bottom"/>
            <w:shd w:val="clear" w:color="auto" w:fill="C00000"/>
          </w:tcPr>
          <w:p>
            <w:pPr>
              <w:jc w:val="center"/>
              <w:ind w:left="19"/>
              <w:spacing w:after="0"/>
              <w:rPr>
                <w:sz w:val="20"/>
                <w:szCs w:val="20"/>
                <w:color w:val="auto"/>
              </w:rPr>
            </w:pPr>
            <w:r>
              <w:rPr>
                <w:rFonts w:ascii="Arial" w:cs="Arial" w:eastAsia="Arial" w:hAnsi="Arial"/>
                <w:sz w:val="16"/>
                <w:szCs w:val="16"/>
                <w:b w:val="1"/>
                <w:bCs w:val="1"/>
                <w:color w:val="FFFFFF"/>
              </w:rPr>
              <w:t>Weighting</w:t>
            </w:r>
          </w:p>
        </w:tc>
      </w:tr>
      <w:tr>
        <w:trPr>
          <w:trHeight w:val="188"/>
        </w:trPr>
        <w:tc>
          <w:tcPr>
            <w:tcW w:w="2440" w:type="dxa"/>
            <w:vAlign w:val="bottom"/>
          </w:tcPr>
          <w:p>
            <w:pPr>
              <w:ind w:left="20"/>
              <w:spacing w:after="0"/>
              <w:rPr>
                <w:sz w:val="20"/>
                <w:szCs w:val="20"/>
                <w:color w:val="auto"/>
              </w:rPr>
            </w:pPr>
            <w:r>
              <w:rPr>
                <w:rFonts w:ascii="Arial" w:cs="Arial" w:eastAsia="Arial" w:hAnsi="Arial"/>
                <w:sz w:val="16"/>
                <w:szCs w:val="16"/>
                <w:color w:val="auto"/>
              </w:rPr>
              <w:t>Cumulative net income, plus</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50%</w:t>
            </w:r>
          </w:p>
        </w:tc>
      </w:tr>
      <w:tr>
        <w:trPr>
          <w:trHeight w:val="222"/>
        </w:trPr>
        <w:tc>
          <w:tcPr>
            <w:tcW w:w="2440" w:type="dxa"/>
            <w:vAlign w:val="bottom"/>
          </w:tcPr>
          <w:p>
            <w:pPr>
              <w:ind w:left="20"/>
              <w:spacing w:after="0"/>
              <w:rPr>
                <w:sz w:val="20"/>
                <w:szCs w:val="20"/>
                <w:color w:val="auto"/>
              </w:rPr>
            </w:pPr>
            <w:r>
              <w:rPr>
                <w:rFonts w:ascii="Arial" w:cs="Arial" w:eastAsia="Arial" w:hAnsi="Arial"/>
                <w:sz w:val="16"/>
                <w:szCs w:val="16"/>
                <w:color w:val="auto"/>
              </w:rPr>
              <w:t>after-tax interest</w:t>
            </w:r>
          </w:p>
        </w:tc>
        <w:tc>
          <w:tcPr>
            <w:tcW w:w="1080" w:type="dxa"/>
            <w:vAlign w:val="bottom"/>
          </w:tcPr>
          <w:p>
            <w:pPr>
              <w:spacing w:after="0"/>
              <w:rPr>
                <w:sz w:val="19"/>
                <w:szCs w:val="19"/>
                <w:color w:val="auto"/>
              </w:rPr>
            </w:pPr>
          </w:p>
        </w:tc>
      </w:tr>
      <w:tr>
        <w:trPr>
          <w:trHeight w:val="237"/>
        </w:trPr>
        <w:tc>
          <w:tcPr>
            <w:tcW w:w="2440" w:type="dxa"/>
            <w:vAlign w:val="bottom"/>
            <w:shd w:val="clear" w:color="auto" w:fill="D9D9D9"/>
          </w:tcPr>
          <w:p>
            <w:pPr>
              <w:ind w:left="20"/>
              <w:spacing w:after="0"/>
              <w:rPr>
                <w:sz w:val="20"/>
                <w:szCs w:val="20"/>
                <w:color w:val="auto"/>
              </w:rPr>
            </w:pPr>
            <w:r>
              <w:rPr>
                <w:rFonts w:ascii="Arial" w:cs="Arial" w:eastAsia="Arial" w:hAnsi="Arial"/>
                <w:sz w:val="16"/>
                <w:szCs w:val="16"/>
                <w:color w:val="auto"/>
              </w:rPr>
              <w:t>Cumulative revenue</w:t>
            </w:r>
          </w:p>
        </w:tc>
        <w:tc>
          <w:tcPr>
            <w:tcW w:w="108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99"/>
              </w:rPr>
              <w:t>30%</w:t>
            </w:r>
          </w:p>
        </w:tc>
      </w:tr>
      <w:tr>
        <w:trPr>
          <w:trHeight w:val="188"/>
        </w:trPr>
        <w:tc>
          <w:tcPr>
            <w:tcW w:w="2440" w:type="dxa"/>
            <w:vAlign w:val="bottom"/>
          </w:tcPr>
          <w:p>
            <w:pPr>
              <w:ind w:left="20"/>
              <w:spacing w:after="0"/>
              <w:rPr>
                <w:sz w:val="20"/>
                <w:szCs w:val="20"/>
                <w:color w:val="auto"/>
              </w:rPr>
            </w:pPr>
            <w:r>
              <w:rPr>
                <w:rFonts w:ascii="Arial" w:cs="Arial" w:eastAsia="Arial" w:hAnsi="Arial"/>
                <w:sz w:val="16"/>
                <w:szCs w:val="16"/>
                <w:color w:val="auto"/>
              </w:rPr>
              <w:t>Working capital as a percent of</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20%</w:t>
            </w:r>
          </w:p>
        </w:tc>
      </w:tr>
      <w:tr>
        <w:trPr>
          <w:trHeight w:val="215"/>
        </w:trPr>
        <w:tc>
          <w:tcPr>
            <w:tcW w:w="2440" w:type="dxa"/>
            <w:vAlign w:val="bottom"/>
          </w:tcPr>
          <w:p>
            <w:pPr>
              <w:ind w:left="20"/>
              <w:spacing w:after="0"/>
              <w:rPr>
                <w:sz w:val="20"/>
                <w:szCs w:val="20"/>
                <w:color w:val="auto"/>
              </w:rPr>
            </w:pPr>
            <w:r>
              <w:rPr>
                <w:rFonts w:ascii="Arial" w:cs="Arial" w:eastAsia="Arial" w:hAnsi="Arial"/>
                <w:sz w:val="16"/>
                <w:szCs w:val="16"/>
                <w:color w:val="auto"/>
              </w:rPr>
              <w:t>sales</w:t>
            </w:r>
          </w:p>
        </w:tc>
        <w:tc>
          <w:tcPr>
            <w:tcW w:w="1080" w:type="dxa"/>
            <w:vAlign w:val="bottom"/>
          </w:tcPr>
          <w:p>
            <w:pPr>
              <w:spacing w:after="0"/>
              <w:rPr>
                <w:sz w:val="18"/>
                <w:szCs w:val="18"/>
                <w:color w:val="auto"/>
              </w:rPr>
            </w:pPr>
          </w:p>
        </w:tc>
      </w:tr>
    </w:tbl>
    <w:p>
      <w:pPr>
        <w:spacing w:after="0" w:line="136" w:lineRule="exact"/>
        <w:rPr>
          <w:sz w:val="20"/>
          <w:szCs w:val="20"/>
          <w:color w:val="auto"/>
        </w:rPr>
      </w:pPr>
    </w:p>
    <w:p>
      <w:pPr>
        <w:ind w:left="2380" w:right="240" w:hanging="151"/>
        <w:spacing w:after="0" w:line="265" w:lineRule="auto"/>
        <w:tabs>
          <w:tab w:leader="none" w:pos="2381"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Actual performance of our fiscal 2020-2022 performance share awards, which excluded the financial impacts of our January 2022 acquisition of Intimidator Group and our March 2021 acquisition of Venture Products, Inc., was between threshold and target for cumulative net income plus after-tax interest, between target and maximum for cumulative revenue and below threshold for working capital as a percent of sales. The resulting payout percent was 72.1% of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 w:lineRule="exact"/>
        <w:rPr>
          <w:sz w:val="20"/>
          <w:szCs w:val="20"/>
          <w:color w:val="auto"/>
        </w:rPr>
      </w:pPr>
    </w:p>
    <w:p>
      <w:pPr>
        <w:ind w:left="2220" w:right="840" w:hanging="2366"/>
        <w:spacing w:after="0" w:line="271" w:lineRule="auto"/>
        <w:tabs>
          <w:tab w:leader="none" w:pos="2200" w:val="left"/>
        </w:tabs>
        <w:rPr>
          <w:sz w:val="20"/>
          <w:szCs w:val="20"/>
          <w:color w:val="auto"/>
        </w:rPr>
      </w:pPr>
      <w:r>
        <w:rPr>
          <w:rFonts w:ascii="Arial" w:cs="Arial" w:eastAsia="Arial" w:hAnsi="Arial"/>
          <w:sz w:val="16"/>
          <w:szCs w:val="16"/>
          <w:i w:val="1"/>
          <w:iCs w:val="1"/>
          <w:color w:val="auto"/>
        </w:rPr>
        <w:t>Say-on-Pay Vote</w:t>
      </w:r>
      <w:r>
        <w:rPr>
          <w:sz w:val="20"/>
          <w:szCs w:val="20"/>
          <w:color w:val="auto"/>
        </w:rPr>
        <w:tab/>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Our shareholders had the opportunity to vote on an advisory say-on-pay proposal at our 2022 Annual Meeting of</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Shareholders and over 95% of the votes cast were in favor of the proposal.</w:t>
      </w:r>
    </w:p>
    <w:p>
      <w:pPr>
        <w:spacing w:after="0" w:line="1" w:lineRule="exact"/>
        <w:rPr>
          <w:sz w:val="20"/>
          <w:szCs w:val="20"/>
          <w:color w:val="auto"/>
        </w:rPr>
      </w:pPr>
    </w:p>
    <w:p>
      <w:pPr>
        <w:ind w:left="2380" w:hanging="151"/>
        <w:spacing w:after="0"/>
        <w:tabs>
          <w:tab w:leader="none" w:pos="238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The Compensation &amp; Human Resources Committee believes these results affirmed shareholder support of our approach</w:t>
      </w:r>
    </w:p>
    <w:p>
      <w:pPr>
        <w:sectPr>
          <w:pgSz w:w="11900" w:h="16838" w:orient="portrait"/>
          <w:cols w:equalWidth="0" w:num="1">
            <w:col w:w="11260"/>
          </w:cols>
          <w:pgMar w:left="320" w:top="10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line="283" w:lineRule="auto"/>
        <w:rPr>
          <w:sz w:val="20"/>
          <w:szCs w:val="20"/>
          <w:color w:val="auto"/>
        </w:rPr>
      </w:pPr>
      <w:r>
        <w:rPr>
          <w:rFonts w:ascii="Arial" w:cs="Arial" w:eastAsia="Arial" w:hAnsi="Arial"/>
          <w:sz w:val="16"/>
          <w:szCs w:val="16"/>
          <w:i w:val="1"/>
          <w:iCs w:val="1"/>
          <w:color w:val="auto"/>
        </w:rPr>
        <w:t>Other Compensation Related Actions</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151" w:right="220"/>
        <w:spacing w:after="0" w:line="254" w:lineRule="auto"/>
        <w:rPr>
          <w:sz w:val="20"/>
          <w:szCs w:val="20"/>
          <w:color w:val="auto"/>
        </w:rPr>
      </w:pPr>
      <w:r>
        <w:rPr>
          <w:rFonts w:ascii="Arial" w:cs="Arial" w:eastAsia="Arial" w:hAnsi="Arial"/>
          <w:sz w:val="16"/>
          <w:szCs w:val="16"/>
          <w:color w:val="auto"/>
        </w:rPr>
        <w:t>to executive compensation; we did not believe it was necessary to, and, therefore, did not, make any significant structural changes to our executive compensation program in fiscal 2022 specifically to respond to Say-on-Pay. As described previously, for fiscal 2022, we added a 90% payout level for the adjusted diluted EPS and revenue growth goal. This one-year change was in light of the significant economic uncertainties and challenges.</w:t>
      </w:r>
    </w:p>
    <w:p>
      <w:pPr>
        <w:spacing w:after="0" w:line="19" w:lineRule="exact"/>
        <w:rPr>
          <w:sz w:val="20"/>
          <w:szCs w:val="20"/>
          <w:color w:val="auto"/>
        </w:rPr>
      </w:pPr>
    </w:p>
    <w:p>
      <w:pPr>
        <w:ind w:left="151" w:right="280" w:hanging="151"/>
        <w:spacing w:after="0" w:line="272" w:lineRule="auto"/>
        <w:tabs>
          <w:tab w:leader="none" w:pos="151"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We hired a new Vice President, Global Operations and Integrated Supply Chain effective November 30, 2021 and he received certain new hire compensation, including a sign-on bonus, a restricted stock unit award and relocation benefits.</w:t>
      </w:r>
    </w:p>
    <w:p>
      <w:pPr>
        <w:ind w:left="151" w:right="420" w:hanging="151"/>
        <w:spacing w:after="0" w:line="303" w:lineRule="auto"/>
        <w:tabs>
          <w:tab w:leader="none" w:pos="151"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Our shareholders approved a new The Toro Company 2022 Equity and Incentive Plan, or the 2022 Plan, replacing our prior The Toro Company Amended and Restated 2010 Equity and Incentive Plan, as amended, or the 2010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-1409700</wp:posOffset>
            </wp:positionH>
            <wp:positionV relativeFrom="paragraph">
              <wp:posOffset>-28575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6" w:lineRule="exact"/>
        <w:rPr>
          <w:sz w:val="20"/>
          <w:szCs w:val="20"/>
          <w:color w:val="auto"/>
        </w:rPr>
      </w:pPr>
    </w:p>
    <w:p>
      <w:pPr>
        <w:sectPr>
          <w:pgSz w:w="11900" w:h="16838" w:orient="portrait"/>
          <w:cols w:equalWidth="0" w:num="2">
            <w:col w:w="2100" w:space="129"/>
            <w:col w:w="9031"/>
          </w:cols>
          <w:pgMar w:left="320" w:top="108" w:right="319" w:bottom="1440" w:gutter="0" w:footer="0" w:header="0"/>
          <w:type w:val="continuous"/>
        </w:sectPr>
      </w:pPr>
    </w:p>
    <w:p>
      <w:pPr>
        <w:spacing w:after="0"/>
        <w:rPr>
          <w:sz w:val="20"/>
          <w:szCs w:val="20"/>
          <w:color w:val="auto"/>
        </w:rPr>
      </w:pPr>
      <w:r>
        <w:rPr>
          <w:rFonts w:ascii="Arial" w:cs="Arial" w:eastAsia="Arial" w:hAnsi="Arial"/>
          <w:sz w:val="20"/>
          <w:szCs w:val="20"/>
          <w:b w:val="1"/>
          <w:bCs w:val="1"/>
          <w:color w:val="C00000"/>
        </w:rPr>
        <w:t>Compensation Philosophy</w:t>
      </w:r>
    </w:p>
    <w:p>
      <w:pPr>
        <w:spacing w:after="0" w:line="99" w:lineRule="exact"/>
        <w:rPr>
          <w:sz w:val="20"/>
          <w:szCs w:val="20"/>
          <w:color w:val="auto"/>
        </w:rPr>
      </w:pPr>
    </w:p>
    <w:p>
      <w:pPr>
        <w:ind w:right="200" w:firstLine="401"/>
        <w:spacing w:after="0" w:line="253" w:lineRule="auto"/>
        <w:rPr>
          <w:sz w:val="20"/>
          <w:szCs w:val="20"/>
          <w:color w:val="auto"/>
        </w:rPr>
      </w:pPr>
      <w:r>
        <w:rPr>
          <w:rFonts w:ascii="Arial" w:cs="Arial" w:eastAsia="Arial" w:hAnsi="Arial"/>
          <w:sz w:val="18"/>
          <w:szCs w:val="18"/>
          <w:color w:val="auto"/>
        </w:rPr>
        <w:t>Our guiding compensation philosophy is to maintain an executive compensation program that allows us to attract, retain, motivate and reward highly qualified and talented executive officers who will enable us to execute on our strategic priorities, perform better than our competitors and drive long-term shareholder value.</w:t>
      </w:r>
    </w:p>
    <w:p>
      <w:pPr>
        <w:spacing w:after="0" w:line="6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core principles provide a framework for our executive compensation program:</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shd w:val="clear" w:color="auto" w:fill="D9D9D9"/>
          </w:tcPr>
          <w:p>
            <w:pPr>
              <w:spacing w:after="0"/>
              <w:rPr>
                <w:sz w:val="20"/>
                <w:szCs w:val="20"/>
                <w:color w:val="auto"/>
              </w:rPr>
            </w:pPr>
            <w:r>
              <w:rPr>
                <w:rFonts w:ascii="Arial" w:cs="Arial" w:eastAsia="Arial" w:hAnsi="Arial"/>
                <w:sz w:val="16"/>
                <w:szCs w:val="16"/>
                <w:color w:val="auto"/>
              </w:rPr>
              <w:t>Align with Shareholder Interests</w:t>
            </w:r>
          </w:p>
        </w:tc>
        <w:tc>
          <w:tcPr>
            <w:tcW w:w="8320" w:type="dxa"/>
            <w:vAlign w:val="bottom"/>
            <w:gridSpan w:val="2"/>
            <w:shd w:val="clear" w:color="auto" w:fill="D9D9D9"/>
          </w:tcPr>
          <w:p>
            <w:pPr>
              <w:ind w:left="80"/>
              <w:spacing w:after="0" w:line="184" w:lineRule="exact"/>
              <w:rPr>
                <w:sz w:val="20"/>
                <w:szCs w:val="20"/>
                <w:color w:val="auto"/>
              </w:rPr>
            </w:pPr>
            <w:r>
              <w:rPr>
                <w:rFonts w:ascii="MS PGothic" w:cs="MS PGothic" w:eastAsia="MS PGothic" w:hAnsi="MS PGothic"/>
                <w:sz w:val="16"/>
                <w:szCs w:val="16"/>
                <w:color w:val="auto"/>
                <w:shd w:val="clear" w:color="auto" w:fill="C00000"/>
              </w:rPr>
              <w:t>✓</w:t>
            </w:r>
            <w:r>
              <w:rPr>
                <w:rFonts w:ascii="Arial" w:cs="Arial" w:eastAsia="Arial" w:hAnsi="Arial"/>
                <w:sz w:val="16"/>
                <w:szCs w:val="16"/>
                <w:color w:val="auto"/>
              </w:rPr>
              <w:t xml:space="preserve"> Our executive compensation program is designed to align the interests of our executive officers with</w:t>
            </w:r>
          </w:p>
        </w:tc>
        <w:tc>
          <w:tcPr>
            <w:tcW w:w="20" w:type="dxa"/>
            <w:vAlign w:val="bottom"/>
          </w:tcPr>
          <w:p>
            <w:pPr>
              <w:spacing w:after="0"/>
              <w:rPr>
                <w:sz w:val="16"/>
                <w:szCs w:val="16"/>
                <w:color w:val="auto"/>
              </w:rPr>
            </w:pPr>
          </w:p>
        </w:tc>
      </w:tr>
      <w:tr>
        <w:trPr>
          <w:trHeight w:val="215"/>
        </w:trPr>
        <w:tc>
          <w:tcPr>
            <w:tcW w:w="2920" w:type="dxa"/>
            <w:vAlign w:val="bottom"/>
            <w:shd w:val="clear" w:color="auto" w:fill="D9D9D9"/>
          </w:tcPr>
          <w:p>
            <w:pPr>
              <w:spacing w:after="0"/>
              <w:rPr>
                <w:sz w:val="18"/>
                <w:szCs w:val="18"/>
                <w:color w:val="auto"/>
              </w:rPr>
            </w:pPr>
          </w:p>
        </w:tc>
        <w:tc>
          <w:tcPr>
            <w:tcW w:w="300" w:type="dxa"/>
            <w:vAlign w:val="bottom"/>
            <w:shd w:val="clear" w:color="auto" w:fill="D9D9D9"/>
          </w:tcPr>
          <w:p>
            <w:pPr>
              <w:spacing w:after="0"/>
              <w:rPr>
                <w:sz w:val="18"/>
                <w:szCs w:val="18"/>
                <w:color w:val="auto"/>
              </w:rPr>
            </w:pPr>
          </w:p>
        </w:tc>
        <w:tc>
          <w:tcPr>
            <w:tcW w:w="8020" w:type="dxa"/>
            <w:vAlign w:val="bottom"/>
            <w:shd w:val="clear" w:color="auto" w:fill="D9D9D9"/>
          </w:tcPr>
          <w:p>
            <w:pPr>
              <w:spacing w:after="0"/>
              <w:rPr>
                <w:sz w:val="20"/>
                <w:szCs w:val="20"/>
                <w:color w:val="auto"/>
              </w:rPr>
            </w:pPr>
            <w:r>
              <w:rPr>
                <w:rFonts w:ascii="Arial" w:cs="Arial" w:eastAsia="Arial" w:hAnsi="Arial"/>
                <w:sz w:val="16"/>
                <w:szCs w:val="16"/>
                <w:color w:val="auto"/>
              </w:rPr>
              <w:t>shareholder interests</w:t>
            </w:r>
          </w:p>
        </w:tc>
        <w:tc>
          <w:tcPr>
            <w:tcW w:w="20" w:type="dxa"/>
            <w:vAlign w:val="bottom"/>
          </w:tcPr>
          <w:p>
            <w:pPr>
              <w:spacing w:after="0"/>
              <w:rPr>
                <w:sz w:val="18"/>
                <w:szCs w:val="18"/>
                <w:color w:val="auto"/>
              </w:rPr>
            </w:pPr>
          </w:p>
        </w:tc>
      </w:tr>
      <w:tr>
        <w:trPr>
          <w:trHeight w:val="217"/>
        </w:trPr>
        <w:tc>
          <w:tcPr>
            <w:tcW w:w="2920" w:type="dxa"/>
            <w:vAlign w:val="bottom"/>
            <w:shd w:val="clear" w:color="auto" w:fill="D9D9D9"/>
          </w:tcPr>
          <w:p>
            <w:pPr>
              <w:spacing w:after="0"/>
              <w:rPr>
                <w:sz w:val="18"/>
                <w:szCs w:val="18"/>
                <w:color w:val="auto"/>
              </w:rPr>
            </w:pPr>
          </w:p>
        </w:tc>
        <w:tc>
          <w:tcPr>
            <w:tcW w:w="300" w:type="dxa"/>
            <w:vAlign w:val="bottom"/>
            <w:shd w:val="clear" w:color="auto" w:fill="D9D9D9"/>
          </w:tcPr>
          <w:p>
            <w:pPr>
              <w:ind w:left="8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8020" w:type="dxa"/>
            <w:vAlign w:val="bottom"/>
            <w:shd w:val="clear" w:color="auto" w:fill="D9D9D9"/>
          </w:tcPr>
          <w:p>
            <w:pPr>
              <w:spacing w:after="0"/>
              <w:rPr>
                <w:sz w:val="20"/>
                <w:szCs w:val="20"/>
                <w:color w:val="auto"/>
              </w:rPr>
            </w:pPr>
            <w:r>
              <w:rPr>
                <w:rFonts w:ascii="Arial" w:cs="Arial" w:eastAsia="Arial" w:hAnsi="Arial"/>
                <w:sz w:val="16"/>
                <w:szCs w:val="16"/>
                <w:color w:val="auto"/>
              </w:rPr>
              <w:t>At least two-thirds of our executive compensation is tied to TTC performance and the market value of our</w:t>
            </w:r>
          </w:p>
        </w:tc>
        <w:tc>
          <w:tcPr>
            <w:tcW w:w="20" w:type="dxa"/>
            <w:vAlign w:val="bottom"/>
          </w:tcPr>
          <w:p>
            <w:pPr>
              <w:spacing w:after="0"/>
              <w:rPr>
                <w:sz w:val="18"/>
                <w:szCs w:val="18"/>
                <w:color w:val="auto"/>
              </w:rPr>
            </w:pPr>
          </w:p>
        </w:tc>
      </w:tr>
      <w:tr>
        <w:trPr>
          <w:trHeight w:val="215"/>
        </w:trPr>
        <w:tc>
          <w:tcPr>
            <w:tcW w:w="2920" w:type="dxa"/>
            <w:vAlign w:val="bottom"/>
            <w:shd w:val="clear" w:color="auto" w:fill="D9D9D9"/>
          </w:tcPr>
          <w:p>
            <w:pPr>
              <w:spacing w:after="0"/>
              <w:rPr>
                <w:sz w:val="18"/>
                <w:szCs w:val="18"/>
                <w:color w:val="auto"/>
              </w:rPr>
            </w:pPr>
          </w:p>
        </w:tc>
        <w:tc>
          <w:tcPr>
            <w:tcW w:w="300" w:type="dxa"/>
            <w:vAlign w:val="bottom"/>
            <w:shd w:val="clear" w:color="auto" w:fill="D9D9D9"/>
          </w:tcPr>
          <w:p>
            <w:pPr>
              <w:spacing w:after="0"/>
              <w:rPr>
                <w:sz w:val="18"/>
                <w:szCs w:val="18"/>
                <w:color w:val="auto"/>
              </w:rPr>
            </w:pPr>
          </w:p>
        </w:tc>
        <w:tc>
          <w:tcPr>
            <w:tcW w:w="8020" w:type="dxa"/>
            <w:vAlign w:val="bottom"/>
            <w:shd w:val="clear" w:color="auto" w:fill="D9D9D9"/>
          </w:tcPr>
          <w:p>
            <w:pPr>
              <w:spacing w:after="0"/>
              <w:rPr>
                <w:sz w:val="20"/>
                <w:szCs w:val="20"/>
                <w:color w:val="auto"/>
              </w:rPr>
            </w:pPr>
            <w:r>
              <w:rPr>
                <w:rFonts w:ascii="Arial" w:cs="Arial" w:eastAsia="Arial" w:hAnsi="Arial"/>
                <w:sz w:val="16"/>
                <w:szCs w:val="16"/>
                <w:color w:val="auto"/>
              </w:rPr>
              <w:t>common stock</w:t>
            </w:r>
          </w:p>
        </w:tc>
        <w:tc>
          <w:tcPr>
            <w:tcW w:w="20" w:type="dxa"/>
            <w:vAlign w:val="bottom"/>
          </w:tcPr>
          <w:p>
            <w:pPr>
              <w:spacing w:after="0"/>
              <w:rPr>
                <w:sz w:val="18"/>
                <w:szCs w:val="18"/>
                <w:color w:val="auto"/>
              </w:rPr>
            </w:pPr>
          </w:p>
        </w:tc>
      </w:tr>
      <w:tr>
        <w:trPr>
          <w:trHeight w:val="217"/>
        </w:trPr>
        <w:tc>
          <w:tcPr>
            <w:tcW w:w="2920" w:type="dxa"/>
            <w:vAlign w:val="bottom"/>
            <w:shd w:val="clear" w:color="auto" w:fill="D9D9D9"/>
          </w:tcPr>
          <w:p>
            <w:pPr>
              <w:spacing w:after="0"/>
              <w:rPr>
                <w:sz w:val="18"/>
                <w:szCs w:val="18"/>
                <w:color w:val="auto"/>
              </w:rPr>
            </w:pPr>
          </w:p>
        </w:tc>
        <w:tc>
          <w:tcPr>
            <w:tcW w:w="300" w:type="dxa"/>
            <w:vAlign w:val="bottom"/>
            <w:shd w:val="clear" w:color="auto" w:fill="D9D9D9"/>
          </w:tcPr>
          <w:p>
            <w:pPr>
              <w:ind w:left="8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8020" w:type="dxa"/>
            <w:vAlign w:val="bottom"/>
            <w:shd w:val="clear" w:color="auto" w:fill="D9D9D9"/>
          </w:tcPr>
          <w:p>
            <w:pPr>
              <w:spacing w:after="0"/>
              <w:rPr>
                <w:sz w:val="20"/>
                <w:szCs w:val="20"/>
                <w:color w:val="auto"/>
              </w:rPr>
            </w:pPr>
            <w:r>
              <w:rPr>
                <w:rFonts w:ascii="Arial" w:cs="Arial" w:eastAsia="Arial" w:hAnsi="Arial"/>
                <w:sz w:val="16"/>
                <w:szCs w:val="16"/>
                <w:color w:val="auto"/>
              </w:rPr>
              <w:t>Our stock ownership guidelines strengthen alignment of our executive officers’ interests with those of our</w:t>
            </w:r>
          </w:p>
        </w:tc>
        <w:tc>
          <w:tcPr>
            <w:tcW w:w="20" w:type="dxa"/>
            <w:vAlign w:val="bottom"/>
          </w:tcPr>
          <w:p>
            <w:pPr>
              <w:spacing w:after="0"/>
              <w:rPr>
                <w:sz w:val="18"/>
                <w:szCs w:val="18"/>
                <w:color w:val="auto"/>
              </w:rPr>
            </w:pPr>
          </w:p>
        </w:tc>
      </w:tr>
      <w:tr>
        <w:trPr>
          <w:trHeight w:val="237"/>
        </w:trPr>
        <w:tc>
          <w:tcPr>
            <w:tcW w:w="2920" w:type="dxa"/>
            <w:vAlign w:val="bottom"/>
            <w:tcBorders>
              <w:bottom w:val="single" w:sz="8" w:color="D9D9D9"/>
            </w:tcBorders>
            <w:shd w:val="clear" w:color="auto" w:fill="D9D9D9"/>
          </w:tcPr>
          <w:p>
            <w:pPr>
              <w:spacing w:after="0"/>
              <w:rPr>
                <w:sz w:val="20"/>
                <w:szCs w:val="20"/>
                <w:color w:val="auto"/>
              </w:rPr>
            </w:pPr>
          </w:p>
        </w:tc>
        <w:tc>
          <w:tcPr>
            <w:tcW w:w="300" w:type="dxa"/>
            <w:vAlign w:val="bottom"/>
            <w:tcBorders>
              <w:bottom w:val="single" w:sz="8" w:color="D9D9D9"/>
            </w:tcBorders>
            <w:shd w:val="clear" w:color="auto" w:fill="D9D9D9"/>
          </w:tcPr>
          <w:p>
            <w:pPr>
              <w:spacing w:after="0"/>
              <w:rPr>
                <w:sz w:val="20"/>
                <w:szCs w:val="20"/>
                <w:color w:val="auto"/>
              </w:rPr>
            </w:pPr>
          </w:p>
        </w:tc>
        <w:tc>
          <w:tcPr>
            <w:tcW w:w="8020" w:type="dxa"/>
            <w:vAlign w:val="bottom"/>
            <w:tcBorders>
              <w:bottom w:val="single" w:sz="8" w:color="D9D9D9"/>
            </w:tcBorders>
            <w:shd w:val="clear" w:color="auto" w:fill="D9D9D9"/>
          </w:tcPr>
          <w:p>
            <w:pPr>
              <w:spacing w:after="0"/>
              <w:rPr>
                <w:sz w:val="20"/>
                <w:szCs w:val="20"/>
                <w:color w:val="auto"/>
              </w:rPr>
            </w:pPr>
            <w:r>
              <w:rPr>
                <w:rFonts w:ascii="Arial" w:cs="Arial" w:eastAsia="Arial" w:hAnsi="Arial"/>
                <w:sz w:val="16"/>
                <w:szCs w:val="16"/>
                <w:color w:val="auto"/>
              </w:rPr>
              <w:t>shareholders</w:t>
            </w:r>
          </w:p>
        </w:tc>
        <w:tc>
          <w:tcPr>
            <w:tcW w:w="20" w:type="dxa"/>
            <w:vAlign w:val="bottom"/>
          </w:tcPr>
          <w:p>
            <w:pPr>
              <w:spacing w:after="0"/>
              <w:rPr>
                <w:sz w:val="20"/>
                <w:szCs w:val="20"/>
                <w:color w:val="auto"/>
              </w:rPr>
            </w:pPr>
          </w:p>
        </w:tc>
      </w:tr>
      <w:tr>
        <w:trPr>
          <w:trHeight w:val="203"/>
        </w:trPr>
        <w:tc>
          <w:tcPr>
            <w:tcW w:w="2920" w:type="dxa"/>
            <w:vAlign w:val="bottom"/>
          </w:tcPr>
          <w:p>
            <w:pPr>
              <w:spacing w:after="0"/>
              <w:rPr>
                <w:sz w:val="20"/>
                <w:szCs w:val="20"/>
                <w:color w:val="auto"/>
              </w:rPr>
            </w:pPr>
            <w:r>
              <w:rPr>
                <w:rFonts w:ascii="Arial" w:cs="Arial" w:eastAsia="Arial" w:hAnsi="Arial"/>
                <w:sz w:val="16"/>
                <w:szCs w:val="16"/>
                <w:color w:val="auto"/>
              </w:rPr>
              <w:t>Link Pay to Performance</w:t>
            </w:r>
          </w:p>
        </w:tc>
        <w:tc>
          <w:tcPr>
            <w:tcW w:w="300" w:type="dxa"/>
            <w:vAlign w:val="bottom"/>
          </w:tcPr>
          <w:p>
            <w:pPr>
              <w:ind w:left="8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8020" w:type="dxa"/>
            <w:vAlign w:val="bottom"/>
          </w:tcPr>
          <w:p>
            <w:pPr>
              <w:spacing w:after="0"/>
              <w:rPr>
                <w:sz w:val="20"/>
                <w:szCs w:val="20"/>
                <w:color w:val="auto"/>
              </w:rPr>
            </w:pPr>
            <w:r>
              <w:rPr>
                <w:rFonts w:ascii="Arial" w:cs="Arial" w:eastAsia="Arial" w:hAnsi="Arial"/>
                <w:sz w:val="16"/>
                <w:szCs w:val="16"/>
                <w:color w:val="auto"/>
              </w:rPr>
              <w:t>At least two-thirds of our executive compensation is tied to TTC performance</w:t>
            </w:r>
          </w:p>
        </w:tc>
        <w:tc>
          <w:tcPr>
            <w:tcW w:w="20" w:type="dxa"/>
            <w:vAlign w:val="bottom"/>
          </w:tcPr>
          <w:p>
            <w:pPr>
              <w:spacing w:after="0"/>
              <w:rPr>
                <w:sz w:val="17"/>
                <w:szCs w:val="17"/>
                <w:color w:val="auto"/>
              </w:rPr>
            </w:pPr>
          </w:p>
        </w:tc>
      </w:tr>
      <w:tr>
        <w:trPr>
          <w:trHeight w:val="243"/>
        </w:trPr>
        <w:tc>
          <w:tcPr>
            <w:tcW w:w="2920" w:type="dxa"/>
            <w:vAlign w:val="bottom"/>
          </w:tcPr>
          <w:p>
            <w:pPr>
              <w:spacing w:after="0"/>
              <w:rPr>
                <w:sz w:val="21"/>
                <w:szCs w:val="21"/>
                <w:color w:val="auto"/>
              </w:rPr>
            </w:pPr>
          </w:p>
        </w:tc>
        <w:tc>
          <w:tcPr>
            <w:tcW w:w="8320" w:type="dxa"/>
            <w:vAlign w:val="bottom"/>
            <w:gridSpan w:val="2"/>
          </w:tcPr>
          <w:p>
            <w:pPr>
              <w:ind w:left="80"/>
              <w:spacing w:after="0" w:line="184" w:lineRule="exact"/>
              <w:rPr>
                <w:sz w:val="20"/>
                <w:szCs w:val="20"/>
                <w:color w:val="auto"/>
              </w:rPr>
            </w:pPr>
            <w:r>
              <w:rPr>
                <w:rFonts w:ascii="MS PGothic" w:cs="MS PGothic" w:eastAsia="MS PGothic" w:hAnsi="MS PGothic"/>
                <w:sz w:val="16"/>
                <w:szCs w:val="16"/>
                <w:color w:val="auto"/>
                <w:shd w:val="clear" w:color="auto" w:fill="C00000"/>
              </w:rPr>
              <w:t>✓</w:t>
            </w:r>
            <w:r>
              <w:rPr>
                <w:rFonts w:ascii="Arial" w:cs="Arial" w:eastAsia="Arial" w:hAnsi="Arial"/>
                <w:sz w:val="16"/>
                <w:szCs w:val="16"/>
                <w:color w:val="auto"/>
              </w:rPr>
              <w:t xml:space="preserve"> Our annual cash incentive targets align with our annual financial goals</w:t>
            </w:r>
          </w:p>
        </w:tc>
        <w:tc>
          <w:tcPr>
            <w:tcW w:w="20" w:type="dxa"/>
            <w:vAlign w:val="bottom"/>
          </w:tcPr>
          <w:p>
            <w:pPr>
              <w:spacing w:after="0"/>
              <w:rPr>
                <w:sz w:val="21"/>
                <w:szCs w:val="21"/>
                <w:color w:val="auto"/>
              </w:rPr>
            </w:pPr>
          </w:p>
        </w:tc>
      </w:tr>
      <w:tr>
        <w:trPr>
          <w:trHeight w:val="254"/>
        </w:trPr>
        <w:tc>
          <w:tcPr>
            <w:tcW w:w="2920" w:type="dxa"/>
            <w:vAlign w:val="bottom"/>
          </w:tcPr>
          <w:p>
            <w:pPr>
              <w:spacing w:after="0"/>
              <w:rPr>
                <w:sz w:val="22"/>
                <w:szCs w:val="22"/>
                <w:color w:val="auto"/>
              </w:rPr>
            </w:pPr>
          </w:p>
        </w:tc>
        <w:tc>
          <w:tcPr>
            <w:tcW w:w="8320" w:type="dxa"/>
            <w:vAlign w:val="bottom"/>
            <w:gridSpan w:val="2"/>
          </w:tcPr>
          <w:p>
            <w:pPr>
              <w:ind w:left="80"/>
              <w:spacing w:after="0" w:line="184" w:lineRule="exact"/>
              <w:rPr>
                <w:sz w:val="20"/>
                <w:szCs w:val="20"/>
                <w:color w:val="auto"/>
              </w:rPr>
            </w:pPr>
            <w:r>
              <w:rPr>
                <w:rFonts w:ascii="MS PGothic" w:cs="MS PGothic" w:eastAsia="MS PGothic" w:hAnsi="MS PGothic"/>
                <w:sz w:val="16"/>
                <w:szCs w:val="16"/>
                <w:color w:val="auto"/>
                <w:shd w:val="clear" w:color="auto" w:fill="C00000"/>
              </w:rPr>
              <w:t>✓</w:t>
            </w:r>
            <w:r>
              <w:rPr>
                <w:rFonts w:ascii="Arial" w:cs="Arial" w:eastAsia="Arial" w:hAnsi="Arial"/>
                <w:sz w:val="16"/>
                <w:szCs w:val="16"/>
                <w:color w:val="auto"/>
              </w:rPr>
              <w:t xml:space="preserve"> Our long-term incentives align with our long-term growth strategy</w:t>
            </w:r>
          </w:p>
        </w:tc>
        <w:tc>
          <w:tcPr>
            <w:tcW w:w="20" w:type="dxa"/>
            <w:vAlign w:val="bottom"/>
          </w:tcPr>
          <w:p>
            <w:pPr>
              <w:spacing w:after="0"/>
              <w:rPr>
                <w:sz w:val="22"/>
                <w:szCs w:val="22"/>
                <w:color w:val="auto"/>
              </w:rPr>
            </w:pPr>
          </w:p>
        </w:tc>
      </w:tr>
      <w:tr>
        <w:trPr>
          <w:trHeight w:val="29"/>
        </w:trPr>
        <w:tc>
          <w:tcPr>
            <w:tcW w:w="2920" w:type="dxa"/>
            <w:vAlign w:val="bottom"/>
          </w:tcPr>
          <w:p>
            <w:pPr>
              <w:spacing w:after="0"/>
              <w:rPr>
                <w:sz w:val="2"/>
                <w:szCs w:val="2"/>
                <w:color w:val="auto"/>
              </w:rPr>
            </w:pPr>
          </w:p>
        </w:tc>
        <w:tc>
          <w:tcPr>
            <w:tcW w:w="8320" w:type="dxa"/>
            <w:vAlign w:val="bottom"/>
            <w:gridSpan w:val="2"/>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2920" w:type="dxa"/>
            <w:vAlign w:val="bottom"/>
            <w:shd w:val="clear" w:color="auto" w:fill="D9D9D9"/>
          </w:tcPr>
          <w:p>
            <w:pPr>
              <w:spacing w:after="0"/>
              <w:rPr>
                <w:sz w:val="20"/>
                <w:szCs w:val="20"/>
                <w:color w:val="auto"/>
              </w:rPr>
            </w:pPr>
            <w:r>
              <w:rPr>
                <w:rFonts w:ascii="Arial" w:cs="Arial" w:eastAsia="Arial" w:hAnsi="Arial"/>
                <w:sz w:val="16"/>
                <w:szCs w:val="16"/>
                <w:color w:val="auto"/>
              </w:rPr>
              <w:t>Provide Competitive Pay</w:t>
            </w:r>
          </w:p>
        </w:tc>
        <w:tc>
          <w:tcPr>
            <w:tcW w:w="8320" w:type="dxa"/>
            <w:vAlign w:val="bottom"/>
            <w:gridSpan w:val="2"/>
            <w:shd w:val="clear" w:color="auto" w:fill="D9D9D9"/>
          </w:tcPr>
          <w:p>
            <w:pPr>
              <w:ind w:left="80"/>
              <w:spacing w:after="0" w:line="184" w:lineRule="exact"/>
              <w:rPr>
                <w:sz w:val="20"/>
                <w:szCs w:val="20"/>
                <w:color w:val="auto"/>
              </w:rPr>
            </w:pPr>
            <w:r>
              <w:rPr>
                <w:rFonts w:ascii="MS PGothic" w:cs="MS PGothic" w:eastAsia="MS PGothic" w:hAnsi="MS PGothic"/>
                <w:sz w:val="16"/>
                <w:szCs w:val="16"/>
                <w:color w:val="auto"/>
                <w:shd w:val="clear" w:color="auto" w:fill="C00000"/>
              </w:rPr>
              <w:t>✓</w:t>
            </w:r>
            <w:r>
              <w:rPr>
                <w:rFonts w:ascii="Arial" w:cs="Arial" w:eastAsia="Arial" w:hAnsi="Arial"/>
                <w:sz w:val="16"/>
                <w:szCs w:val="16"/>
                <w:color w:val="auto"/>
              </w:rPr>
              <w:t xml:space="preserve"> We obtain market data from our independent external consultant</w:t>
            </w:r>
          </w:p>
        </w:tc>
        <w:tc>
          <w:tcPr>
            <w:tcW w:w="20" w:type="dxa"/>
            <w:vAlign w:val="bottom"/>
          </w:tcPr>
          <w:p>
            <w:pPr>
              <w:spacing w:after="0"/>
              <w:rPr>
                <w:sz w:val="17"/>
                <w:szCs w:val="17"/>
                <w:color w:val="auto"/>
              </w:rPr>
            </w:pPr>
          </w:p>
        </w:tc>
      </w:tr>
      <w:tr>
        <w:trPr>
          <w:trHeight w:val="283"/>
        </w:trPr>
        <w:tc>
          <w:tcPr>
            <w:tcW w:w="2920" w:type="dxa"/>
            <w:vAlign w:val="bottom"/>
            <w:shd w:val="clear" w:color="auto" w:fill="D9D9D9"/>
          </w:tcPr>
          <w:p>
            <w:pPr>
              <w:spacing w:after="0"/>
              <w:rPr>
                <w:sz w:val="24"/>
                <w:szCs w:val="24"/>
                <w:color w:val="auto"/>
              </w:rPr>
            </w:pPr>
          </w:p>
        </w:tc>
        <w:tc>
          <w:tcPr>
            <w:tcW w:w="8320" w:type="dxa"/>
            <w:vAlign w:val="bottom"/>
            <w:gridSpan w:val="2"/>
            <w:shd w:val="clear" w:color="auto" w:fill="D9D9D9"/>
          </w:tcPr>
          <w:p>
            <w:pPr>
              <w:ind w:left="80"/>
              <w:spacing w:after="0" w:line="283" w:lineRule="exact"/>
              <w:rPr>
                <w:sz w:val="20"/>
                <w:szCs w:val="20"/>
                <w:color w:val="auto"/>
              </w:rPr>
            </w:pPr>
            <w:r>
              <w:rPr>
                <w:rFonts w:ascii="MS PGothic" w:cs="MS PGothic" w:eastAsia="MS PGothic" w:hAnsi="MS PGothic"/>
                <w:sz w:val="16"/>
                <w:szCs w:val="16"/>
                <w:color w:val="auto"/>
                <w:shd w:val="clear" w:color="auto" w:fill="C00000"/>
              </w:rPr>
              <w:t>✓</w:t>
            </w:r>
            <w:r>
              <w:rPr>
                <w:rFonts w:ascii="Arial" w:cs="Arial" w:eastAsia="Arial" w:hAnsi="Arial"/>
                <w:sz w:val="16"/>
                <w:szCs w:val="16"/>
                <w:color w:val="auto"/>
              </w:rPr>
              <w:t xml:space="preserve"> We typically target pay opportunities within a competitive range of the market 50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w:t>
            </w:r>
          </w:p>
        </w:tc>
        <w:tc>
          <w:tcPr>
            <w:tcW w:w="20" w:type="dxa"/>
            <w:vAlign w:val="bottom"/>
          </w:tcPr>
          <w:p>
            <w:pPr>
              <w:spacing w:after="0"/>
              <w:rPr>
                <w:sz w:val="24"/>
                <w:szCs w:val="24"/>
                <w:color w:val="auto"/>
              </w:rPr>
            </w:pPr>
          </w:p>
        </w:tc>
      </w:tr>
      <w:tr>
        <w:trPr>
          <w:trHeight w:val="436"/>
        </w:trPr>
        <w:tc>
          <w:tcPr>
            <w:tcW w:w="2920" w:type="dxa"/>
            <w:vAlign w:val="bottom"/>
          </w:tcPr>
          <w:p>
            <w:pPr>
              <w:spacing w:after="0"/>
              <w:rPr>
                <w:sz w:val="24"/>
                <w:szCs w:val="24"/>
                <w:color w:val="auto"/>
              </w:rPr>
            </w:pPr>
          </w:p>
        </w:tc>
        <w:tc>
          <w:tcPr>
            <w:tcW w:w="8320" w:type="dxa"/>
            <w:vAlign w:val="bottom"/>
            <w:gridSpan w:val="2"/>
          </w:tcPr>
          <w:p>
            <w:pPr>
              <w:ind w:left="260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4"/>
                <w:szCs w:val="24"/>
                <w:color w:val="auto"/>
              </w:rPr>
            </w:pPr>
          </w:p>
        </w:tc>
      </w:tr>
      <w:tr>
        <w:trPr>
          <w:trHeight w:val="98"/>
        </w:trPr>
        <w:tc>
          <w:tcPr>
            <w:tcW w:w="29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0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08" w:right="31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Compensation Highlights and Best Practices</w:t>
      </w:r>
    </w:p>
    <w:p>
      <w:pPr>
        <w:spacing w:after="0" w:line="99" w:lineRule="exact"/>
        <w:rPr>
          <w:sz w:val="20"/>
          <w:szCs w:val="20"/>
          <w:color w:val="auto"/>
        </w:rPr>
      </w:pPr>
    </w:p>
    <w:p>
      <w:pPr>
        <w:ind w:right="200" w:firstLine="401"/>
        <w:spacing w:after="0" w:line="271" w:lineRule="auto"/>
        <w:rPr>
          <w:sz w:val="20"/>
          <w:szCs w:val="20"/>
          <w:color w:val="auto"/>
        </w:rPr>
      </w:pPr>
      <w:r>
        <w:rPr>
          <w:rFonts w:ascii="Arial" w:cs="Arial" w:eastAsia="Arial" w:hAnsi="Arial"/>
          <w:sz w:val="18"/>
          <w:szCs w:val="18"/>
          <w:color w:val="auto"/>
        </w:rPr>
        <w:t>Our compensation practices include many best pay practices that support our executive compensation objectives and philosophy, and benefit our shareholders.</w:t>
      </w:r>
    </w:p>
    <w:p>
      <w:pPr>
        <w:sectPr>
          <w:pgSz w:w="11900" w:h="16838" w:orient="portrait"/>
          <w:cols w:equalWidth="0" w:num="1">
            <w:col w:w="11240"/>
          </w:cols>
          <w:pgMar w:left="320" w:top="122" w:right="339" w:bottom="1440" w:gutter="0" w:footer="0" w:header="0"/>
        </w:sectPr>
      </w:pPr>
    </w:p>
    <w:p>
      <w:pPr>
        <w:spacing w:after="0" w:line="46"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FFFFF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ind w:left="420" w:right="80" w:hanging="277"/>
        <w:spacing w:after="0" w:line="286" w:lineRule="auto"/>
        <w:tabs>
          <w:tab w:leader="none" w:pos="420" w:val="left"/>
        </w:tabs>
        <w:numPr>
          <w:ilvl w:val="0"/>
          <w:numId w:val="58"/>
        </w:numPr>
        <w:rPr>
          <w:rFonts w:ascii="MS PGothic" w:cs="MS PGothic" w:eastAsia="MS PGothic" w:hAnsi="MS PGothic"/>
          <w:sz w:val="16"/>
          <w:szCs w:val="16"/>
          <w:color w:val="auto"/>
          <w:shd w:val="clear" w:color="auto" w:fill="C00000"/>
        </w:rPr>
      </w:pPr>
      <w:r>
        <w:rPr>
          <w:rFonts w:ascii="Arial" w:cs="Arial" w:eastAsia="Arial" w:hAnsi="Arial"/>
          <w:sz w:val="16"/>
          <w:szCs w:val="16"/>
          <w:color w:val="auto"/>
        </w:rPr>
        <w:t>Structure our executive officer compensation so it is competitive, and a significant portion of pay is at risk</w:t>
      </w:r>
    </w:p>
    <w:p>
      <w:pPr>
        <w:spacing w:after="0" w:line="88" w:lineRule="exact"/>
        <w:rPr>
          <w:rFonts w:ascii="MS PGothic" w:cs="MS PGothic" w:eastAsia="MS PGothic" w:hAnsi="MS PGothic"/>
          <w:sz w:val="16"/>
          <w:szCs w:val="16"/>
          <w:color w:val="auto"/>
          <w:shd w:val="clear" w:color="auto" w:fill="C00000"/>
        </w:rPr>
      </w:pPr>
    </w:p>
    <w:p>
      <w:pPr>
        <w:ind w:left="420" w:hanging="277"/>
        <w:spacing w:after="0"/>
        <w:tabs>
          <w:tab w:leader="none" w:pos="420" w:val="left"/>
        </w:tabs>
        <w:numPr>
          <w:ilvl w:val="0"/>
          <w:numId w:val="58"/>
        </w:numPr>
        <w:rPr>
          <w:rFonts w:ascii="MS PGothic" w:cs="MS PGothic" w:eastAsia="MS PGothic" w:hAnsi="MS PGothic"/>
          <w:sz w:val="16"/>
          <w:szCs w:val="16"/>
          <w:color w:val="auto"/>
          <w:shd w:val="clear" w:color="auto" w:fill="C00000"/>
        </w:rPr>
      </w:pPr>
      <w:r>
        <w:rPr>
          <w:rFonts w:ascii="Arial" w:cs="Arial" w:eastAsia="Arial" w:hAnsi="Arial"/>
          <w:sz w:val="16"/>
          <w:szCs w:val="16"/>
          <w:color w:val="auto"/>
        </w:rPr>
        <w:t>Emphasize long-term performance in our equity-based incentive awards</w:t>
      </w:r>
    </w:p>
    <w:p>
      <w:pPr>
        <w:spacing w:after="0" w:line="153" w:lineRule="exact"/>
        <w:rPr>
          <w:rFonts w:ascii="MS PGothic" w:cs="MS PGothic" w:eastAsia="MS PGothic" w:hAnsi="MS PGothic"/>
          <w:sz w:val="16"/>
          <w:szCs w:val="16"/>
          <w:color w:val="auto"/>
          <w:shd w:val="clear" w:color="auto" w:fill="C00000"/>
        </w:rPr>
      </w:pPr>
    </w:p>
    <w:p>
      <w:pPr>
        <w:ind w:left="420" w:hanging="277"/>
        <w:spacing w:after="0"/>
        <w:tabs>
          <w:tab w:leader="none" w:pos="420" w:val="left"/>
        </w:tabs>
        <w:numPr>
          <w:ilvl w:val="0"/>
          <w:numId w:val="58"/>
        </w:numPr>
        <w:rPr>
          <w:rFonts w:ascii="MS PGothic" w:cs="MS PGothic" w:eastAsia="MS PGothic" w:hAnsi="MS PGothic"/>
          <w:sz w:val="16"/>
          <w:szCs w:val="16"/>
          <w:color w:val="auto"/>
          <w:shd w:val="clear" w:color="auto" w:fill="C00000"/>
        </w:rPr>
      </w:pPr>
      <w:r>
        <w:rPr>
          <w:rFonts w:ascii="Arial" w:cs="Arial" w:eastAsia="Arial" w:hAnsi="Arial"/>
          <w:sz w:val="16"/>
          <w:szCs w:val="16"/>
          <w:color w:val="auto"/>
        </w:rPr>
        <w:t>Use a mix of performance measures in our incentive plans</w:t>
      </w:r>
    </w:p>
    <w:p>
      <w:pPr>
        <w:spacing w:after="0" w:line="59" w:lineRule="exact"/>
        <w:rPr>
          <w:rFonts w:ascii="MS PGothic" w:cs="MS PGothic" w:eastAsia="MS PGothic" w:hAnsi="MS PGothic"/>
          <w:sz w:val="16"/>
          <w:szCs w:val="16"/>
          <w:color w:val="auto"/>
          <w:shd w:val="clear" w:color="auto" w:fill="C00000"/>
        </w:rPr>
      </w:pPr>
    </w:p>
    <w:p>
      <w:pPr>
        <w:ind w:left="420" w:hanging="277"/>
        <w:spacing w:after="0"/>
        <w:tabs>
          <w:tab w:leader="none" w:pos="420" w:val="left"/>
        </w:tabs>
        <w:numPr>
          <w:ilvl w:val="0"/>
          <w:numId w:val="58"/>
        </w:numPr>
        <w:rPr>
          <w:rFonts w:ascii="MS PGothic" w:cs="MS PGothic" w:eastAsia="MS PGothic" w:hAnsi="MS PGothic"/>
          <w:sz w:val="16"/>
          <w:szCs w:val="16"/>
          <w:color w:val="auto"/>
          <w:shd w:val="clear" w:color="auto" w:fill="C00000"/>
        </w:rPr>
      </w:pPr>
      <w:r>
        <w:rPr>
          <w:rFonts w:ascii="Arial" w:cs="Arial" w:eastAsia="Arial" w:hAnsi="Arial"/>
          <w:sz w:val="16"/>
          <w:szCs w:val="16"/>
          <w:color w:val="auto"/>
        </w:rPr>
        <w:t>Establish threshold levels of performance and caps on payouts</w:t>
      </w:r>
    </w:p>
    <w:p>
      <w:pPr>
        <w:spacing w:after="0" w:line="261" w:lineRule="exact"/>
        <w:rPr>
          <w:rFonts w:ascii="MS PGothic" w:cs="MS PGothic" w:eastAsia="MS PGothic" w:hAnsi="MS PGothic"/>
          <w:sz w:val="16"/>
          <w:szCs w:val="16"/>
          <w:color w:val="auto"/>
          <w:shd w:val="clear" w:color="auto" w:fill="C00000"/>
        </w:rPr>
      </w:pPr>
    </w:p>
    <w:p>
      <w:pPr>
        <w:ind w:left="420" w:hanging="277"/>
        <w:spacing w:after="0"/>
        <w:tabs>
          <w:tab w:leader="none" w:pos="420" w:val="left"/>
        </w:tabs>
        <w:numPr>
          <w:ilvl w:val="0"/>
          <w:numId w:val="58"/>
        </w:numPr>
        <w:rPr>
          <w:rFonts w:ascii="MS PGothic" w:cs="MS PGothic" w:eastAsia="MS PGothic" w:hAnsi="MS PGothic"/>
          <w:sz w:val="16"/>
          <w:szCs w:val="16"/>
          <w:color w:val="auto"/>
          <w:shd w:val="clear" w:color="auto" w:fill="C00000"/>
        </w:rPr>
      </w:pPr>
      <w:r>
        <w:rPr>
          <w:rFonts w:ascii="Arial" w:cs="Arial" w:eastAsia="Arial" w:hAnsi="Arial"/>
          <w:sz w:val="16"/>
          <w:szCs w:val="16"/>
          <w:color w:val="auto"/>
        </w:rPr>
        <w:t>Maintain a robust clawback policy and provisions</w:t>
      </w:r>
    </w:p>
    <w:p>
      <w:pPr>
        <w:spacing w:after="0" w:line="59" w:lineRule="exact"/>
        <w:rPr>
          <w:rFonts w:ascii="MS PGothic" w:cs="MS PGothic" w:eastAsia="MS PGothic" w:hAnsi="MS PGothic"/>
          <w:sz w:val="16"/>
          <w:szCs w:val="16"/>
          <w:color w:val="auto"/>
          <w:shd w:val="clear" w:color="auto" w:fill="C00000"/>
        </w:rPr>
      </w:pPr>
    </w:p>
    <w:p>
      <w:pPr>
        <w:ind w:left="420" w:hanging="277"/>
        <w:spacing w:after="0"/>
        <w:tabs>
          <w:tab w:leader="none" w:pos="420" w:val="left"/>
        </w:tabs>
        <w:numPr>
          <w:ilvl w:val="0"/>
          <w:numId w:val="58"/>
        </w:numPr>
        <w:rPr>
          <w:rFonts w:ascii="MS PGothic" w:cs="MS PGothic" w:eastAsia="MS PGothic" w:hAnsi="MS PGothic"/>
          <w:sz w:val="16"/>
          <w:szCs w:val="16"/>
          <w:color w:val="auto"/>
          <w:shd w:val="clear" w:color="auto" w:fill="C00000"/>
        </w:rPr>
      </w:pPr>
      <w:r>
        <w:rPr>
          <w:rFonts w:ascii="Arial" w:cs="Arial" w:eastAsia="Arial" w:hAnsi="Arial"/>
          <w:sz w:val="16"/>
          <w:szCs w:val="16"/>
          <w:color w:val="auto"/>
        </w:rPr>
        <w:t>Have robust stock ownership guidelines for executive officers</w:t>
      </w:r>
    </w:p>
    <w:p>
      <w:pPr>
        <w:spacing w:after="0" w:line="234" w:lineRule="exact"/>
        <w:rPr>
          <w:rFonts w:ascii="MS PGothic" w:cs="MS PGothic" w:eastAsia="MS PGothic" w:hAnsi="MS PGothic"/>
          <w:sz w:val="16"/>
          <w:szCs w:val="16"/>
          <w:color w:val="auto"/>
          <w:shd w:val="clear" w:color="auto" w:fill="C00000"/>
        </w:rPr>
      </w:pPr>
    </w:p>
    <w:p>
      <w:pPr>
        <w:ind w:left="420" w:hanging="277"/>
        <w:spacing w:after="0"/>
        <w:tabs>
          <w:tab w:leader="none" w:pos="420" w:val="left"/>
        </w:tabs>
        <w:numPr>
          <w:ilvl w:val="0"/>
          <w:numId w:val="58"/>
        </w:numPr>
        <w:rPr>
          <w:rFonts w:ascii="MS PGothic" w:cs="MS PGothic" w:eastAsia="MS PGothic" w:hAnsi="MS PGothic"/>
          <w:sz w:val="16"/>
          <w:szCs w:val="16"/>
          <w:color w:val="auto"/>
          <w:shd w:val="clear" w:color="auto" w:fill="C00000"/>
        </w:rPr>
      </w:pPr>
      <w:r>
        <w:rPr>
          <w:rFonts w:ascii="Arial" w:cs="Arial" w:eastAsia="Arial" w:hAnsi="Arial"/>
          <w:sz w:val="16"/>
          <w:szCs w:val="16"/>
          <w:color w:val="auto"/>
        </w:rPr>
        <w:t>Require minimum vesting periods on equity awards</w:t>
      </w:r>
    </w:p>
    <w:p>
      <w:pPr>
        <w:spacing w:after="0" w:line="59" w:lineRule="exact"/>
        <w:rPr>
          <w:rFonts w:ascii="MS PGothic" w:cs="MS PGothic" w:eastAsia="MS PGothic" w:hAnsi="MS PGothic"/>
          <w:sz w:val="16"/>
          <w:szCs w:val="16"/>
          <w:color w:val="auto"/>
          <w:shd w:val="clear" w:color="auto" w:fill="C00000"/>
        </w:rPr>
      </w:pPr>
    </w:p>
    <w:p>
      <w:pPr>
        <w:ind w:left="420" w:hanging="277"/>
        <w:spacing w:after="0"/>
        <w:tabs>
          <w:tab w:leader="none" w:pos="420" w:val="left"/>
        </w:tabs>
        <w:numPr>
          <w:ilvl w:val="0"/>
          <w:numId w:val="58"/>
        </w:numPr>
        <w:rPr>
          <w:rFonts w:ascii="MS PGothic" w:cs="MS PGothic" w:eastAsia="MS PGothic" w:hAnsi="MS PGothic"/>
          <w:sz w:val="16"/>
          <w:szCs w:val="16"/>
          <w:color w:val="auto"/>
          <w:shd w:val="clear" w:color="auto" w:fill="C00000"/>
        </w:rPr>
      </w:pPr>
      <w:r>
        <w:rPr>
          <w:rFonts w:ascii="Arial" w:cs="Arial" w:eastAsia="Arial" w:hAnsi="Arial"/>
          <w:sz w:val="16"/>
          <w:szCs w:val="16"/>
          <w:color w:val="auto"/>
        </w:rPr>
        <w:t>Hold an annual say-on-pay vote</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FFFFFF"/>
        </w:rPr>
        <w:t>What We Don’t Do</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 guaranteed salary increases</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Generally no guaranteed bonuses; on occasion, TTC may guarantee a bonus at a target level as a part of an external offer and potential compensation forfeited for an individual; no guaranteed bonuses were provided in fiscal 2022</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No excessive perquisites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 individual employment agreements</w:t>
      </w:r>
    </w:p>
    <w:p>
      <w:pPr>
        <w:spacing w:after="0" w:line="59" w:lineRule="exact"/>
        <w:rPr>
          <w:sz w:val="20"/>
          <w:szCs w:val="20"/>
          <w:color w:val="auto"/>
        </w:rPr>
      </w:pPr>
    </w:p>
    <w:p>
      <w:pPr>
        <w:ind w:left="20" w:right="420"/>
        <w:spacing w:after="0" w:line="272" w:lineRule="auto"/>
        <w:rPr>
          <w:sz w:val="20"/>
          <w:szCs w:val="20"/>
          <w:color w:val="auto"/>
        </w:rPr>
      </w:pPr>
      <w:r>
        <w:rPr>
          <w:rFonts w:ascii="Arial" w:cs="Arial" w:eastAsia="Arial" w:hAnsi="Arial"/>
          <w:sz w:val="16"/>
          <w:szCs w:val="16"/>
          <w:color w:val="auto"/>
        </w:rPr>
        <w:t>No short sales or derivative transactions in TTC stock, including hedges, or pledging</w:t>
      </w:r>
    </w:p>
    <w:p>
      <w:pPr>
        <w:spacing w:after="0" w:line="1" w:lineRule="exact"/>
        <w:rPr>
          <w:sz w:val="20"/>
          <w:szCs w:val="20"/>
          <w:color w:val="auto"/>
        </w:rPr>
      </w:pPr>
    </w:p>
    <w:p>
      <w:pPr>
        <w:ind w:left="20" w:right="1160"/>
        <w:spacing w:after="0" w:line="308" w:lineRule="auto"/>
        <w:rPr>
          <w:sz w:val="20"/>
          <w:szCs w:val="20"/>
          <w:color w:val="auto"/>
        </w:rPr>
      </w:pPr>
      <w:r>
        <w:rPr>
          <w:rFonts w:ascii="Arial" w:cs="Arial" w:eastAsia="Arial" w:hAnsi="Arial"/>
          <w:sz w:val="16"/>
          <w:szCs w:val="16"/>
          <w:color w:val="auto"/>
        </w:rPr>
        <w:t>No current payment of dividends on unvested awards No repricing of stock options</w:t>
      </w:r>
    </w:p>
    <w:p>
      <w:pPr>
        <w:ind w:left="20"/>
        <w:spacing w:after="0"/>
        <w:rPr>
          <w:sz w:val="20"/>
          <w:szCs w:val="20"/>
          <w:color w:val="auto"/>
        </w:rPr>
      </w:pPr>
      <w:r>
        <w:rPr>
          <w:rFonts w:ascii="Arial" w:cs="Arial" w:eastAsia="Arial" w:hAnsi="Arial"/>
          <w:sz w:val="16"/>
          <w:szCs w:val="16"/>
          <w:color w:val="auto"/>
        </w:rPr>
        <w:t>No excise or other tax gross-ups</w:t>
      </w:r>
    </w:p>
    <w:p>
      <w:pPr>
        <w:spacing w:after="0" w:line="185" w:lineRule="exact"/>
        <w:rPr>
          <w:sz w:val="20"/>
          <w:szCs w:val="20"/>
          <w:color w:val="auto"/>
        </w:rPr>
      </w:pPr>
    </w:p>
    <w:p>
      <w:pPr>
        <w:sectPr>
          <w:pgSz w:w="11900" w:h="16838" w:orient="portrait"/>
          <w:cols w:equalWidth="0" w:num="2">
            <w:col w:w="5560" w:space="680"/>
            <w:col w:w="5000"/>
          </w:cols>
          <w:pgMar w:left="320" w:top="122" w:right="339" w:bottom="1440" w:gutter="0" w:footer="0" w:header="0"/>
          <w:type w:val="continuous"/>
        </w:sectPr>
      </w:pPr>
    </w:p>
    <w:p>
      <w:pPr>
        <w:spacing w:after="0"/>
        <w:rPr>
          <w:sz w:val="20"/>
          <w:szCs w:val="20"/>
          <w:color w:val="auto"/>
        </w:rPr>
      </w:pPr>
      <w:r>
        <w:rPr>
          <w:rFonts w:ascii="Arial" w:cs="Arial" w:eastAsia="Arial" w:hAnsi="Arial"/>
          <w:sz w:val="20"/>
          <w:szCs w:val="20"/>
          <w:b w:val="1"/>
          <w:bCs w:val="1"/>
          <w:color w:val="C00000"/>
        </w:rPr>
        <w:t>Pay for Performance and Pay Mix</w:t>
      </w:r>
    </w:p>
    <w:p>
      <w:pPr>
        <w:spacing w:after="0" w:line="99" w:lineRule="exact"/>
        <w:rPr>
          <w:sz w:val="20"/>
          <w:szCs w:val="20"/>
          <w:color w:val="auto"/>
        </w:rPr>
      </w:pPr>
    </w:p>
    <w:p>
      <w:pPr>
        <w:ind w:right="160" w:firstLine="401"/>
        <w:spacing w:after="0" w:line="244" w:lineRule="auto"/>
        <w:rPr>
          <w:sz w:val="20"/>
          <w:szCs w:val="20"/>
          <w:color w:val="auto"/>
        </w:rPr>
      </w:pPr>
      <w:r>
        <w:rPr>
          <w:rFonts w:ascii="Arial" w:cs="Arial" w:eastAsia="Arial" w:hAnsi="Arial"/>
          <w:sz w:val="18"/>
          <w:szCs w:val="18"/>
          <w:color w:val="auto"/>
        </w:rPr>
        <w:t>We seek to motivate executive officers to achieve improved financial performance of our Company through incentive plans that reward higher performance with increased incentive payouts and hold executive officers accountable for financial performance that falls below targeted levels by paying reduced or no incentive payouts. Accordingly, a significant portion of our executive officers’ target total direct compensation is comprised of short- and long-term variable performance-based, or at risk, compensation to directly link their pay to performance. Generally, higher level executive positions have a higher level of pay that is performance-based.</w:t>
      </w:r>
    </w:p>
    <w:p>
      <w:pPr>
        <w:spacing w:after="0" w:line="68" w:lineRule="exact"/>
        <w:rPr>
          <w:sz w:val="20"/>
          <w:szCs w:val="20"/>
          <w:color w:val="auto"/>
        </w:rPr>
      </w:pPr>
    </w:p>
    <w:p>
      <w:pPr>
        <w:ind w:right="220" w:firstLine="401"/>
        <w:spacing w:after="0" w:line="271" w:lineRule="auto"/>
        <w:rPr>
          <w:sz w:val="20"/>
          <w:szCs w:val="20"/>
          <w:color w:val="auto"/>
        </w:rPr>
      </w:pPr>
      <w:r>
        <w:rPr>
          <w:rFonts w:ascii="Arial" w:cs="Arial" w:eastAsia="Arial" w:hAnsi="Arial"/>
          <w:sz w:val="18"/>
          <w:szCs w:val="18"/>
          <w:color w:val="auto"/>
        </w:rPr>
        <w:t>The breakdown of variable, at-risk, pay (broken out between target annual cash incentives and target long-term incentives) compared fixed pay (i.e., annual base salary) for our Chairman and CEO and our other NEOs is as follows:</w:t>
      </w:r>
    </w:p>
    <w:p>
      <w:pPr>
        <w:spacing w:after="0" w:line="64" w:lineRule="exact"/>
        <w:rPr>
          <w:sz w:val="20"/>
          <w:szCs w:val="20"/>
          <w:color w:val="auto"/>
        </w:rPr>
      </w:pPr>
    </w:p>
    <w:p>
      <w:pPr>
        <w:ind w:left="2220"/>
        <w:spacing w:after="0"/>
        <w:tabs>
          <w:tab w:leader="none" w:pos="7040" w:val="left"/>
        </w:tabs>
        <w:rPr>
          <w:sz w:val="20"/>
          <w:szCs w:val="20"/>
          <w:color w:val="auto"/>
        </w:rPr>
      </w:pPr>
      <w:r>
        <w:rPr>
          <w:rFonts w:ascii="Arial" w:cs="Arial" w:eastAsia="Arial" w:hAnsi="Arial"/>
          <w:sz w:val="16"/>
          <w:szCs w:val="16"/>
          <w:b w:val="1"/>
          <w:bCs w:val="1"/>
          <w:color w:val="C00000"/>
        </w:rPr>
        <w:t>Chairman and CEO</w:t>
      </w:r>
      <w:r>
        <w:rPr>
          <w:sz w:val="20"/>
          <w:szCs w:val="20"/>
          <w:color w:val="auto"/>
        </w:rPr>
        <w:tab/>
      </w:r>
      <w:r>
        <w:rPr>
          <w:rFonts w:ascii="Arial" w:cs="Arial" w:eastAsia="Arial" w:hAnsi="Arial"/>
          <w:sz w:val="16"/>
          <w:szCs w:val="16"/>
          <w:b w:val="1"/>
          <w:bCs w:val="1"/>
          <w:color w:val="C00000"/>
        </w:rPr>
        <w:t>Other Named Executive Officers</w:t>
      </w:r>
    </w:p>
    <w:p>
      <w:pPr>
        <w:spacing w:after="0" w:line="21" w:lineRule="exact"/>
        <w:rPr>
          <w:sz w:val="20"/>
          <w:szCs w:val="20"/>
          <w:color w:val="auto"/>
        </w:rPr>
      </w:pPr>
    </w:p>
    <w:p>
      <w:pPr>
        <w:ind w:left="1520"/>
        <w:spacing w:after="0"/>
        <w:tabs>
          <w:tab w:leader="none" w:pos="6820" w:val="left"/>
        </w:tabs>
        <w:rPr>
          <w:sz w:val="20"/>
          <w:szCs w:val="20"/>
          <w:color w:val="auto"/>
        </w:rPr>
      </w:pPr>
      <w:r>
        <w:rPr>
          <w:rFonts w:ascii="Arial" w:cs="Arial" w:eastAsia="Arial" w:hAnsi="Arial"/>
          <w:sz w:val="16"/>
          <w:szCs w:val="16"/>
          <w:b w:val="1"/>
          <w:bCs w:val="1"/>
          <w:color w:val="C00000"/>
        </w:rPr>
        <w:t>Target Total Direct Compensation Mix</w:t>
      </w:r>
      <w:r>
        <w:rPr>
          <w:sz w:val="20"/>
          <w:szCs w:val="20"/>
          <w:color w:val="auto"/>
        </w:rPr>
        <w:tab/>
      </w:r>
      <w:r>
        <w:rPr>
          <w:rFonts w:ascii="Arial" w:cs="Arial" w:eastAsia="Arial" w:hAnsi="Arial"/>
          <w:sz w:val="16"/>
          <w:szCs w:val="16"/>
          <w:b w:val="1"/>
          <w:bCs w:val="1"/>
          <w:color w:val="C00000"/>
        </w:rPr>
        <w:t>Target Total Direct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1905</wp:posOffset>
            </wp:positionV>
            <wp:extent cx="6172200" cy="2186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172200" cy="218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Elements of Our Executive Compensation Program</w:t>
      </w:r>
    </w:p>
    <w:p>
      <w:pPr>
        <w:spacing w:after="0" w:line="99" w:lineRule="exact"/>
        <w:rPr>
          <w:sz w:val="20"/>
          <w:szCs w:val="20"/>
          <w:color w:val="auto"/>
        </w:rPr>
      </w:pPr>
    </w:p>
    <w:p>
      <w:pPr>
        <w:ind w:firstLine="401"/>
        <w:spacing w:after="0" w:line="271" w:lineRule="auto"/>
        <w:rPr>
          <w:sz w:val="20"/>
          <w:szCs w:val="20"/>
          <w:color w:val="auto"/>
        </w:rPr>
      </w:pPr>
      <w:r>
        <w:rPr>
          <w:rFonts w:ascii="Arial" w:cs="Arial" w:eastAsia="Arial" w:hAnsi="Arial"/>
          <w:sz w:val="18"/>
          <w:szCs w:val="18"/>
          <w:color w:val="auto"/>
        </w:rPr>
        <w:t>During fiscal 2022, our executive compensation program consisted of the following key elements, which are described in the table below and pages that follow, along with the key characteristics of and purpose for, each element and key actions taken during fiscal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289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49" w:lineRule="exact"/>
        <w:rPr>
          <w:sz w:val="20"/>
          <w:szCs w:val="20"/>
          <w:color w:val="auto"/>
        </w:rPr>
      </w:pPr>
    </w:p>
    <w:p>
      <w:pPr>
        <w:ind w:left="40"/>
        <w:spacing w:after="0"/>
        <w:tabs>
          <w:tab w:leader="none" w:pos="2020" w:val="left"/>
          <w:tab w:leader="none" w:pos="5380" w:val="left"/>
          <w:tab w:leader="none" w:pos="8400" w:val="left"/>
        </w:tabs>
        <w:rPr>
          <w:sz w:val="20"/>
          <w:szCs w:val="20"/>
          <w:color w:val="auto"/>
        </w:rPr>
      </w:pPr>
      <w:r>
        <w:rPr>
          <w:rFonts w:ascii="Arial" w:cs="Arial" w:eastAsia="Arial" w:hAnsi="Arial"/>
          <w:sz w:val="14"/>
          <w:szCs w:val="14"/>
          <w:b w:val="1"/>
          <w:bCs w:val="1"/>
          <w:color w:val="FFFFFF"/>
        </w:rPr>
        <w:t>Element</w:t>
      </w:r>
      <w:r>
        <w:rPr>
          <w:sz w:val="20"/>
          <w:szCs w:val="20"/>
          <w:color w:val="auto"/>
        </w:rPr>
        <w:tab/>
      </w:r>
      <w:r>
        <w:rPr>
          <w:rFonts w:ascii="Arial" w:cs="Arial" w:eastAsia="Arial" w:hAnsi="Arial"/>
          <w:sz w:val="14"/>
          <w:szCs w:val="14"/>
          <w:b w:val="1"/>
          <w:bCs w:val="1"/>
          <w:color w:val="FFFFFF"/>
        </w:rPr>
        <w:t>Key Characteristics</w:t>
      </w:r>
      <w:r>
        <w:rPr>
          <w:sz w:val="20"/>
          <w:szCs w:val="20"/>
          <w:color w:val="auto"/>
        </w:rPr>
        <w:tab/>
      </w:r>
      <w:r>
        <w:rPr>
          <w:rFonts w:ascii="Arial" w:cs="Arial" w:eastAsia="Arial" w:hAnsi="Arial"/>
          <w:sz w:val="14"/>
          <w:szCs w:val="14"/>
          <w:b w:val="1"/>
          <w:bCs w:val="1"/>
          <w:color w:val="FFFFFF"/>
        </w:rPr>
        <w:t>Purpose</w:t>
      </w:r>
      <w:r>
        <w:rPr>
          <w:sz w:val="20"/>
          <w:szCs w:val="20"/>
          <w:color w:val="auto"/>
        </w:rPr>
        <w:tab/>
      </w:r>
      <w:r>
        <w:rPr>
          <w:rFonts w:ascii="Arial" w:cs="Arial" w:eastAsia="Arial" w:hAnsi="Arial"/>
          <w:sz w:val="14"/>
          <w:szCs w:val="14"/>
          <w:b w:val="1"/>
          <w:bCs w:val="1"/>
          <w:color w:val="FFFFFF"/>
        </w:rPr>
        <w:t>Key Fiscal 2022 Actions</w:t>
      </w:r>
    </w:p>
    <w:p>
      <w:pPr>
        <w:sectPr>
          <w:pgSz w:w="11900" w:h="16838" w:orient="portrait"/>
          <w:cols w:equalWidth="0" w:num="1">
            <w:col w:w="11240"/>
          </w:cols>
          <w:pgMar w:left="320" w:top="122" w:right="339" w:bottom="1440" w:gutter="0" w:footer="0" w:header="0"/>
        </w:sectPr>
      </w:pPr>
    </w:p>
    <w:p>
      <w:pPr>
        <w:spacing w:after="0" w:line="37" w:lineRule="exact"/>
        <w:rPr>
          <w:sz w:val="20"/>
          <w:szCs w:val="20"/>
          <w:color w:val="auto"/>
        </w:rPr>
      </w:pPr>
    </w:p>
    <w:p>
      <w:pPr>
        <w:ind w:left="40"/>
        <w:spacing w:after="0"/>
        <w:tabs>
          <w:tab w:leader="none" w:pos="1300" w:val="left"/>
          <w:tab w:leader="none" w:pos="4160" w:val="left"/>
        </w:tabs>
        <w:rPr>
          <w:sz w:val="20"/>
          <w:szCs w:val="20"/>
          <w:color w:val="auto"/>
        </w:rPr>
      </w:pPr>
      <w:r>
        <w:rPr>
          <w:rFonts w:ascii="Arial" w:cs="Arial" w:eastAsia="Arial" w:hAnsi="Arial"/>
          <w:sz w:val="16"/>
          <w:szCs w:val="16"/>
          <w:color w:val="auto"/>
        </w:rPr>
        <w:t>Base Salary</w:t>
      </w:r>
      <w:r>
        <w:rPr>
          <w:sz w:val="20"/>
          <w:szCs w:val="20"/>
          <w:color w:val="auto"/>
        </w:rPr>
        <w:tab/>
      </w:r>
      <w:r>
        <w:rPr>
          <w:rFonts w:ascii="Arial" w:cs="Arial" w:eastAsia="Arial" w:hAnsi="Arial"/>
          <w:sz w:val="16"/>
          <w:szCs w:val="16"/>
          <w:color w:val="auto"/>
        </w:rPr>
        <w:t>A fixed amount, paid in cash and</w:t>
      </w:r>
      <w:r>
        <w:rPr>
          <w:sz w:val="20"/>
          <w:szCs w:val="20"/>
          <w:color w:val="auto"/>
        </w:rPr>
        <w:tab/>
      </w:r>
      <w:r>
        <w:rPr>
          <w:rFonts w:ascii="Arial" w:cs="Arial" w:eastAsia="Arial" w:hAnsi="Arial"/>
          <w:sz w:val="16"/>
          <w:szCs w:val="16"/>
          <w:color w:val="auto"/>
        </w:rPr>
        <w:t>Provide a source of fixed income that is</w:t>
      </w:r>
    </w:p>
    <w:p>
      <w:pPr>
        <w:spacing w:after="0" w:line="21" w:lineRule="exact"/>
        <w:rPr>
          <w:sz w:val="20"/>
          <w:szCs w:val="20"/>
          <w:color w:val="auto"/>
        </w:rPr>
      </w:pPr>
    </w:p>
    <w:p>
      <w:pPr>
        <w:ind w:left="1320"/>
        <w:spacing w:after="0"/>
        <w:tabs>
          <w:tab w:leader="none" w:pos="4160" w:val="left"/>
        </w:tabs>
        <w:rPr>
          <w:sz w:val="20"/>
          <w:szCs w:val="20"/>
          <w:color w:val="auto"/>
        </w:rPr>
      </w:pPr>
      <w:r>
        <w:rPr>
          <w:rFonts w:ascii="Arial" w:cs="Arial" w:eastAsia="Arial" w:hAnsi="Arial"/>
          <w:sz w:val="16"/>
          <w:szCs w:val="16"/>
          <w:color w:val="auto"/>
        </w:rPr>
        <w:t>reviewed annually and,</w:t>
      </w:r>
      <w:r>
        <w:rPr>
          <w:sz w:val="20"/>
          <w:szCs w:val="20"/>
          <w:color w:val="auto"/>
        </w:rPr>
        <w:tab/>
      </w:r>
      <w:r>
        <w:rPr>
          <w:rFonts w:ascii="Arial" w:cs="Arial" w:eastAsia="Arial" w:hAnsi="Arial"/>
          <w:sz w:val="16"/>
          <w:szCs w:val="16"/>
          <w:color w:val="auto"/>
        </w:rPr>
        <w:t>market competitive and reflects scope</w:t>
      </w:r>
    </w:p>
    <w:p>
      <w:pPr>
        <w:spacing w:after="0" w:line="5" w:lineRule="exact"/>
        <w:rPr>
          <w:sz w:val="20"/>
          <w:szCs w:val="20"/>
          <w:color w:val="auto"/>
        </w:rPr>
      </w:pPr>
    </w:p>
    <w:p>
      <w:pPr>
        <w:ind w:left="1320"/>
        <w:spacing w:after="0"/>
        <w:tabs>
          <w:tab w:leader="none" w:pos="4160" w:val="left"/>
        </w:tabs>
        <w:rPr>
          <w:sz w:val="20"/>
          <w:szCs w:val="20"/>
          <w:color w:val="auto"/>
        </w:rPr>
      </w:pPr>
      <w:r>
        <w:rPr>
          <w:rFonts w:ascii="Arial" w:cs="Arial" w:eastAsia="Arial" w:hAnsi="Arial"/>
          <w:sz w:val="16"/>
          <w:szCs w:val="16"/>
          <w:color w:val="auto"/>
        </w:rPr>
        <w:t>if appropriate, adjusted.</w:t>
      </w:r>
      <w:r>
        <w:rPr>
          <w:sz w:val="20"/>
          <w:szCs w:val="20"/>
          <w:color w:val="auto"/>
        </w:rPr>
        <w:tab/>
      </w:r>
      <w:r>
        <w:rPr>
          <w:rFonts w:ascii="Arial" w:cs="Arial" w:eastAsia="Arial" w:hAnsi="Arial"/>
          <w:sz w:val="16"/>
          <w:szCs w:val="16"/>
          <w:color w:val="auto"/>
        </w:rPr>
        <w:t>and responsibility of the position held.</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All of our NEOs, other than Mr. Carpenter who joined the Company in fiscal 2022, received salary increases ranging from 3.4% to 5.2%.</w:t>
      </w:r>
    </w:p>
    <w:p>
      <w:pPr>
        <w:spacing w:after="0" w:line="1" w:lineRule="exact"/>
        <w:rPr>
          <w:sz w:val="20"/>
          <w:szCs w:val="20"/>
          <w:color w:val="auto"/>
        </w:rPr>
      </w:pPr>
    </w:p>
    <w:p>
      <w:pPr>
        <w:sectPr>
          <w:pgSz w:w="11900" w:h="16838" w:orient="portrait"/>
          <w:cols w:equalWidth="0" w:num="2">
            <w:col w:w="7000" w:space="260"/>
            <w:col w:w="398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1140" w:type="dxa"/>
            <w:vAlign w:val="bottom"/>
            <w:shd w:val="clear" w:color="auto" w:fill="D9D9D9"/>
          </w:tcPr>
          <w:p>
            <w:pPr>
              <w:ind w:left="40"/>
              <w:spacing w:after="0" w:line="171" w:lineRule="exact"/>
              <w:rPr>
                <w:sz w:val="20"/>
                <w:szCs w:val="20"/>
                <w:color w:val="auto"/>
              </w:rPr>
            </w:pPr>
            <w:r>
              <w:rPr>
                <w:rFonts w:ascii="Arial" w:cs="Arial" w:eastAsia="Arial" w:hAnsi="Arial"/>
                <w:sz w:val="16"/>
                <w:szCs w:val="16"/>
                <w:color w:val="auto"/>
              </w:rPr>
              <w:t>Annual Cash</w:t>
            </w:r>
          </w:p>
        </w:tc>
        <w:tc>
          <w:tcPr>
            <w:tcW w:w="2960" w:type="dxa"/>
            <w:vAlign w:val="bottom"/>
            <w:shd w:val="clear" w:color="auto" w:fill="D9D9D9"/>
          </w:tcPr>
          <w:p>
            <w:pPr>
              <w:ind w:left="180"/>
              <w:spacing w:after="0" w:line="171" w:lineRule="exact"/>
              <w:rPr>
                <w:sz w:val="20"/>
                <w:szCs w:val="20"/>
                <w:color w:val="auto"/>
              </w:rPr>
            </w:pPr>
            <w:r>
              <w:rPr>
                <w:rFonts w:ascii="Arial" w:cs="Arial" w:eastAsia="Arial" w:hAnsi="Arial"/>
                <w:sz w:val="16"/>
                <w:szCs w:val="16"/>
                <w:color w:val="auto"/>
              </w:rPr>
              <w:t>A variable, short-term element of</w:t>
            </w:r>
          </w:p>
        </w:tc>
        <w:tc>
          <w:tcPr>
            <w:tcW w:w="3020" w:type="dxa"/>
            <w:vAlign w:val="bottom"/>
            <w:shd w:val="clear" w:color="auto" w:fill="D9D9D9"/>
          </w:tcPr>
          <w:p>
            <w:pPr>
              <w:ind w:left="80"/>
              <w:spacing w:after="0" w:line="171" w:lineRule="exact"/>
              <w:rPr>
                <w:sz w:val="20"/>
                <w:szCs w:val="20"/>
                <w:color w:val="auto"/>
              </w:rPr>
            </w:pPr>
            <w:r>
              <w:rPr>
                <w:rFonts w:ascii="Arial" w:cs="Arial" w:eastAsia="Arial" w:hAnsi="Arial"/>
                <w:sz w:val="16"/>
                <w:szCs w:val="16"/>
                <w:color w:val="auto"/>
              </w:rPr>
              <w:t>Motivate and reward our executive</w:t>
            </w:r>
          </w:p>
        </w:tc>
        <w:tc>
          <w:tcPr>
            <w:tcW w:w="4120" w:type="dxa"/>
            <w:vAlign w:val="bottom"/>
            <w:shd w:val="clear" w:color="auto" w:fill="D9D9D9"/>
          </w:tcPr>
          <w:p>
            <w:pPr>
              <w:ind w:left="140"/>
              <w:spacing w:after="0" w:line="171" w:lineRule="exact"/>
              <w:rPr>
                <w:sz w:val="20"/>
                <w:szCs w:val="20"/>
                <w:color w:val="auto"/>
              </w:rPr>
            </w:pPr>
            <w:r>
              <w:rPr>
                <w:rFonts w:ascii="Arial" w:cs="Arial" w:eastAsia="Arial" w:hAnsi="Arial"/>
                <w:sz w:val="16"/>
                <w:szCs w:val="16"/>
                <w:color w:val="auto"/>
              </w:rPr>
              <w:t>At the beginning of fiscal 2022, target awards as a</w:t>
            </w:r>
          </w:p>
        </w:tc>
      </w:tr>
      <w:tr>
        <w:trPr>
          <w:trHeight w:val="189"/>
        </w:trPr>
        <w:tc>
          <w:tcPr>
            <w:tcW w:w="1140" w:type="dxa"/>
            <w:vAlign w:val="bottom"/>
            <w:shd w:val="clear" w:color="auto" w:fill="D9D9D9"/>
          </w:tcPr>
          <w:p>
            <w:pPr>
              <w:ind w:left="40"/>
              <w:spacing w:after="0"/>
              <w:rPr>
                <w:sz w:val="20"/>
                <w:szCs w:val="20"/>
                <w:color w:val="auto"/>
              </w:rPr>
            </w:pPr>
            <w:r>
              <w:rPr>
                <w:rFonts w:ascii="Arial" w:cs="Arial" w:eastAsia="Arial" w:hAnsi="Arial"/>
                <w:sz w:val="16"/>
                <w:szCs w:val="16"/>
                <w:color w:val="auto"/>
              </w:rPr>
              <w:t>Incentive</w:t>
            </w:r>
          </w:p>
        </w:tc>
        <w:tc>
          <w:tcPr>
            <w:tcW w:w="2960" w:type="dxa"/>
            <w:vAlign w:val="bottom"/>
            <w:shd w:val="clear" w:color="auto" w:fill="D9D9D9"/>
          </w:tcPr>
          <w:p>
            <w:pPr>
              <w:ind w:left="180"/>
              <w:spacing w:after="0"/>
              <w:rPr>
                <w:sz w:val="20"/>
                <w:szCs w:val="20"/>
                <w:color w:val="auto"/>
              </w:rPr>
            </w:pPr>
            <w:r>
              <w:rPr>
                <w:rFonts w:ascii="Arial" w:cs="Arial" w:eastAsia="Arial" w:hAnsi="Arial"/>
                <w:sz w:val="16"/>
                <w:szCs w:val="16"/>
                <w:color w:val="auto"/>
              </w:rPr>
              <w:t>compensation, payable in cash based</w:t>
            </w:r>
          </w:p>
        </w:tc>
        <w:tc>
          <w:tcPr>
            <w:tcW w:w="3020" w:type="dxa"/>
            <w:vAlign w:val="bottom"/>
            <w:shd w:val="clear" w:color="auto" w:fill="D9D9D9"/>
          </w:tcPr>
          <w:p>
            <w:pPr>
              <w:ind w:left="80"/>
              <w:spacing w:after="0"/>
              <w:rPr>
                <w:sz w:val="20"/>
                <w:szCs w:val="20"/>
                <w:color w:val="auto"/>
              </w:rPr>
            </w:pPr>
            <w:r>
              <w:rPr>
                <w:rFonts w:ascii="Arial" w:cs="Arial" w:eastAsia="Arial" w:hAnsi="Arial"/>
                <w:sz w:val="16"/>
                <w:szCs w:val="16"/>
                <w:color w:val="auto"/>
              </w:rPr>
              <w:t>officers for achievement of annual</w:t>
            </w:r>
          </w:p>
        </w:tc>
        <w:tc>
          <w:tcPr>
            <w:tcW w:w="4120" w:type="dxa"/>
            <w:vAlign w:val="bottom"/>
            <w:shd w:val="clear" w:color="auto" w:fill="D9D9D9"/>
          </w:tcPr>
          <w:p>
            <w:pPr>
              <w:ind w:left="140"/>
              <w:spacing w:after="0"/>
              <w:rPr>
                <w:sz w:val="20"/>
                <w:szCs w:val="20"/>
                <w:color w:val="auto"/>
              </w:rPr>
            </w:pPr>
            <w:r>
              <w:rPr>
                <w:rFonts w:ascii="Arial" w:cs="Arial" w:eastAsia="Arial" w:hAnsi="Arial"/>
                <w:sz w:val="16"/>
                <w:szCs w:val="16"/>
                <w:color w:val="auto"/>
              </w:rPr>
              <w:t>percent of base salary for NEOs were established at</w:t>
            </w:r>
          </w:p>
        </w:tc>
      </w:tr>
      <w:tr>
        <w:trPr>
          <w:trHeight w:val="203"/>
        </w:trPr>
        <w:tc>
          <w:tcPr>
            <w:tcW w:w="1140" w:type="dxa"/>
            <w:vAlign w:val="bottom"/>
            <w:shd w:val="clear" w:color="auto" w:fill="D9D9D9"/>
          </w:tcPr>
          <w:p>
            <w:pPr>
              <w:spacing w:after="0"/>
              <w:rPr>
                <w:sz w:val="17"/>
                <w:szCs w:val="17"/>
                <w:color w:val="auto"/>
              </w:rPr>
            </w:pPr>
          </w:p>
        </w:tc>
        <w:tc>
          <w:tcPr>
            <w:tcW w:w="2960" w:type="dxa"/>
            <w:vAlign w:val="bottom"/>
            <w:shd w:val="clear" w:color="auto" w:fill="D9D9D9"/>
          </w:tcPr>
          <w:p>
            <w:pPr>
              <w:ind w:left="180"/>
              <w:spacing w:after="0"/>
              <w:rPr>
                <w:sz w:val="20"/>
                <w:szCs w:val="20"/>
                <w:color w:val="auto"/>
              </w:rPr>
            </w:pPr>
            <w:r>
              <w:rPr>
                <w:rFonts w:ascii="Arial" w:cs="Arial" w:eastAsia="Arial" w:hAnsi="Arial"/>
                <w:sz w:val="16"/>
                <w:szCs w:val="16"/>
                <w:color w:val="auto"/>
              </w:rPr>
              <w:t>on achievement of pre-established</w:t>
            </w:r>
          </w:p>
        </w:tc>
        <w:tc>
          <w:tcPr>
            <w:tcW w:w="3020" w:type="dxa"/>
            <w:vAlign w:val="bottom"/>
            <w:shd w:val="clear" w:color="auto" w:fill="D9D9D9"/>
          </w:tcPr>
          <w:p>
            <w:pPr>
              <w:ind w:left="80"/>
              <w:spacing w:after="0"/>
              <w:rPr>
                <w:sz w:val="20"/>
                <w:szCs w:val="20"/>
                <w:color w:val="auto"/>
              </w:rPr>
            </w:pPr>
            <w:r>
              <w:rPr>
                <w:rFonts w:ascii="Arial" w:cs="Arial" w:eastAsia="Arial" w:hAnsi="Arial"/>
                <w:sz w:val="16"/>
                <w:szCs w:val="16"/>
                <w:color w:val="auto"/>
              </w:rPr>
              <w:t>financial goals intended to drive overall</w:t>
            </w:r>
          </w:p>
        </w:tc>
        <w:tc>
          <w:tcPr>
            <w:tcW w:w="4120" w:type="dxa"/>
            <w:vAlign w:val="bottom"/>
            <w:shd w:val="clear" w:color="auto" w:fill="D9D9D9"/>
          </w:tcPr>
          <w:p>
            <w:pPr>
              <w:ind w:left="140"/>
              <w:spacing w:after="0"/>
              <w:rPr>
                <w:sz w:val="20"/>
                <w:szCs w:val="20"/>
                <w:color w:val="auto"/>
              </w:rPr>
            </w:pPr>
            <w:r>
              <w:rPr>
                <w:rFonts w:ascii="Arial" w:cs="Arial" w:eastAsia="Arial" w:hAnsi="Arial"/>
                <w:sz w:val="16"/>
                <w:szCs w:val="16"/>
                <w:color w:val="auto"/>
              </w:rPr>
              <w:t>60% to 130% of fiscal year base salary earnings.</w:t>
            </w:r>
          </w:p>
        </w:tc>
      </w:tr>
      <w:tr>
        <w:trPr>
          <w:trHeight w:val="203"/>
        </w:trPr>
        <w:tc>
          <w:tcPr>
            <w:tcW w:w="1140" w:type="dxa"/>
            <w:vAlign w:val="bottom"/>
            <w:shd w:val="clear" w:color="auto" w:fill="D9D9D9"/>
          </w:tcPr>
          <w:p>
            <w:pPr>
              <w:spacing w:after="0"/>
              <w:rPr>
                <w:sz w:val="17"/>
                <w:szCs w:val="17"/>
                <w:color w:val="auto"/>
              </w:rPr>
            </w:pPr>
          </w:p>
        </w:tc>
        <w:tc>
          <w:tcPr>
            <w:tcW w:w="2960" w:type="dxa"/>
            <w:vAlign w:val="bottom"/>
            <w:shd w:val="clear" w:color="auto" w:fill="D9D9D9"/>
          </w:tcPr>
          <w:p>
            <w:pPr>
              <w:ind w:left="180"/>
              <w:spacing w:after="0"/>
              <w:rPr>
                <w:sz w:val="20"/>
                <w:szCs w:val="20"/>
                <w:color w:val="auto"/>
              </w:rPr>
            </w:pPr>
            <w:r>
              <w:rPr>
                <w:rFonts w:ascii="Arial" w:cs="Arial" w:eastAsia="Arial" w:hAnsi="Arial"/>
                <w:sz w:val="16"/>
                <w:szCs w:val="16"/>
                <w:color w:val="auto"/>
              </w:rPr>
              <w:t>annual financial goals.</w:t>
            </w:r>
          </w:p>
        </w:tc>
        <w:tc>
          <w:tcPr>
            <w:tcW w:w="3020" w:type="dxa"/>
            <w:vAlign w:val="bottom"/>
            <w:shd w:val="clear" w:color="auto" w:fill="D9D9D9"/>
          </w:tcPr>
          <w:p>
            <w:pPr>
              <w:ind w:left="80"/>
              <w:spacing w:after="0"/>
              <w:rPr>
                <w:sz w:val="20"/>
                <w:szCs w:val="20"/>
                <w:color w:val="auto"/>
              </w:rPr>
            </w:pPr>
            <w:r>
              <w:rPr>
                <w:rFonts w:ascii="Arial" w:cs="Arial" w:eastAsia="Arial" w:hAnsi="Arial"/>
                <w:sz w:val="16"/>
                <w:szCs w:val="16"/>
                <w:color w:val="auto"/>
              </w:rPr>
              <w:t>company, division or business and / or</w:t>
            </w:r>
          </w:p>
        </w:tc>
        <w:tc>
          <w:tcPr>
            <w:tcW w:w="4120" w:type="dxa"/>
            <w:vAlign w:val="bottom"/>
            <w:shd w:val="clear" w:color="auto" w:fill="D9D9D9"/>
          </w:tcPr>
          <w:p>
            <w:pPr>
              <w:ind w:left="140"/>
              <w:spacing w:after="0"/>
              <w:rPr>
                <w:sz w:val="20"/>
                <w:szCs w:val="20"/>
                <w:color w:val="auto"/>
              </w:rPr>
            </w:pPr>
            <w:r>
              <w:rPr>
                <w:rFonts w:ascii="Arial" w:cs="Arial" w:eastAsia="Arial" w:hAnsi="Arial"/>
                <w:sz w:val="16"/>
                <w:szCs w:val="16"/>
                <w:color w:val="auto"/>
              </w:rPr>
              <w:t>Corporate performance measures and weightings were</w:t>
            </w:r>
          </w:p>
        </w:tc>
      </w:tr>
      <w:tr>
        <w:trPr>
          <w:trHeight w:val="215"/>
        </w:trPr>
        <w:tc>
          <w:tcPr>
            <w:tcW w:w="1140" w:type="dxa"/>
            <w:vAlign w:val="bottom"/>
            <w:shd w:val="clear" w:color="auto" w:fill="D9D9D9"/>
          </w:tcPr>
          <w:p>
            <w:pPr>
              <w:spacing w:after="0"/>
              <w:rPr>
                <w:sz w:val="18"/>
                <w:szCs w:val="18"/>
                <w:color w:val="auto"/>
              </w:rPr>
            </w:pPr>
          </w:p>
        </w:tc>
        <w:tc>
          <w:tcPr>
            <w:tcW w:w="2960" w:type="dxa"/>
            <w:vAlign w:val="bottom"/>
            <w:shd w:val="clear" w:color="auto" w:fill="D9D9D9"/>
          </w:tcPr>
          <w:p>
            <w:pPr>
              <w:spacing w:after="0"/>
              <w:rPr>
                <w:sz w:val="18"/>
                <w:szCs w:val="18"/>
                <w:color w:val="auto"/>
              </w:rPr>
            </w:pPr>
          </w:p>
        </w:tc>
        <w:tc>
          <w:tcPr>
            <w:tcW w:w="3020" w:type="dxa"/>
            <w:vAlign w:val="bottom"/>
            <w:shd w:val="clear" w:color="auto" w:fill="D9D9D9"/>
          </w:tcPr>
          <w:p>
            <w:pPr>
              <w:ind w:left="80"/>
              <w:spacing w:after="0"/>
              <w:rPr>
                <w:sz w:val="20"/>
                <w:szCs w:val="20"/>
                <w:color w:val="auto"/>
              </w:rPr>
            </w:pPr>
            <w:r>
              <w:rPr>
                <w:rFonts w:ascii="Arial" w:cs="Arial" w:eastAsia="Arial" w:hAnsi="Arial"/>
                <w:sz w:val="16"/>
                <w:szCs w:val="16"/>
                <w:color w:val="auto"/>
              </w:rPr>
              <w:t>operational performance.</w:t>
            </w:r>
          </w:p>
        </w:tc>
        <w:tc>
          <w:tcPr>
            <w:tcW w:w="4120" w:type="dxa"/>
            <w:vAlign w:val="bottom"/>
            <w:shd w:val="clear" w:color="auto" w:fill="D9D9D9"/>
          </w:tcPr>
          <w:p>
            <w:pPr>
              <w:ind w:left="140"/>
              <w:spacing w:after="0"/>
              <w:rPr>
                <w:sz w:val="20"/>
                <w:szCs w:val="20"/>
                <w:color w:val="auto"/>
              </w:rPr>
            </w:pPr>
            <w:r>
              <w:rPr>
                <w:rFonts w:ascii="Arial" w:cs="Arial" w:eastAsia="Arial" w:hAnsi="Arial"/>
                <w:sz w:val="16"/>
                <w:szCs w:val="16"/>
                <w:color w:val="auto"/>
              </w:rPr>
              <w:t>established for all of our NEOs and an additional</w:t>
            </w:r>
          </w:p>
        </w:tc>
      </w:tr>
      <w:tr>
        <w:trPr>
          <w:trHeight w:val="189"/>
        </w:trPr>
        <w:tc>
          <w:tcPr>
            <w:tcW w:w="1140" w:type="dxa"/>
            <w:vAlign w:val="bottom"/>
            <w:shd w:val="clear" w:color="auto" w:fill="D9D9D9"/>
          </w:tcPr>
          <w:p>
            <w:pPr>
              <w:spacing w:after="0"/>
              <w:rPr>
                <w:sz w:val="16"/>
                <w:szCs w:val="16"/>
                <w:color w:val="auto"/>
              </w:rPr>
            </w:pPr>
          </w:p>
        </w:tc>
        <w:tc>
          <w:tcPr>
            <w:tcW w:w="2960" w:type="dxa"/>
            <w:vAlign w:val="bottom"/>
            <w:shd w:val="clear" w:color="auto" w:fill="D9D9D9"/>
          </w:tcPr>
          <w:p>
            <w:pPr>
              <w:spacing w:after="0"/>
              <w:rPr>
                <w:sz w:val="16"/>
                <w:szCs w:val="16"/>
                <w:color w:val="auto"/>
              </w:rPr>
            </w:pPr>
          </w:p>
        </w:tc>
        <w:tc>
          <w:tcPr>
            <w:tcW w:w="3020" w:type="dxa"/>
            <w:vAlign w:val="bottom"/>
            <w:shd w:val="clear" w:color="auto" w:fill="D9D9D9"/>
          </w:tcPr>
          <w:p>
            <w:pPr>
              <w:spacing w:after="0"/>
              <w:rPr>
                <w:sz w:val="16"/>
                <w:szCs w:val="16"/>
                <w:color w:val="auto"/>
              </w:rPr>
            </w:pPr>
          </w:p>
        </w:tc>
        <w:tc>
          <w:tcPr>
            <w:tcW w:w="4120" w:type="dxa"/>
            <w:vAlign w:val="bottom"/>
            <w:shd w:val="clear" w:color="auto" w:fill="D9D9D9"/>
          </w:tcPr>
          <w:p>
            <w:pPr>
              <w:ind w:left="140"/>
              <w:spacing w:after="0"/>
              <w:rPr>
                <w:sz w:val="20"/>
                <w:szCs w:val="20"/>
                <w:color w:val="auto"/>
              </w:rPr>
            </w:pPr>
            <w:r>
              <w:rPr>
                <w:rFonts w:ascii="Arial" w:cs="Arial" w:eastAsia="Arial" w:hAnsi="Arial"/>
                <w:sz w:val="16"/>
                <w:szCs w:val="16"/>
                <w:color w:val="auto"/>
              </w:rPr>
              <w:t>operational measure was established for Mr.</w:t>
            </w:r>
          </w:p>
        </w:tc>
      </w:tr>
      <w:tr>
        <w:trPr>
          <w:trHeight w:val="203"/>
        </w:trPr>
        <w:tc>
          <w:tcPr>
            <w:tcW w:w="1140" w:type="dxa"/>
            <w:vAlign w:val="bottom"/>
            <w:shd w:val="clear" w:color="auto" w:fill="D9D9D9"/>
          </w:tcPr>
          <w:p>
            <w:pPr>
              <w:spacing w:after="0"/>
              <w:rPr>
                <w:sz w:val="17"/>
                <w:szCs w:val="17"/>
                <w:color w:val="auto"/>
              </w:rPr>
            </w:pPr>
          </w:p>
        </w:tc>
        <w:tc>
          <w:tcPr>
            <w:tcW w:w="2960" w:type="dxa"/>
            <w:vAlign w:val="bottom"/>
            <w:shd w:val="clear" w:color="auto" w:fill="D9D9D9"/>
          </w:tcPr>
          <w:p>
            <w:pPr>
              <w:spacing w:after="0"/>
              <w:rPr>
                <w:sz w:val="17"/>
                <w:szCs w:val="17"/>
                <w:color w:val="auto"/>
              </w:rPr>
            </w:pPr>
          </w:p>
        </w:tc>
        <w:tc>
          <w:tcPr>
            <w:tcW w:w="3020" w:type="dxa"/>
            <w:vAlign w:val="bottom"/>
            <w:shd w:val="clear" w:color="auto" w:fill="D9D9D9"/>
          </w:tcPr>
          <w:p>
            <w:pPr>
              <w:spacing w:after="0"/>
              <w:rPr>
                <w:sz w:val="17"/>
                <w:szCs w:val="17"/>
                <w:color w:val="auto"/>
              </w:rPr>
            </w:pPr>
          </w:p>
        </w:tc>
        <w:tc>
          <w:tcPr>
            <w:tcW w:w="4120" w:type="dxa"/>
            <w:vAlign w:val="bottom"/>
            <w:shd w:val="clear" w:color="auto" w:fill="D9D9D9"/>
          </w:tcPr>
          <w:p>
            <w:pPr>
              <w:ind w:left="140"/>
              <w:spacing w:after="0"/>
              <w:rPr>
                <w:sz w:val="20"/>
                <w:szCs w:val="20"/>
                <w:color w:val="auto"/>
              </w:rPr>
            </w:pPr>
            <w:r>
              <w:rPr>
                <w:rFonts w:ascii="Arial" w:cs="Arial" w:eastAsia="Arial" w:hAnsi="Arial"/>
                <w:sz w:val="16"/>
                <w:szCs w:val="16"/>
                <w:color w:val="auto"/>
              </w:rPr>
              <w:t>Carpenter.</w:t>
            </w:r>
          </w:p>
        </w:tc>
      </w:tr>
    </w:tbl>
    <w:p>
      <w:pPr>
        <w:spacing w:after="0" w:line="1" w:lineRule="exact"/>
        <w:rPr>
          <w:sz w:val="20"/>
          <w:szCs w:val="20"/>
          <w:color w:val="auto"/>
        </w:rPr>
      </w:pPr>
    </w:p>
    <w:p>
      <w:pPr>
        <w:sectPr>
          <w:pgSz w:w="11900" w:h="16838" w:orient="portrait"/>
          <w:cols w:equalWidth="0" w:num="1">
            <w:col w:w="11240"/>
          </w:cols>
          <w:pgMar w:left="320" w:top="122" w:right="339" w:bottom="1440" w:gutter="0" w:footer="0" w:header="0"/>
          <w:type w:val="continuous"/>
        </w:sectPr>
      </w:pPr>
    </w:p>
    <w:p>
      <w:pPr>
        <w:ind w:left="40"/>
        <w:spacing w:after="0"/>
        <w:tabs>
          <w:tab w:leader="none" w:pos="1300" w:val="left"/>
        </w:tabs>
        <w:rPr>
          <w:sz w:val="20"/>
          <w:szCs w:val="20"/>
          <w:color w:val="auto"/>
        </w:rPr>
      </w:pPr>
      <w:r>
        <w:rPr>
          <w:rFonts w:ascii="Arial" w:cs="Arial" w:eastAsia="Arial" w:hAnsi="Arial"/>
          <w:sz w:val="16"/>
          <w:szCs w:val="16"/>
          <w:color w:val="auto"/>
        </w:rPr>
        <w:t>Long-Term</w:t>
      </w:r>
      <w:r>
        <w:rPr>
          <w:sz w:val="20"/>
          <w:szCs w:val="20"/>
          <w:color w:val="auto"/>
        </w:rPr>
        <w:tab/>
      </w:r>
      <w:r>
        <w:rPr>
          <w:rFonts w:ascii="Arial" w:cs="Arial" w:eastAsia="Arial" w:hAnsi="Arial"/>
          <w:sz w:val="16"/>
          <w:szCs w:val="16"/>
          <w:color w:val="auto"/>
        </w:rPr>
        <w:t>A variable, long-term element of</w:t>
      </w:r>
    </w:p>
    <w:p>
      <w:pPr>
        <w:spacing w:after="0" w:line="20" w:lineRule="exact"/>
        <w:rPr>
          <w:sz w:val="20"/>
          <w:szCs w:val="20"/>
          <w:color w:val="auto"/>
        </w:rPr>
      </w:pPr>
    </w:p>
    <w:p>
      <w:pPr>
        <w:ind w:left="40"/>
        <w:spacing w:after="0"/>
        <w:tabs>
          <w:tab w:leader="none" w:pos="1300" w:val="left"/>
        </w:tabs>
        <w:rPr>
          <w:sz w:val="20"/>
          <w:szCs w:val="20"/>
          <w:color w:val="auto"/>
        </w:rPr>
      </w:pPr>
      <w:r>
        <w:rPr>
          <w:rFonts w:ascii="Arial" w:cs="Arial" w:eastAsia="Arial" w:hAnsi="Arial"/>
          <w:sz w:val="16"/>
          <w:szCs w:val="16"/>
          <w:color w:val="auto"/>
        </w:rPr>
        <w:t>Incentives</w:t>
      </w:r>
      <w:r>
        <w:rPr>
          <w:sz w:val="20"/>
          <w:szCs w:val="20"/>
          <w:color w:val="auto"/>
        </w:rPr>
        <w:tab/>
      </w:r>
      <w:r>
        <w:rPr>
          <w:rFonts w:ascii="Arial" w:cs="Arial" w:eastAsia="Arial" w:hAnsi="Arial"/>
          <w:sz w:val="16"/>
          <w:szCs w:val="16"/>
          <w:color w:val="auto"/>
        </w:rPr>
        <w:t>compensation, provided in the form of</w:t>
      </w:r>
    </w:p>
    <w:p>
      <w:pPr>
        <w:spacing w:after="0" w:line="5" w:lineRule="exact"/>
        <w:rPr>
          <w:sz w:val="20"/>
          <w:szCs w:val="20"/>
          <w:color w:val="auto"/>
        </w:rPr>
      </w:pPr>
    </w:p>
    <w:p>
      <w:pPr>
        <w:ind w:left="1320"/>
        <w:spacing w:after="0" w:line="251" w:lineRule="auto"/>
        <w:rPr>
          <w:sz w:val="20"/>
          <w:szCs w:val="20"/>
          <w:color w:val="auto"/>
        </w:rPr>
      </w:pPr>
      <w:r>
        <w:rPr>
          <w:rFonts w:ascii="Arial" w:cs="Arial" w:eastAsia="Arial" w:hAnsi="Arial"/>
          <w:sz w:val="16"/>
          <w:szCs w:val="16"/>
          <w:color w:val="auto"/>
        </w:rPr>
        <w:t>performance share awards (payable based on achievement of three-year cumulative financial goals) and stock options, which vest annually over three years.</w:t>
      </w:r>
    </w:p>
    <w:p>
      <w:pPr>
        <w:spacing w:after="0" w:line="20" w:lineRule="exact"/>
        <w:rPr>
          <w:sz w:val="20"/>
          <w:szCs w:val="20"/>
          <w:color w:val="auto"/>
        </w:rPr>
      </w:pPr>
      <w:r>
        <w:rPr>
          <w:sz w:val="20"/>
          <w:szCs w:val="20"/>
          <w:color w:val="auto"/>
        </w:rPr>
        <w:br w:type="column"/>
      </w:r>
    </w:p>
    <w:p>
      <w:pPr>
        <w:spacing w:after="0" w:line="251" w:lineRule="auto"/>
        <w:rPr>
          <w:sz w:val="20"/>
          <w:szCs w:val="20"/>
          <w:color w:val="auto"/>
        </w:rPr>
      </w:pPr>
      <w:r>
        <w:rPr>
          <w:rFonts w:ascii="Arial" w:cs="Arial" w:eastAsia="Arial" w:hAnsi="Arial"/>
          <w:sz w:val="16"/>
          <w:szCs w:val="16"/>
          <w:color w:val="auto"/>
        </w:rPr>
        <w:t>Align the interests of our executive officers with our shareholders; encourage focus on long-term company financial performance measures that are deemed strategically and operationally important to our Company; promote retention of our executive officers; and encourage significant ownership of our common stock.</w:t>
      </w:r>
    </w:p>
    <w:p>
      <w:pPr>
        <w:spacing w:after="0" w:line="20" w:lineRule="exact"/>
        <w:rPr>
          <w:sz w:val="20"/>
          <w:szCs w:val="20"/>
          <w:color w:val="auto"/>
        </w:rPr>
      </w:pPr>
      <w:r>
        <w:rPr>
          <w:sz w:val="20"/>
          <w:szCs w:val="20"/>
          <w:color w:val="auto"/>
        </w:rPr>
        <w:br w:type="column"/>
      </w:r>
    </w:p>
    <w:p>
      <w:pPr>
        <w:ind w:right="480"/>
        <w:spacing w:after="0" w:line="285" w:lineRule="auto"/>
        <w:rPr>
          <w:sz w:val="20"/>
          <w:szCs w:val="20"/>
          <w:color w:val="auto"/>
        </w:rPr>
      </w:pPr>
      <w:r>
        <w:rPr>
          <w:rFonts w:ascii="Arial" w:cs="Arial" w:eastAsia="Arial" w:hAnsi="Arial"/>
          <w:sz w:val="16"/>
          <w:szCs w:val="16"/>
          <w:color w:val="auto"/>
        </w:rPr>
        <w:t>All of our NEOs were granted performance share awards and stock options.</w:t>
      </w:r>
    </w:p>
    <w:p>
      <w:pPr>
        <w:spacing w:after="0" w:line="1295" w:lineRule="exact"/>
        <w:rPr>
          <w:sz w:val="20"/>
          <w:szCs w:val="20"/>
          <w:color w:val="auto"/>
        </w:rPr>
      </w:pPr>
    </w:p>
    <w:p>
      <w:pPr>
        <w:sectPr>
          <w:pgSz w:w="11900" w:h="16838" w:orient="portrait"/>
          <w:cols w:equalWidth="0" w:num="3">
            <w:col w:w="4100" w:space="80"/>
            <w:col w:w="2960" w:space="120"/>
            <w:col w:w="398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1260" w:type="dxa"/>
            <w:vAlign w:val="bottom"/>
            <w:shd w:val="clear" w:color="auto" w:fill="D9D9D9"/>
          </w:tcPr>
          <w:p>
            <w:pPr>
              <w:ind w:left="40"/>
              <w:spacing w:after="0"/>
              <w:rPr>
                <w:sz w:val="20"/>
                <w:szCs w:val="20"/>
                <w:color w:val="auto"/>
              </w:rPr>
            </w:pPr>
            <w:r>
              <w:rPr>
                <w:rFonts w:ascii="Arial" w:cs="Arial" w:eastAsia="Arial" w:hAnsi="Arial"/>
                <w:sz w:val="16"/>
                <w:szCs w:val="16"/>
                <w:color w:val="auto"/>
              </w:rPr>
              <w:t>Health and</w:t>
            </w:r>
          </w:p>
        </w:tc>
        <w:tc>
          <w:tcPr>
            <w:tcW w:w="5840" w:type="dxa"/>
            <w:vAlign w:val="bottom"/>
            <w:shd w:val="clear" w:color="auto" w:fill="D9D9D9"/>
          </w:tcPr>
          <w:p>
            <w:pPr>
              <w:ind w:left="60"/>
              <w:spacing w:after="0"/>
              <w:rPr>
                <w:sz w:val="20"/>
                <w:szCs w:val="20"/>
                <w:color w:val="auto"/>
              </w:rPr>
            </w:pPr>
            <w:r>
              <w:rPr>
                <w:rFonts w:ascii="Arial" w:cs="Arial" w:eastAsia="Arial" w:hAnsi="Arial"/>
                <w:sz w:val="16"/>
                <w:szCs w:val="16"/>
                <w:color w:val="auto"/>
              </w:rPr>
              <w:t>Includes medical and dental insurance, Provide competitive health and welfare</w:t>
            </w:r>
          </w:p>
        </w:tc>
        <w:tc>
          <w:tcPr>
            <w:tcW w:w="4140" w:type="dxa"/>
            <w:vAlign w:val="bottom"/>
            <w:shd w:val="clear" w:color="auto" w:fill="D9D9D9"/>
          </w:tcPr>
          <w:p>
            <w:pPr>
              <w:ind w:left="160"/>
              <w:spacing w:after="0"/>
              <w:rPr>
                <w:sz w:val="20"/>
                <w:szCs w:val="20"/>
                <w:color w:val="auto"/>
              </w:rPr>
            </w:pPr>
            <w:r>
              <w:rPr>
                <w:rFonts w:ascii="Arial" w:cs="Arial" w:eastAsia="Arial" w:hAnsi="Arial"/>
                <w:sz w:val="16"/>
                <w:szCs w:val="16"/>
                <w:color w:val="auto"/>
              </w:rPr>
              <w:t>No significant changes were made to our health and</w:t>
            </w:r>
          </w:p>
        </w:tc>
      </w:tr>
      <w:tr>
        <w:trPr>
          <w:trHeight w:val="203"/>
        </w:trPr>
        <w:tc>
          <w:tcPr>
            <w:tcW w:w="1260" w:type="dxa"/>
            <w:vAlign w:val="bottom"/>
            <w:shd w:val="clear" w:color="auto" w:fill="D9D9D9"/>
          </w:tcPr>
          <w:p>
            <w:pPr>
              <w:ind w:left="40"/>
              <w:spacing w:after="0"/>
              <w:rPr>
                <w:sz w:val="20"/>
                <w:szCs w:val="20"/>
                <w:color w:val="auto"/>
              </w:rPr>
            </w:pPr>
            <w:r>
              <w:rPr>
                <w:rFonts w:ascii="Arial" w:cs="Arial" w:eastAsia="Arial" w:hAnsi="Arial"/>
                <w:sz w:val="16"/>
                <w:szCs w:val="16"/>
                <w:color w:val="auto"/>
              </w:rPr>
              <w:t>Welfare Benefits</w:t>
            </w:r>
          </w:p>
        </w:tc>
        <w:tc>
          <w:tcPr>
            <w:tcW w:w="5840" w:type="dxa"/>
            <w:vAlign w:val="bottom"/>
            <w:shd w:val="clear" w:color="auto" w:fill="D9D9D9"/>
          </w:tcPr>
          <w:p>
            <w:pPr>
              <w:ind w:left="60"/>
              <w:spacing w:after="0"/>
              <w:rPr>
                <w:sz w:val="20"/>
                <w:szCs w:val="20"/>
                <w:color w:val="auto"/>
              </w:rPr>
            </w:pPr>
            <w:r>
              <w:rPr>
                <w:rFonts w:ascii="Arial" w:cs="Arial" w:eastAsia="Arial" w:hAnsi="Arial"/>
                <w:sz w:val="16"/>
                <w:szCs w:val="16"/>
                <w:color w:val="auto"/>
              </w:rPr>
              <w:t>life and disability insurance and certain benefits.</w:t>
            </w:r>
          </w:p>
        </w:tc>
        <w:tc>
          <w:tcPr>
            <w:tcW w:w="4140" w:type="dxa"/>
            <w:vAlign w:val="bottom"/>
            <w:shd w:val="clear" w:color="auto" w:fill="D9D9D9"/>
          </w:tcPr>
          <w:p>
            <w:pPr>
              <w:ind w:left="160"/>
              <w:spacing w:after="0"/>
              <w:rPr>
                <w:sz w:val="20"/>
                <w:szCs w:val="20"/>
                <w:color w:val="auto"/>
              </w:rPr>
            </w:pPr>
            <w:r>
              <w:rPr>
                <w:rFonts w:ascii="Arial" w:cs="Arial" w:eastAsia="Arial" w:hAnsi="Arial"/>
                <w:sz w:val="16"/>
                <w:szCs w:val="16"/>
                <w:color w:val="auto"/>
              </w:rPr>
              <w:t>welfare benefits.</w:t>
            </w:r>
          </w:p>
        </w:tc>
      </w:tr>
      <w:tr>
        <w:trPr>
          <w:trHeight w:val="230"/>
        </w:trPr>
        <w:tc>
          <w:tcPr>
            <w:tcW w:w="1260" w:type="dxa"/>
            <w:vAlign w:val="bottom"/>
            <w:shd w:val="clear" w:color="auto" w:fill="D9D9D9"/>
          </w:tcPr>
          <w:p>
            <w:pPr>
              <w:spacing w:after="0"/>
              <w:rPr>
                <w:sz w:val="20"/>
                <w:szCs w:val="20"/>
                <w:color w:val="auto"/>
              </w:rPr>
            </w:pPr>
          </w:p>
        </w:tc>
        <w:tc>
          <w:tcPr>
            <w:tcW w:w="5840" w:type="dxa"/>
            <w:vAlign w:val="bottom"/>
            <w:shd w:val="clear" w:color="auto" w:fill="D9D9D9"/>
          </w:tcPr>
          <w:p>
            <w:pPr>
              <w:ind w:left="60"/>
              <w:spacing w:after="0"/>
              <w:rPr>
                <w:sz w:val="20"/>
                <w:szCs w:val="20"/>
                <w:color w:val="auto"/>
              </w:rPr>
            </w:pPr>
            <w:r>
              <w:rPr>
                <w:rFonts w:ascii="Arial" w:cs="Arial" w:eastAsia="Arial" w:hAnsi="Arial"/>
                <w:sz w:val="16"/>
                <w:szCs w:val="16"/>
                <w:color w:val="auto"/>
              </w:rPr>
              <w:t>voluntary benefits.</w:t>
            </w:r>
          </w:p>
        </w:tc>
        <w:tc>
          <w:tcPr>
            <w:tcW w:w="4140" w:type="dxa"/>
            <w:vAlign w:val="bottom"/>
            <w:shd w:val="clear" w:color="auto" w:fill="D9D9D9"/>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240"/>
          </w:cols>
          <w:pgMar w:left="320" w:top="122" w:right="339" w:bottom="1440" w:gutter="0" w:footer="0" w:header="0"/>
          <w:type w:val="continuous"/>
        </w:sectPr>
      </w:pPr>
    </w:p>
    <w:p>
      <w:pPr>
        <w:ind w:left="40"/>
        <w:spacing w:after="0"/>
        <w:tabs>
          <w:tab w:leader="none" w:pos="1300" w:val="left"/>
        </w:tabs>
        <w:rPr>
          <w:sz w:val="20"/>
          <w:szCs w:val="20"/>
          <w:color w:val="auto"/>
        </w:rPr>
      </w:pPr>
      <w:r>
        <w:rPr>
          <w:rFonts w:ascii="Arial" w:cs="Arial" w:eastAsia="Arial" w:hAnsi="Arial"/>
          <w:sz w:val="16"/>
          <w:szCs w:val="16"/>
          <w:color w:val="auto"/>
        </w:rPr>
        <w:t>Retirement</w:t>
      </w:r>
      <w:r>
        <w:rPr>
          <w:sz w:val="20"/>
          <w:szCs w:val="20"/>
          <w:color w:val="auto"/>
        </w:rPr>
        <w:tab/>
      </w:r>
      <w:r>
        <w:rPr>
          <w:rFonts w:ascii="Arial" w:cs="Arial" w:eastAsia="Arial" w:hAnsi="Arial"/>
          <w:sz w:val="16"/>
          <w:szCs w:val="16"/>
          <w:color w:val="auto"/>
        </w:rPr>
        <w:t>Includes a defined contribution</w:t>
      </w:r>
    </w:p>
    <w:p>
      <w:pPr>
        <w:spacing w:after="0" w:line="20" w:lineRule="exact"/>
        <w:rPr>
          <w:sz w:val="20"/>
          <w:szCs w:val="20"/>
          <w:color w:val="auto"/>
        </w:rPr>
      </w:pPr>
    </w:p>
    <w:p>
      <w:pPr>
        <w:ind w:left="40"/>
        <w:spacing w:after="0"/>
        <w:tabs>
          <w:tab w:leader="none" w:pos="1300" w:val="left"/>
        </w:tabs>
        <w:rPr>
          <w:sz w:val="20"/>
          <w:szCs w:val="20"/>
          <w:color w:val="auto"/>
        </w:rPr>
      </w:pPr>
      <w:r>
        <w:rPr>
          <w:rFonts w:ascii="Arial" w:cs="Arial" w:eastAsia="Arial" w:hAnsi="Arial"/>
          <w:sz w:val="16"/>
          <w:szCs w:val="16"/>
          <w:color w:val="auto"/>
        </w:rPr>
        <w:t>Plans</w:t>
      </w:r>
      <w:r>
        <w:rPr>
          <w:sz w:val="20"/>
          <w:szCs w:val="20"/>
          <w:color w:val="auto"/>
        </w:rPr>
        <w:tab/>
      </w:r>
      <w:r>
        <w:rPr>
          <w:rFonts w:ascii="Arial" w:cs="Arial" w:eastAsia="Arial" w:hAnsi="Arial"/>
          <w:sz w:val="16"/>
          <w:szCs w:val="16"/>
          <w:color w:val="auto"/>
        </w:rPr>
        <w:t>retirement plan and certain</w:t>
      </w:r>
    </w:p>
    <w:p>
      <w:pPr>
        <w:spacing w:after="0" w:line="5"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nonqualified retirement plans.</w:t>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Arial" w:cs="Arial" w:eastAsia="Arial" w:hAnsi="Arial"/>
          <w:sz w:val="16"/>
          <w:szCs w:val="16"/>
          <w:color w:val="auto"/>
        </w:rPr>
        <w:t>Provide an opportunity for employees to save and prepare financially for retirement.</w:t>
      </w:r>
    </w:p>
    <w:p>
      <w:pPr>
        <w:spacing w:after="0" w:line="20" w:lineRule="exact"/>
        <w:rPr>
          <w:sz w:val="20"/>
          <w:szCs w:val="20"/>
          <w:color w:val="auto"/>
        </w:rPr>
      </w:pPr>
      <w:r>
        <w:rPr>
          <w:sz w:val="20"/>
          <w:szCs w:val="20"/>
          <w:color w:val="auto"/>
        </w:rPr>
        <w:br w:type="column"/>
      </w:r>
    </w:p>
    <w:p>
      <w:pPr>
        <w:ind w:right="280"/>
        <w:spacing w:after="0" w:line="285" w:lineRule="auto"/>
        <w:rPr>
          <w:sz w:val="20"/>
          <w:szCs w:val="20"/>
          <w:color w:val="auto"/>
        </w:rPr>
      </w:pPr>
      <w:r>
        <w:rPr>
          <w:rFonts w:ascii="Arial" w:cs="Arial" w:eastAsia="Arial" w:hAnsi="Arial"/>
          <w:sz w:val="16"/>
          <w:szCs w:val="16"/>
          <w:color w:val="auto"/>
        </w:rPr>
        <w:t>No significant changes were made to our retirement plans.</w:t>
      </w:r>
    </w:p>
    <w:p>
      <w:pPr>
        <w:spacing w:after="0" w:line="169" w:lineRule="exact"/>
        <w:rPr>
          <w:sz w:val="20"/>
          <w:szCs w:val="20"/>
          <w:color w:val="auto"/>
        </w:rPr>
      </w:pPr>
    </w:p>
    <w:p>
      <w:pPr>
        <w:sectPr>
          <w:pgSz w:w="11900" w:h="16838" w:orient="portrait"/>
          <w:cols w:equalWidth="0" w:num="3">
            <w:col w:w="3520" w:space="660"/>
            <w:col w:w="2860" w:space="220"/>
            <w:col w:w="3980"/>
          </w:cols>
          <w:pgMar w:left="320" w:top="122" w:right="339" w:bottom="1440" w:gutter="0" w:footer="0" w:header="0"/>
          <w:type w:val="continuous"/>
        </w:sectPr>
      </w:pPr>
    </w:p>
    <w:p>
      <w:pPr>
        <w:ind w:left="40"/>
        <w:spacing w:after="0"/>
        <w:tabs>
          <w:tab w:leader="none" w:pos="1300" w:val="left"/>
          <w:tab w:leader="none" w:pos="4160" w:val="left"/>
          <w:tab w:leader="none" w:pos="7240" w:val="left"/>
        </w:tabs>
        <w:rPr>
          <w:sz w:val="20"/>
          <w:szCs w:val="20"/>
          <w:color w:val="auto"/>
        </w:rPr>
      </w:pPr>
      <w:r>
        <w:rPr>
          <w:rFonts w:ascii="Arial" w:cs="Arial" w:eastAsia="Arial" w:hAnsi="Arial"/>
          <w:sz w:val="16"/>
          <w:szCs w:val="16"/>
          <w:color w:val="auto"/>
        </w:rPr>
        <w:t>Perquisites</w:t>
      </w:r>
      <w:r>
        <w:rPr>
          <w:sz w:val="20"/>
          <w:szCs w:val="20"/>
          <w:color w:val="auto"/>
        </w:rPr>
        <w:tab/>
      </w:r>
      <w:r>
        <w:rPr>
          <w:rFonts w:ascii="Arial" w:cs="Arial" w:eastAsia="Arial" w:hAnsi="Arial"/>
          <w:sz w:val="16"/>
          <w:szCs w:val="16"/>
          <w:color w:val="auto"/>
        </w:rPr>
        <w:t>Includes a financial planning</w:t>
      </w:r>
      <w:r>
        <w:rPr>
          <w:sz w:val="20"/>
          <w:szCs w:val="20"/>
          <w:color w:val="auto"/>
        </w:rPr>
        <w:tab/>
      </w:r>
      <w:r>
        <w:rPr>
          <w:rFonts w:ascii="Arial" w:cs="Arial" w:eastAsia="Arial" w:hAnsi="Arial"/>
          <w:sz w:val="16"/>
          <w:szCs w:val="16"/>
          <w:color w:val="auto"/>
        </w:rPr>
        <w:t>Assist in promoting the personal financial</w:t>
        <w:tab/>
        <w:t>No significant changes were made to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655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65505"/>
                    </a:xfrm>
                    <a:prstGeom prst="rect">
                      <a:avLst/>
                    </a:prstGeom>
                    <a:noFill/>
                  </pic:spPr>
                </pic:pic>
              </a:graphicData>
            </a:graphic>
          </wp:anchor>
        </w:drawing>
      </w:r>
    </w:p>
    <w:p>
      <w:pPr>
        <w:spacing w:after="0" w:line="1" w:lineRule="exact"/>
        <w:rPr>
          <w:sz w:val="20"/>
          <w:szCs w:val="20"/>
          <w:color w:val="auto"/>
        </w:rPr>
      </w:pPr>
    </w:p>
    <w:p>
      <w:pPr>
        <w:ind w:left="1320"/>
        <w:spacing w:after="0"/>
        <w:tabs>
          <w:tab w:leader="none" w:pos="4160" w:val="left"/>
        </w:tabs>
        <w:rPr>
          <w:sz w:val="20"/>
          <w:szCs w:val="20"/>
          <w:color w:val="auto"/>
        </w:rPr>
      </w:pPr>
      <w:r>
        <w:rPr>
          <w:rFonts w:ascii="Arial" w:cs="Arial" w:eastAsia="Arial" w:hAnsi="Arial"/>
          <w:sz w:val="16"/>
          <w:szCs w:val="16"/>
          <w:color w:val="auto"/>
        </w:rPr>
        <w:t>allowance, Company products,</w:t>
      </w:r>
      <w:r>
        <w:rPr>
          <w:sz w:val="20"/>
          <w:szCs w:val="20"/>
          <w:color w:val="auto"/>
        </w:rPr>
        <w:tab/>
      </w:r>
      <w:r>
        <w:rPr>
          <w:rFonts w:ascii="Arial" w:cs="Arial" w:eastAsia="Arial" w:hAnsi="Arial"/>
          <w:sz w:val="16"/>
          <w:szCs w:val="16"/>
          <w:color w:val="auto"/>
        </w:rPr>
        <w:t>security of our executive officers; promote</w:t>
      </w:r>
    </w:p>
    <w:p>
      <w:pPr>
        <w:spacing w:after="0" w:line="5"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company-leased automobile, executive personal use of our products by our</w:t>
      </w:r>
    </w:p>
    <w:p>
      <w:pPr>
        <w:spacing w:after="0" w:line="5" w:lineRule="exact"/>
        <w:rPr>
          <w:sz w:val="20"/>
          <w:szCs w:val="20"/>
          <w:color w:val="auto"/>
        </w:rPr>
      </w:pPr>
    </w:p>
    <w:p>
      <w:pPr>
        <w:ind w:left="1320"/>
        <w:spacing w:after="0"/>
        <w:tabs>
          <w:tab w:leader="none" w:pos="4160" w:val="left"/>
        </w:tabs>
        <w:rPr>
          <w:sz w:val="20"/>
          <w:szCs w:val="20"/>
          <w:color w:val="auto"/>
        </w:rPr>
      </w:pPr>
      <w:r>
        <w:rPr>
          <w:rFonts w:ascii="Arial" w:cs="Arial" w:eastAsia="Arial" w:hAnsi="Arial"/>
          <w:sz w:val="16"/>
          <w:szCs w:val="16"/>
          <w:color w:val="auto"/>
        </w:rPr>
        <w:t>physical and certain travel costs for</w:t>
      </w:r>
      <w:r>
        <w:rPr>
          <w:sz w:val="20"/>
          <w:szCs w:val="20"/>
          <w:color w:val="auto"/>
        </w:rPr>
        <w:tab/>
      </w:r>
      <w:r>
        <w:rPr>
          <w:rFonts w:ascii="Arial" w:cs="Arial" w:eastAsia="Arial" w:hAnsi="Arial"/>
          <w:sz w:val="16"/>
          <w:szCs w:val="16"/>
          <w:color w:val="auto"/>
        </w:rPr>
        <w:t>executive officers and the attraction,</w:t>
      </w:r>
    </w:p>
    <w:p>
      <w:pPr>
        <w:spacing w:after="0" w:line="5"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spouses in connection with certain off-  retention and wellbeing of our executive</w:t>
      </w:r>
    </w:p>
    <w:p>
      <w:pPr>
        <w:spacing w:after="0" w:line="5"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site business related meetings in which officers.</w:t>
      </w:r>
    </w:p>
    <w:p>
      <w:pPr>
        <w:spacing w:after="0" w:line="5"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it is appropriate for a spouse to attend.</w:t>
      </w:r>
    </w:p>
    <w:p>
      <w:pPr>
        <w:spacing w:after="0" w:line="119" w:lineRule="exact"/>
        <w:rPr>
          <w:sz w:val="20"/>
          <w:szCs w:val="20"/>
          <w:color w:val="auto"/>
        </w:rPr>
      </w:pPr>
    </w:p>
    <w:p>
      <w:pPr>
        <w:ind w:right="280" w:firstLine="401"/>
        <w:spacing w:after="0" w:line="301" w:lineRule="auto"/>
        <w:rPr>
          <w:sz w:val="20"/>
          <w:szCs w:val="20"/>
          <w:color w:val="auto"/>
        </w:rPr>
      </w:pPr>
      <w:r>
        <w:rPr>
          <w:rFonts w:ascii="Arial" w:cs="Arial" w:eastAsia="Arial" w:hAnsi="Arial"/>
          <w:sz w:val="17"/>
          <w:szCs w:val="17"/>
          <w:color w:val="auto"/>
        </w:rPr>
        <w:t>In addition to the elements described above, Mr. Carpenter, our Vice President, Global Operations and Integrated Supply Chain, who commenced employment with us on November 30, 2021 received the following new hire compensation elements, as described below.</w:t>
      </w:r>
    </w:p>
    <w:p>
      <w:pPr>
        <w:spacing w:after="0" w:line="131" w:lineRule="exact"/>
        <w:rPr>
          <w:sz w:val="20"/>
          <w:szCs w:val="20"/>
          <w:color w:val="auto"/>
        </w:rPr>
      </w:pPr>
    </w:p>
    <w:p>
      <w:pPr>
        <w:ind w:left="1200" w:right="300" w:hanging="396"/>
        <w:spacing w:after="0" w:line="270" w:lineRule="auto"/>
        <w:tabs>
          <w:tab w:leader="none" w:pos="120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A cash sign-on bonus of $450,000 was provided to help offset forfeited compensation from his previous employer; this was subject to repayment if Mr. Carpenter left prior to his one-year anniversary of November 30, 2022;</w:t>
      </w:r>
    </w:p>
    <w:p>
      <w:pPr>
        <w:spacing w:after="0" w:line="46" w:lineRule="exact"/>
        <w:rPr>
          <w:rFonts w:ascii="Times New Roman" w:cs="Times New Roman" w:eastAsia="Times New Roman" w:hAnsi="Times New Roman"/>
          <w:sz w:val="18"/>
          <w:szCs w:val="18"/>
          <w:color w:val="auto"/>
        </w:rPr>
      </w:pPr>
    </w:p>
    <w:p>
      <w:pPr>
        <w:ind w:left="1200" w:right="20" w:hanging="396"/>
        <w:spacing w:after="0" w:line="252" w:lineRule="auto"/>
        <w:tabs>
          <w:tab w:leader="none" w:pos="120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A one-time RSU award of 17,402 shares, valued at $1.75 million, was granted to help offset forfeited equity value from his previous employer; these RSUs vest in three approximately equal installments on the first, second and third anniversary of the date of grant; and</w:t>
      </w:r>
    </w:p>
    <w:p>
      <w:pPr>
        <w:spacing w:after="0" w:line="62" w:lineRule="exact"/>
        <w:rPr>
          <w:rFonts w:ascii="Times New Roman" w:cs="Times New Roman" w:eastAsia="Times New Roman" w:hAnsi="Times New Roman"/>
          <w:sz w:val="18"/>
          <w:szCs w:val="18"/>
          <w:color w:val="auto"/>
        </w:rPr>
      </w:pPr>
    </w:p>
    <w:p>
      <w:pPr>
        <w:ind w:left="1200" w:right="280" w:hanging="396"/>
        <w:spacing w:after="0" w:line="270" w:lineRule="auto"/>
        <w:tabs>
          <w:tab w:leader="none" w:pos="120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Certain relocation benefits, in line with our standard relocation policy, were provided including temporary living, shipment of household goods and automobile and home closing costs.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Base Salary</w:t>
      </w:r>
    </w:p>
    <w:p>
      <w:pPr>
        <w:spacing w:after="0" w:line="104" w:lineRule="exact"/>
        <w:rPr>
          <w:sz w:val="20"/>
          <w:szCs w:val="20"/>
          <w:color w:val="auto"/>
        </w:rPr>
      </w:pPr>
    </w:p>
    <w:p>
      <w:pPr>
        <w:ind w:right="220" w:firstLine="401"/>
        <w:spacing w:after="0" w:line="24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set base salaries for new executive officers at the time of hire and review base salaries for our executive officers on an</w:t>
      </w:r>
      <w:r>
        <w:rPr>
          <w:rFonts w:ascii="Arial" w:cs="Arial" w:eastAsia="Arial" w:hAnsi="Arial"/>
          <w:sz w:val="18"/>
          <w:szCs w:val="18"/>
          <w:i w:val="1"/>
          <w:iCs w:val="1"/>
          <w:color w:val="auto"/>
        </w:rPr>
        <w:t xml:space="preserve"> </w:t>
      </w:r>
      <w:r>
        <w:rPr>
          <w:rFonts w:ascii="Arial" w:cs="Arial" w:eastAsia="Arial" w:hAnsi="Arial"/>
          <w:sz w:val="18"/>
          <w:szCs w:val="18"/>
          <w:color w:val="auto"/>
        </w:rPr>
        <w:t>annual basis to ensure they remain market competitive and reflect the scope and responsibility of their positions. Base salaries for our executive officers are reviewed and discussed at the regular meeting of the Compensation &amp; Human Resources Committee held in December of each year and are effective the following March 1st. We also review base salaries upon a significant change in an executive officer’s responsibilities or role.</w:t>
      </w:r>
    </w:p>
    <w:p>
      <w:pPr>
        <w:spacing w:after="0" w:line="68" w:lineRule="exact"/>
        <w:rPr>
          <w:sz w:val="20"/>
          <w:szCs w:val="20"/>
          <w:color w:val="auto"/>
        </w:rPr>
      </w:pPr>
    </w:p>
    <w:p>
      <w:pPr>
        <w:ind w:right="160" w:firstLine="401"/>
        <w:spacing w:after="0"/>
        <w:rPr>
          <w:sz w:val="20"/>
          <w:szCs w:val="20"/>
          <w:color w:val="auto"/>
        </w:rPr>
      </w:pPr>
      <w:r>
        <w:rPr>
          <w:rFonts w:ascii="Arial" w:cs="Arial" w:eastAsia="Arial" w:hAnsi="Arial"/>
          <w:sz w:val="18"/>
          <w:szCs w:val="18"/>
          <w:i w:val="1"/>
          <w:iCs w:val="1"/>
          <w:color w:val="auto"/>
        </w:rPr>
        <w:t xml:space="preserve">Discussion and Analysis. </w:t>
      </w:r>
      <w:r>
        <w:rPr>
          <w:rFonts w:ascii="Arial" w:cs="Arial" w:eastAsia="Arial" w:hAnsi="Arial"/>
          <w:sz w:val="18"/>
          <w:szCs w:val="18"/>
          <w:color w:val="auto"/>
        </w:rPr>
        <w:t>We take into consideration the following factors in setting or reviewing base salaries for our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current base salary; positioning relative to competitive market data; scope and complexity of the position; experience; tenure; historical and current levels of function, division and individual performance; future potential; and internal pay comparisons. Mr. Carpenter commenced employment on November 30, 2021 and in determining his base salary we considered published market survey data and available public companies’ disclosure of comparable positions, as well as Mr. Carpenter’s previous experience and base salary in effect at the time the employment offer was extended. The fiscal 2022 base salaries and any percent increase over the fiscal 2021 base salaries are provided in the table below.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060" w:type="dxa"/>
            <w:vAlign w:val="bottom"/>
            <w:shd w:val="clear" w:color="auto" w:fill="C00000"/>
          </w:tcPr>
          <w:p>
            <w:pPr>
              <w:spacing w:after="0"/>
              <w:rPr>
                <w:sz w:val="14"/>
                <w:szCs w:val="14"/>
                <w:color w:val="auto"/>
              </w:rPr>
            </w:pPr>
          </w:p>
        </w:tc>
        <w:tc>
          <w:tcPr>
            <w:tcW w:w="4960" w:type="dxa"/>
            <w:vAlign w:val="bottom"/>
            <w:shd w:val="clear" w:color="auto" w:fill="C00000"/>
          </w:tcPr>
          <w:p>
            <w:pPr>
              <w:spacing w:after="0"/>
              <w:rPr>
                <w:sz w:val="14"/>
                <w:szCs w:val="14"/>
                <w:color w:val="auto"/>
              </w:rPr>
            </w:pPr>
          </w:p>
        </w:tc>
        <w:tc>
          <w:tcPr>
            <w:tcW w:w="32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Percent Increase over Previous Base</w:t>
            </w:r>
          </w:p>
        </w:tc>
      </w:tr>
      <w:tr>
        <w:trPr>
          <w:trHeight w:val="162"/>
        </w:trPr>
        <w:tc>
          <w:tcPr>
            <w:tcW w:w="3060" w:type="dxa"/>
            <w:vAlign w:val="bottom"/>
            <w:shd w:val="clear" w:color="auto" w:fill="C00000"/>
          </w:tcPr>
          <w:p>
            <w:pPr>
              <w:spacing w:after="0"/>
              <w:rPr>
                <w:sz w:val="14"/>
                <w:szCs w:val="14"/>
                <w:color w:val="auto"/>
              </w:rPr>
            </w:pPr>
          </w:p>
        </w:tc>
        <w:tc>
          <w:tcPr>
            <w:tcW w:w="4960" w:type="dxa"/>
            <w:vAlign w:val="bottom"/>
            <w:shd w:val="clear" w:color="auto" w:fill="C00000"/>
          </w:tcPr>
          <w:p>
            <w:pPr>
              <w:jc w:val="right"/>
              <w:ind w:right="302"/>
              <w:spacing w:after="0"/>
              <w:rPr>
                <w:sz w:val="20"/>
                <w:szCs w:val="20"/>
                <w:color w:val="auto"/>
              </w:rPr>
            </w:pPr>
            <w:r>
              <w:rPr>
                <w:rFonts w:ascii="Arial" w:cs="Arial" w:eastAsia="Arial" w:hAnsi="Arial"/>
                <w:sz w:val="14"/>
                <w:szCs w:val="14"/>
                <w:b w:val="1"/>
                <w:bCs w:val="1"/>
                <w:color w:val="FFFFFF"/>
              </w:rPr>
              <w:t>New Base Salary as of March 1, 2022</w:t>
            </w:r>
          </w:p>
        </w:tc>
        <w:tc>
          <w:tcPr>
            <w:tcW w:w="32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w w:val="99"/>
              </w:rPr>
              <w:t>Salary</w:t>
            </w:r>
          </w:p>
        </w:tc>
      </w:tr>
      <w:tr>
        <w:trPr>
          <w:trHeight w:val="171"/>
        </w:trPr>
        <w:tc>
          <w:tcPr>
            <w:tcW w:w="306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Name</w:t>
            </w:r>
          </w:p>
        </w:tc>
        <w:tc>
          <w:tcPr>
            <w:tcW w:w="4960" w:type="dxa"/>
            <w:vAlign w:val="bottom"/>
            <w:shd w:val="clear" w:color="auto" w:fill="C00000"/>
          </w:tcPr>
          <w:p>
            <w:pPr>
              <w:jc w:val="right"/>
              <w:ind w:right="1462"/>
              <w:spacing w:after="0"/>
              <w:rPr>
                <w:sz w:val="20"/>
                <w:szCs w:val="20"/>
                <w:color w:val="auto"/>
              </w:rPr>
            </w:pPr>
            <w:r>
              <w:rPr>
                <w:rFonts w:ascii="Arial" w:cs="Arial" w:eastAsia="Arial" w:hAnsi="Arial"/>
                <w:sz w:val="14"/>
                <w:szCs w:val="14"/>
                <w:b w:val="1"/>
                <w:bCs w:val="1"/>
                <w:color w:val="FFFFFF"/>
              </w:rPr>
              <w:t>($)</w:t>
            </w:r>
          </w:p>
        </w:tc>
        <w:tc>
          <w:tcPr>
            <w:tcW w:w="32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w:t>
            </w:r>
          </w:p>
        </w:tc>
      </w:tr>
      <w:tr>
        <w:trPr>
          <w:trHeight w:val="203"/>
        </w:trPr>
        <w:tc>
          <w:tcPr>
            <w:tcW w:w="3060" w:type="dxa"/>
            <w:vAlign w:val="bottom"/>
          </w:tcPr>
          <w:p>
            <w:pPr>
              <w:spacing w:after="0"/>
              <w:rPr>
                <w:sz w:val="20"/>
                <w:szCs w:val="20"/>
                <w:color w:val="auto"/>
              </w:rPr>
            </w:pPr>
            <w:r>
              <w:rPr>
                <w:rFonts w:ascii="Arial" w:cs="Arial" w:eastAsia="Arial" w:hAnsi="Arial"/>
                <w:sz w:val="16"/>
                <w:szCs w:val="16"/>
                <w:color w:val="auto"/>
              </w:rPr>
              <w:t>Mr. Olson</w:t>
            </w:r>
          </w:p>
        </w:tc>
        <w:tc>
          <w:tcPr>
            <w:tcW w:w="4960" w:type="dxa"/>
            <w:vAlign w:val="bottom"/>
          </w:tcPr>
          <w:p>
            <w:pPr>
              <w:jc w:val="right"/>
              <w:ind w:right="222"/>
              <w:spacing w:after="0"/>
              <w:rPr>
                <w:sz w:val="20"/>
                <w:szCs w:val="20"/>
                <w:color w:val="auto"/>
              </w:rPr>
            </w:pPr>
            <w:r>
              <w:rPr>
                <w:rFonts w:ascii="Arial" w:cs="Arial" w:eastAsia="Arial" w:hAnsi="Arial"/>
                <w:sz w:val="16"/>
                <w:szCs w:val="16"/>
                <w:color w:val="auto"/>
              </w:rPr>
              <w:t>1,100,000</w:t>
            </w:r>
          </w:p>
        </w:tc>
        <w:tc>
          <w:tcPr>
            <w:tcW w:w="3220" w:type="dxa"/>
            <w:vAlign w:val="bottom"/>
          </w:tcPr>
          <w:p>
            <w:pPr>
              <w:ind w:left="2860"/>
              <w:spacing w:after="0"/>
              <w:rPr>
                <w:sz w:val="20"/>
                <w:szCs w:val="20"/>
                <w:color w:val="auto"/>
              </w:rPr>
            </w:pPr>
            <w:r>
              <w:rPr>
                <w:rFonts w:ascii="Arial" w:cs="Arial" w:eastAsia="Arial" w:hAnsi="Arial"/>
                <w:sz w:val="16"/>
                <w:szCs w:val="16"/>
                <w:color w:val="auto"/>
              </w:rPr>
              <w:t>3.8</w:t>
            </w:r>
          </w:p>
        </w:tc>
      </w:tr>
      <w:tr>
        <w:trPr>
          <w:trHeight w:val="203"/>
        </w:trPr>
        <w:tc>
          <w:tcPr>
            <w:tcW w:w="3060" w:type="dxa"/>
            <w:vAlign w:val="bottom"/>
            <w:shd w:val="clear" w:color="auto" w:fill="D9D9D9"/>
          </w:tcPr>
          <w:p>
            <w:pPr>
              <w:spacing w:after="0"/>
              <w:rPr>
                <w:sz w:val="20"/>
                <w:szCs w:val="20"/>
                <w:color w:val="auto"/>
              </w:rPr>
            </w:pPr>
            <w:r>
              <w:rPr>
                <w:rFonts w:ascii="Arial" w:cs="Arial" w:eastAsia="Arial" w:hAnsi="Arial"/>
                <w:sz w:val="16"/>
                <w:szCs w:val="16"/>
                <w:color w:val="auto"/>
              </w:rPr>
              <w:t>Ms. Peterson</w:t>
            </w:r>
          </w:p>
        </w:tc>
        <w:tc>
          <w:tcPr>
            <w:tcW w:w="4960" w:type="dxa"/>
            <w:vAlign w:val="bottom"/>
            <w:shd w:val="clear" w:color="auto" w:fill="D9D9D9"/>
          </w:tcPr>
          <w:p>
            <w:pPr>
              <w:jc w:val="right"/>
              <w:ind w:right="222"/>
              <w:spacing w:after="0"/>
              <w:rPr>
                <w:sz w:val="20"/>
                <w:szCs w:val="20"/>
                <w:color w:val="auto"/>
              </w:rPr>
            </w:pPr>
            <w:r>
              <w:rPr>
                <w:rFonts w:ascii="Arial" w:cs="Arial" w:eastAsia="Arial" w:hAnsi="Arial"/>
                <w:sz w:val="16"/>
                <w:szCs w:val="16"/>
                <w:color w:val="auto"/>
              </w:rPr>
              <w:t>605,000</w:t>
            </w:r>
          </w:p>
        </w:tc>
        <w:tc>
          <w:tcPr>
            <w:tcW w:w="3220" w:type="dxa"/>
            <w:vAlign w:val="bottom"/>
            <w:shd w:val="clear" w:color="auto" w:fill="D9D9D9"/>
          </w:tcPr>
          <w:p>
            <w:pPr>
              <w:ind w:left="2860"/>
              <w:spacing w:after="0"/>
              <w:rPr>
                <w:sz w:val="20"/>
                <w:szCs w:val="20"/>
                <w:color w:val="auto"/>
              </w:rPr>
            </w:pPr>
            <w:r>
              <w:rPr>
                <w:rFonts w:ascii="Arial" w:cs="Arial" w:eastAsia="Arial" w:hAnsi="Arial"/>
                <w:sz w:val="16"/>
                <w:szCs w:val="16"/>
                <w:color w:val="auto"/>
              </w:rPr>
              <w:t>5.2</w:t>
            </w:r>
          </w:p>
        </w:tc>
      </w:tr>
      <w:tr>
        <w:trPr>
          <w:trHeight w:val="203"/>
        </w:trPr>
        <w:tc>
          <w:tcPr>
            <w:tcW w:w="3060" w:type="dxa"/>
            <w:vAlign w:val="bottom"/>
          </w:tcPr>
          <w:p>
            <w:pPr>
              <w:spacing w:after="0"/>
              <w:rPr>
                <w:sz w:val="20"/>
                <w:szCs w:val="20"/>
                <w:color w:val="auto"/>
              </w:rPr>
            </w:pPr>
            <w:r>
              <w:rPr>
                <w:rFonts w:ascii="Arial" w:cs="Arial" w:eastAsia="Arial" w:hAnsi="Arial"/>
                <w:sz w:val="16"/>
                <w:szCs w:val="16"/>
                <w:color w:val="auto"/>
              </w:rPr>
              <w:t>Mr. Carpenter</w:t>
            </w:r>
          </w:p>
        </w:tc>
        <w:tc>
          <w:tcPr>
            <w:tcW w:w="4960" w:type="dxa"/>
            <w:vAlign w:val="bottom"/>
          </w:tcPr>
          <w:p>
            <w:pPr>
              <w:jc w:val="right"/>
              <w:ind w:right="222"/>
              <w:spacing w:after="0"/>
              <w:rPr>
                <w:sz w:val="20"/>
                <w:szCs w:val="20"/>
                <w:color w:val="auto"/>
              </w:rPr>
            </w:pPr>
            <w:r>
              <w:rPr>
                <w:rFonts w:ascii="Arial" w:cs="Arial" w:eastAsia="Arial" w:hAnsi="Arial"/>
                <w:sz w:val="16"/>
                <w:szCs w:val="16"/>
                <w:color w:val="auto"/>
              </w:rPr>
              <w:t>460,000</w:t>
            </w:r>
          </w:p>
        </w:tc>
        <w:tc>
          <w:tcPr>
            <w:tcW w:w="3220" w:type="dxa"/>
            <w:vAlign w:val="bottom"/>
          </w:tcPr>
          <w:p>
            <w:pPr>
              <w:ind w:left="2860"/>
              <w:spacing w:after="0"/>
              <w:rPr>
                <w:sz w:val="20"/>
                <w:szCs w:val="20"/>
                <w:color w:val="auto"/>
              </w:rPr>
            </w:pPr>
            <w:r>
              <w:rPr>
                <w:rFonts w:ascii="Arial" w:cs="Arial" w:eastAsia="Arial" w:hAnsi="Arial"/>
                <w:sz w:val="16"/>
                <w:szCs w:val="16"/>
                <w:color w:val="auto"/>
              </w:rPr>
              <w:t>NA</w:t>
            </w:r>
          </w:p>
        </w:tc>
      </w:tr>
      <w:tr>
        <w:trPr>
          <w:trHeight w:val="203"/>
        </w:trPr>
        <w:tc>
          <w:tcPr>
            <w:tcW w:w="3060" w:type="dxa"/>
            <w:vAlign w:val="bottom"/>
            <w:shd w:val="clear" w:color="auto" w:fill="D9D9D9"/>
          </w:tcPr>
          <w:p>
            <w:pPr>
              <w:spacing w:after="0"/>
              <w:rPr>
                <w:sz w:val="20"/>
                <w:szCs w:val="20"/>
                <w:color w:val="auto"/>
              </w:rPr>
            </w:pPr>
            <w:r>
              <w:rPr>
                <w:rFonts w:ascii="Arial" w:cs="Arial" w:eastAsia="Arial" w:hAnsi="Arial"/>
                <w:sz w:val="16"/>
                <w:szCs w:val="16"/>
                <w:color w:val="auto"/>
              </w:rPr>
              <w:t>Mr. Rodier</w:t>
            </w:r>
          </w:p>
        </w:tc>
        <w:tc>
          <w:tcPr>
            <w:tcW w:w="4960" w:type="dxa"/>
            <w:vAlign w:val="bottom"/>
            <w:shd w:val="clear" w:color="auto" w:fill="D9D9D9"/>
          </w:tcPr>
          <w:p>
            <w:pPr>
              <w:jc w:val="right"/>
              <w:ind w:right="222"/>
              <w:spacing w:after="0"/>
              <w:rPr>
                <w:sz w:val="20"/>
                <w:szCs w:val="20"/>
                <w:color w:val="auto"/>
              </w:rPr>
            </w:pPr>
            <w:r>
              <w:rPr>
                <w:rFonts w:ascii="Arial" w:cs="Arial" w:eastAsia="Arial" w:hAnsi="Arial"/>
                <w:sz w:val="16"/>
                <w:szCs w:val="16"/>
                <w:color w:val="auto"/>
              </w:rPr>
              <w:t>543,000</w:t>
            </w:r>
          </w:p>
        </w:tc>
        <w:tc>
          <w:tcPr>
            <w:tcW w:w="3220" w:type="dxa"/>
            <w:vAlign w:val="bottom"/>
            <w:shd w:val="clear" w:color="auto" w:fill="D9D9D9"/>
          </w:tcPr>
          <w:p>
            <w:pPr>
              <w:ind w:left="2860"/>
              <w:spacing w:after="0"/>
              <w:rPr>
                <w:sz w:val="20"/>
                <w:szCs w:val="20"/>
                <w:color w:val="auto"/>
              </w:rPr>
            </w:pPr>
            <w:r>
              <w:rPr>
                <w:rFonts w:ascii="Arial" w:cs="Arial" w:eastAsia="Arial" w:hAnsi="Arial"/>
                <w:sz w:val="16"/>
                <w:szCs w:val="16"/>
                <w:color w:val="auto"/>
              </w:rPr>
              <w:t>3.4</w:t>
            </w:r>
          </w:p>
        </w:tc>
      </w:tr>
      <w:tr>
        <w:trPr>
          <w:trHeight w:val="215"/>
        </w:trPr>
        <w:tc>
          <w:tcPr>
            <w:tcW w:w="3060" w:type="dxa"/>
            <w:vAlign w:val="bottom"/>
          </w:tcPr>
          <w:p>
            <w:pPr>
              <w:spacing w:after="0"/>
              <w:rPr>
                <w:sz w:val="20"/>
                <w:szCs w:val="20"/>
                <w:color w:val="auto"/>
              </w:rPr>
            </w:pPr>
            <w:r>
              <w:rPr>
                <w:rFonts w:ascii="Arial" w:cs="Arial" w:eastAsia="Arial" w:hAnsi="Arial"/>
                <w:sz w:val="16"/>
                <w:szCs w:val="16"/>
                <w:color w:val="auto"/>
              </w:rPr>
              <w:t>Ms. Dahl</w:t>
            </w:r>
          </w:p>
        </w:tc>
        <w:tc>
          <w:tcPr>
            <w:tcW w:w="4960" w:type="dxa"/>
            <w:vAlign w:val="bottom"/>
          </w:tcPr>
          <w:p>
            <w:pPr>
              <w:jc w:val="right"/>
              <w:ind w:right="222"/>
              <w:spacing w:after="0"/>
              <w:rPr>
                <w:sz w:val="20"/>
                <w:szCs w:val="20"/>
                <w:color w:val="auto"/>
              </w:rPr>
            </w:pPr>
            <w:r>
              <w:rPr>
                <w:rFonts w:ascii="Arial" w:cs="Arial" w:eastAsia="Arial" w:hAnsi="Arial"/>
                <w:sz w:val="16"/>
                <w:szCs w:val="16"/>
                <w:color w:val="auto"/>
              </w:rPr>
              <w:t>510,000</w:t>
            </w:r>
          </w:p>
        </w:tc>
        <w:tc>
          <w:tcPr>
            <w:tcW w:w="3220" w:type="dxa"/>
            <w:vAlign w:val="bottom"/>
          </w:tcPr>
          <w:p>
            <w:pPr>
              <w:ind w:left="2860"/>
              <w:spacing w:after="0"/>
              <w:rPr>
                <w:sz w:val="20"/>
                <w:szCs w:val="20"/>
                <w:color w:val="auto"/>
              </w:rPr>
            </w:pPr>
            <w:r>
              <w:rPr>
                <w:rFonts w:ascii="Arial" w:cs="Arial" w:eastAsia="Arial" w:hAnsi="Arial"/>
                <w:sz w:val="16"/>
                <w:szCs w:val="16"/>
                <w:color w:val="auto"/>
              </w:rPr>
              <w:t>4.1</w:t>
            </w:r>
          </w:p>
        </w:tc>
      </w:tr>
    </w:tbl>
    <w:p>
      <w:pPr>
        <w:spacing w:after="0" w:line="7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base salaries of all of our NEOs are within 10% of the market 50</w:t>
      </w:r>
      <w:r>
        <w:rPr>
          <w:rFonts w:ascii="Arial" w:cs="Arial" w:eastAsia="Arial" w:hAnsi="Arial"/>
          <w:sz w:val="15"/>
          <w:szCs w:val="15"/>
          <w:color w:val="auto"/>
        </w:rPr>
        <w:t>th</w:t>
      </w:r>
      <w:r>
        <w:rPr>
          <w:rFonts w:ascii="Arial" w:cs="Arial" w:eastAsia="Arial" w:hAnsi="Arial"/>
          <w:sz w:val="18"/>
          <w:szCs w:val="18"/>
          <w:color w:val="auto"/>
        </w:rPr>
        <w:t xml:space="preserve"> percentile.</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Annual Cash Incentives</w:t>
      </w:r>
    </w:p>
    <w:p>
      <w:pPr>
        <w:spacing w:after="0" w:line="104" w:lineRule="exact"/>
        <w:rPr>
          <w:sz w:val="20"/>
          <w:szCs w:val="20"/>
          <w:color w:val="auto"/>
        </w:rPr>
      </w:pPr>
    </w:p>
    <w:p>
      <w:pPr>
        <w:ind w:right="240" w:firstLine="401"/>
        <w:spacing w:after="0" w:line="253"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To help ensure we meet our compensation program objective of linking pay to performance, we provide the opportunity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executive officers to earn an annual cash incentive, which is designed to motivate attainment and reward accomplishment of annual financial goals.</w:t>
      </w:r>
    </w:p>
    <w:p>
      <w:pPr>
        <w:spacing w:after="0" w:line="61" w:lineRule="exact"/>
        <w:rPr>
          <w:sz w:val="20"/>
          <w:szCs w:val="20"/>
          <w:color w:val="auto"/>
        </w:rPr>
      </w:pPr>
    </w:p>
    <w:p>
      <w:pPr>
        <w:ind w:right="220" w:firstLine="401"/>
        <w:spacing w:after="0" w:line="242" w:lineRule="auto"/>
        <w:rPr>
          <w:sz w:val="20"/>
          <w:szCs w:val="20"/>
          <w:color w:val="auto"/>
        </w:rPr>
      </w:pPr>
      <w:r>
        <w:rPr>
          <w:rFonts w:ascii="Arial" w:cs="Arial" w:eastAsia="Arial" w:hAnsi="Arial"/>
          <w:sz w:val="18"/>
          <w:szCs w:val="18"/>
          <w:color w:val="auto"/>
        </w:rPr>
        <w:t>At the beginning of each fiscal year, during its regular meeting held in December, the Compensation &amp; Human Resources Committee approves a target award expressed as a percentage of base salary for each executive officer and specific performance measures, weightings, goals and performance adjustment events, if any. For each performance measure, a threshold, target and maximum level of performance is defined, which have corresponding payout percentages. Following the end of the fiscal year, at the Committee’s regular meeting held in December, Management presents a summary of, and the Committee certifies, actual performance as compared to the pre-established goals along with a corresponding payout percentage, which is expressed as a percent of target performance.</w:t>
      </w:r>
    </w:p>
    <w:p>
      <w:pPr>
        <w:spacing w:after="0" w:line="71" w:lineRule="exact"/>
        <w:rPr>
          <w:sz w:val="20"/>
          <w:szCs w:val="20"/>
          <w:color w:val="auto"/>
        </w:rPr>
      </w:pPr>
    </w:p>
    <w:p>
      <w:pPr>
        <w:ind w:firstLine="401"/>
        <w:spacing w:after="0" w:line="239" w:lineRule="auto"/>
        <w:rPr>
          <w:sz w:val="20"/>
          <w:szCs w:val="20"/>
          <w:color w:val="auto"/>
        </w:rPr>
      </w:pPr>
      <w:r>
        <w:rPr>
          <w:rFonts w:ascii="Arial" w:cs="Arial" w:eastAsia="Arial" w:hAnsi="Arial"/>
          <w:sz w:val="18"/>
          <w:szCs w:val="18"/>
          <w:i w:val="1"/>
          <w:iCs w:val="1"/>
          <w:color w:val="auto"/>
        </w:rPr>
        <w:t>Target Awards</w:t>
      </w:r>
      <w:r>
        <w:rPr>
          <w:rFonts w:ascii="Arial" w:cs="Arial" w:eastAsia="Arial" w:hAnsi="Arial"/>
          <w:sz w:val="18"/>
          <w:szCs w:val="18"/>
          <w:color w:val="auto"/>
        </w:rPr>
        <w:t>. When determining the target award for each executive officer, the Committee reviews the market 50</w:t>
      </w:r>
      <w:r>
        <w:rPr>
          <w:rFonts w:ascii="Arial" w:cs="Arial" w:eastAsia="Arial" w:hAnsi="Arial"/>
          <w:sz w:val="15"/>
          <w:szCs w:val="15"/>
          <w:color w:val="auto"/>
        </w:rPr>
        <w:t>th</w:t>
      </w:r>
      <w:r>
        <w:rPr>
          <w:rFonts w:ascii="Arial" w:cs="Arial" w:eastAsia="Arial" w:hAnsi="Arial"/>
          <w:sz w:val="18"/>
          <w:szCs w:val="18"/>
          <w:i w:val="1"/>
          <w:iCs w:val="1"/>
          <w:color w:val="auto"/>
        </w:rPr>
        <w:t xml:space="preserve"> </w:t>
      </w:r>
      <w:r>
        <w:rPr>
          <w:rFonts w:ascii="Arial" w:cs="Arial" w:eastAsia="Arial" w:hAnsi="Arial"/>
          <w:sz w:val="18"/>
          <w:szCs w:val="18"/>
          <w:color w:val="auto"/>
        </w:rPr>
        <w:t>percentile for</w:t>
      </w:r>
      <w:r>
        <w:rPr>
          <w:rFonts w:ascii="Arial" w:cs="Arial" w:eastAsia="Arial" w:hAnsi="Arial"/>
          <w:sz w:val="18"/>
          <w:szCs w:val="18"/>
          <w:i w:val="1"/>
          <w:iCs w:val="1"/>
          <w:color w:val="auto"/>
        </w:rPr>
        <w:t xml:space="preserve"> </w:t>
      </w:r>
      <w:r>
        <w:rPr>
          <w:rFonts w:ascii="Arial" w:cs="Arial" w:eastAsia="Arial" w:hAnsi="Arial"/>
          <w:sz w:val="18"/>
          <w:szCs w:val="18"/>
          <w:color w:val="auto"/>
        </w:rPr>
        <w:t>target total cash compensation (sum of base salary and target annual cash incentive) for the position in which such executive officer serves. Our objective is that when we achieve target levels of performance for each measure, resulting total cash compensation paid to our executive officers is within a reasonable range of the market 50</w:t>
      </w:r>
      <w:r>
        <w:rPr>
          <w:rFonts w:ascii="Arial" w:cs="Arial" w:eastAsia="Arial" w:hAnsi="Arial"/>
          <w:sz w:val="15"/>
          <w:szCs w:val="15"/>
          <w:color w:val="auto"/>
        </w:rPr>
        <w:t>th</w:t>
      </w:r>
      <w:r>
        <w:rPr>
          <w:rFonts w:ascii="Arial" w:cs="Arial" w:eastAsia="Arial" w:hAnsi="Arial"/>
          <w:sz w:val="18"/>
          <w:szCs w:val="18"/>
          <w:color w:val="auto"/>
        </w:rPr>
        <w:t xml:space="preserve"> percentile. Actual total cash compensation will generally exceed the market 50</w:t>
      </w:r>
      <w:r>
        <w:rPr>
          <w:rFonts w:ascii="Arial" w:cs="Arial" w:eastAsia="Arial" w:hAnsi="Arial"/>
          <w:sz w:val="15"/>
          <w:szCs w:val="15"/>
          <w:color w:val="auto"/>
        </w:rPr>
        <w:t>th</w:t>
      </w:r>
      <w:r>
        <w:rPr>
          <w:rFonts w:ascii="Arial" w:cs="Arial" w:eastAsia="Arial" w:hAnsi="Arial"/>
          <w:sz w:val="18"/>
          <w:szCs w:val="18"/>
          <w:color w:val="auto"/>
        </w:rPr>
        <w:t xml:space="preserve"> percentile if actual performance for each measure exceeds the pre-established target annual financial goals and will generally be less than the market 50</w:t>
      </w:r>
      <w:r>
        <w:rPr>
          <w:rFonts w:ascii="Arial" w:cs="Arial" w:eastAsia="Arial" w:hAnsi="Arial"/>
          <w:sz w:val="15"/>
          <w:szCs w:val="15"/>
          <w:color w:val="auto"/>
        </w:rPr>
        <w:t>th</w:t>
      </w:r>
      <w:r>
        <w:rPr>
          <w:rFonts w:ascii="Arial" w:cs="Arial" w:eastAsia="Arial" w:hAnsi="Arial"/>
          <w:sz w:val="18"/>
          <w:szCs w:val="18"/>
          <w:color w:val="auto"/>
        </w:rPr>
        <w:t xml:space="preserve"> percentile if actual performance for each measure is below the pre-established target annual financial goals. In addition to considering the market data, the Committee also considers experience, tenure, scope and complexity of the executive officer’s position, individual contributions and performance, as well as internal pay equity. Actual awards can range from 0% (if threshold levels of performance are not met) to 200% of the target award (if maximum levels of performance are met for all of the performance measures) and the resulting competitiveness of total cash compensation will also vary accordingly.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103" w:lineRule="exact"/>
        <w:rPr>
          <w:sz w:val="20"/>
          <w:szCs w:val="20"/>
          <w:color w:val="auto"/>
        </w:rPr>
      </w:pPr>
    </w:p>
    <w:p>
      <w:pPr>
        <w:ind w:right="480" w:firstLine="401"/>
        <w:spacing w:after="0" w:line="271" w:lineRule="auto"/>
        <w:rPr>
          <w:sz w:val="20"/>
          <w:szCs w:val="20"/>
          <w:color w:val="auto"/>
        </w:rPr>
      </w:pPr>
      <w:r>
        <w:rPr>
          <w:rFonts w:ascii="Arial" w:cs="Arial" w:eastAsia="Arial" w:hAnsi="Arial"/>
          <w:sz w:val="18"/>
          <w:szCs w:val="18"/>
          <w:i w:val="1"/>
          <w:iCs w:val="1"/>
          <w:color w:val="auto"/>
        </w:rPr>
        <w:t xml:space="preserve">Fiscal 2022 Awards. </w:t>
      </w:r>
      <w:r>
        <w:rPr>
          <w:rFonts w:ascii="Arial" w:cs="Arial" w:eastAsia="Arial" w:hAnsi="Arial"/>
          <w:sz w:val="18"/>
          <w:szCs w:val="18"/>
          <w:color w:val="auto"/>
        </w:rPr>
        <w:t>The fiscal 2022 target awards for our NEOs, any change in the target award percentage, the resulting cash</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award, and actual target total cash compensation are below.</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shd w:val="clear" w:color="auto" w:fill="C00000"/>
          </w:tcPr>
          <w:p>
            <w:pPr>
              <w:spacing w:after="0"/>
              <w:rPr>
                <w:sz w:val="14"/>
                <w:szCs w:val="14"/>
                <w:color w:val="auto"/>
              </w:rPr>
            </w:pPr>
          </w:p>
        </w:tc>
        <w:tc>
          <w:tcPr>
            <w:tcW w:w="2320" w:type="dxa"/>
            <w:vAlign w:val="bottom"/>
            <w:shd w:val="clear" w:color="auto" w:fill="C00000"/>
          </w:tcPr>
          <w:p>
            <w:pPr>
              <w:spacing w:after="0"/>
              <w:rPr>
                <w:sz w:val="14"/>
                <w:szCs w:val="14"/>
                <w:color w:val="auto"/>
              </w:rPr>
            </w:pPr>
          </w:p>
        </w:tc>
        <w:tc>
          <w:tcPr>
            <w:tcW w:w="1920" w:type="dxa"/>
            <w:vAlign w:val="bottom"/>
            <w:shd w:val="clear" w:color="auto" w:fill="C00000"/>
          </w:tcPr>
          <w:p>
            <w:pPr>
              <w:spacing w:after="0"/>
              <w:rPr>
                <w:sz w:val="14"/>
                <w:szCs w:val="14"/>
                <w:color w:val="auto"/>
              </w:rPr>
            </w:pPr>
          </w:p>
        </w:tc>
        <w:tc>
          <w:tcPr>
            <w:tcW w:w="1600" w:type="dxa"/>
            <w:vAlign w:val="bottom"/>
            <w:shd w:val="clear" w:color="auto" w:fill="C00000"/>
          </w:tcPr>
          <w:p>
            <w:pPr>
              <w:jc w:val="center"/>
              <w:ind w:right="247"/>
              <w:spacing w:after="0"/>
              <w:rPr>
                <w:sz w:val="20"/>
                <w:szCs w:val="20"/>
                <w:color w:val="auto"/>
              </w:rPr>
            </w:pPr>
            <w:r>
              <w:rPr>
                <w:rFonts w:ascii="Arial" w:cs="Arial" w:eastAsia="Arial" w:hAnsi="Arial"/>
                <w:sz w:val="13"/>
                <w:szCs w:val="13"/>
                <w:b w:val="1"/>
                <w:bCs w:val="1"/>
                <w:color w:val="FFFFFF"/>
                <w:w w:val="97"/>
              </w:rPr>
              <w:t>Fiscal 2022</w:t>
            </w:r>
          </w:p>
        </w:tc>
        <w:tc>
          <w:tcPr>
            <w:tcW w:w="2020" w:type="dxa"/>
            <w:vAlign w:val="bottom"/>
            <w:shd w:val="clear" w:color="auto" w:fill="C00000"/>
          </w:tcPr>
          <w:p>
            <w:pPr>
              <w:jc w:val="center"/>
              <w:ind w:right="247"/>
              <w:spacing w:after="0"/>
              <w:rPr>
                <w:sz w:val="20"/>
                <w:szCs w:val="20"/>
                <w:color w:val="auto"/>
              </w:rPr>
            </w:pPr>
            <w:r>
              <w:rPr>
                <w:rFonts w:ascii="Arial" w:cs="Arial" w:eastAsia="Arial" w:hAnsi="Arial"/>
                <w:sz w:val="13"/>
                <w:szCs w:val="13"/>
                <w:b w:val="1"/>
                <w:bCs w:val="1"/>
                <w:color w:val="FFFFFF"/>
                <w:w w:val="95"/>
              </w:rPr>
              <w:t>Fiscal 2022</w:t>
            </w:r>
          </w:p>
        </w:tc>
        <w:tc>
          <w:tcPr>
            <w:tcW w:w="1660" w:type="dxa"/>
            <w:vAlign w:val="bottom"/>
            <w:shd w:val="clear" w:color="auto" w:fill="C00000"/>
          </w:tcPr>
          <w:p>
            <w:pPr>
              <w:jc w:val="center"/>
              <w:spacing w:after="0"/>
              <w:rPr>
                <w:sz w:val="20"/>
                <w:szCs w:val="20"/>
                <w:color w:val="auto"/>
              </w:rPr>
            </w:pPr>
            <w:r>
              <w:rPr>
                <w:rFonts w:ascii="Arial" w:cs="Arial" w:eastAsia="Arial" w:hAnsi="Arial"/>
                <w:sz w:val="13"/>
                <w:szCs w:val="13"/>
                <w:b w:val="1"/>
                <w:bCs w:val="1"/>
                <w:color w:val="FFFFFF"/>
                <w:w w:val="97"/>
              </w:rPr>
              <w:t>Fiscal 2022</w:t>
            </w:r>
          </w:p>
        </w:tc>
      </w:tr>
      <w:tr>
        <w:trPr>
          <w:trHeight w:val="148"/>
        </w:trPr>
        <w:tc>
          <w:tcPr>
            <w:tcW w:w="1720" w:type="dxa"/>
            <w:vAlign w:val="bottom"/>
            <w:shd w:val="clear" w:color="auto" w:fill="C00000"/>
          </w:tcPr>
          <w:p>
            <w:pPr>
              <w:spacing w:after="0"/>
              <w:rPr>
                <w:sz w:val="12"/>
                <w:szCs w:val="12"/>
                <w:color w:val="auto"/>
              </w:rPr>
            </w:pPr>
          </w:p>
        </w:tc>
        <w:tc>
          <w:tcPr>
            <w:tcW w:w="2320" w:type="dxa"/>
            <w:vAlign w:val="bottom"/>
            <w:shd w:val="clear" w:color="auto" w:fill="C00000"/>
          </w:tcPr>
          <w:p>
            <w:pPr>
              <w:jc w:val="center"/>
              <w:ind w:left="346"/>
              <w:spacing w:after="0"/>
              <w:rPr>
                <w:sz w:val="20"/>
                <w:szCs w:val="20"/>
                <w:color w:val="auto"/>
              </w:rPr>
            </w:pPr>
            <w:r>
              <w:rPr>
                <w:rFonts w:ascii="Arial" w:cs="Arial" w:eastAsia="Arial" w:hAnsi="Arial"/>
                <w:sz w:val="13"/>
                <w:szCs w:val="13"/>
                <w:b w:val="1"/>
                <w:bCs w:val="1"/>
                <w:color w:val="FFFFFF"/>
                <w:w w:val="95"/>
              </w:rPr>
              <w:t>Fiscal 2022</w:t>
            </w:r>
          </w:p>
        </w:tc>
        <w:tc>
          <w:tcPr>
            <w:tcW w:w="1920" w:type="dxa"/>
            <w:vAlign w:val="bottom"/>
            <w:shd w:val="clear" w:color="auto" w:fill="C00000"/>
          </w:tcPr>
          <w:p>
            <w:pPr>
              <w:jc w:val="center"/>
              <w:ind w:right="226"/>
              <w:spacing w:after="0"/>
              <w:rPr>
                <w:sz w:val="20"/>
                <w:szCs w:val="20"/>
                <w:color w:val="auto"/>
              </w:rPr>
            </w:pPr>
            <w:r>
              <w:rPr>
                <w:rFonts w:ascii="Arial" w:cs="Arial" w:eastAsia="Arial" w:hAnsi="Arial"/>
                <w:sz w:val="13"/>
                <w:szCs w:val="13"/>
                <w:b w:val="1"/>
                <w:bCs w:val="1"/>
                <w:color w:val="FFFFFF"/>
                <w:w w:val="95"/>
              </w:rPr>
              <w:t>Fiscal 2022</w:t>
            </w:r>
          </w:p>
        </w:tc>
        <w:tc>
          <w:tcPr>
            <w:tcW w:w="1600" w:type="dxa"/>
            <w:vAlign w:val="bottom"/>
            <w:shd w:val="clear" w:color="auto" w:fill="C00000"/>
          </w:tcPr>
          <w:p>
            <w:pPr>
              <w:jc w:val="center"/>
              <w:ind w:right="247"/>
              <w:spacing w:after="0"/>
              <w:rPr>
                <w:sz w:val="20"/>
                <w:szCs w:val="20"/>
                <w:color w:val="auto"/>
              </w:rPr>
            </w:pPr>
            <w:r>
              <w:rPr>
                <w:rFonts w:ascii="Arial" w:cs="Arial" w:eastAsia="Arial" w:hAnsi="Arial"/>
                <w:sz w:val="13"/>
                <w:szCs w:val="13"/>
                <w:b w:val="1"/>
                <w:bCs w:val="1"/>
                <w:color w:val="FFFFFF"/>
                <w:w w:val="96"/>
              </w:rPr>
              <w:t>Target Award</w:t>
            </w:r>
          </w:p>
        </w:tc>
        <w:tc>
          <w:tcPr>
            <w:tcW w:w="2020" w:type="dxa"/>
            <w:vAlign w:val="bottom"/>
            <w:shd w:val="clear" w:color="auto" w:fill="C00000"/>
          </w:tcPr>
          <w:p>
            <w:pPr>
              <w:jc w:val="center"/>
              <w:ind w:right="247"/>
              <w:spacing w:after="0"/>
              <w:rPr>
                <w:sz w:val="20"/>
                <w:szCs w:val="20"/>
                <w:color w:val="auto"/>
              </w:rPr>
            </w:pPr>
            <w:r>
              <w:rPr>
                <w:rFonts w:ascii="Arial" w:cs="Arial" w:eastAsia="Arial" w:hAnsi="Arial"/>
                <w:sz w:val="13"/>
                <w:szCs w:val="13"/>
                <w:b w:val="1"/>
                <w:bCs w:val="1"/>
                <w:color w:val="FFFFFF"/>
                <w:w w:val="96"/>
              </w:rPr>
              <w:t>Target Annual Cash</w:t>
            </w:r>
          </w:p>
        </w:tc>
        <w:tc>
          <w:tcPr>
            <w:tcW w:w="1660" w:type="dxa"/>
            <w:vAlign w:val="bottom"/>
            <w:shd w:val="clear" w:color="auto" w:fill="C00000"/>
          </w:tcPr>
          <w:p>
            <w:pPr>
              <w:jc w:val="center"/>
              <w:spacing w:after="0"/>
              <w:rPr>
                <w:sz w:val="20"/>
                <w:szCs w:val="20"/>
                <w:color w:val="auto"/>
              </w:rPr>
            </w:pPr>
            <w:r>
              <w:rPr>
                <w:rFonts w:ascii="Arial" w:cs="Arial" w:eastAsia="Arial" w:hAnsi="Arial"/>
                <w:sz w:val="13"/>
                <w:szCs w:val="13"/>
                <w:b w:val="1"/>
                <w:bCs w:val="1"/>
                <w:color w:val="FFFFFF"/>
                <w:w w:val="94"/>
              </w:rPr>
              <w:t>Target Total Cash</w:t>
            </w:r>
          </w:p>
        </w:tc>
      </w:tr>
      <w:tr>
        <w:trPr>
          <w:trHeight w:val="148"/>
        </w:trPr>
        <w:tc>
          <w:tcPr>
            <w:tcW w:w="1720" w:type="dxa"/>
            <w:vAlign w:val="bottom"/>
            <w:shd w:val="clear" w:color="auto" w:fill="C00000"/>
          </w:tcPr>
          <w:p>
            <w:pPr>
              <w:spacing w:after="0"/>
              <w:rPr>
                <w:sz w:val="12"/>
                <w:szCs w:val="12"/>
                <w:color w:val="auto"/>
              </w:rPr>
            </w:pPr>
          </w:p>
        </w:tc>
        <w:tc>
          <w:tcPr>
            <w:tcW w:w="2320" w:type="dxa"/>
            <w:vAlign w:val="bottom"/>
            <w:shd w:val="clear" w:color="auto" w:fill="C00000"/>
          </w:tcPr>
          <w:p>
            <w:pPr>
              <w:jc w:val="center"/>
              <w:ind w:left="346"/>
              <w:spacing w:after="0"/>
              <w:rPr>
                <w:sz w:val="20"/>
                <w:szCs w:val="20"/>
                <w:color w:val="auto"/>
              </w:rPr>
            </w:pPr>
            <w:r>
              <w:rPr>
                <w:rFonts w:ascii="Arial" w:cs="Arial" w:eastAsia="Arial" w:hAnsi="Arial"/>
                <w:sz w:val="13"/>
                <w:szCs w:val="13"/>
                <w:b w:val="1"/>
                <w:bCs w:val="1"/>
                <w:color w:val="FFFFFF"/>
                <w:w w:val="97"/>
              </w:rPr>
              <w:t>Base Salary Earnings</w:t>
            </w:r>
          </w:p>
        </w:tc>
        <w:tc>
          <w:tcPr>
            <w:tcW w:w="1920" w:type="dxa"/>
            <w:vAlign w:val="bottom"/>
            <w:shd w:val="clear" w:color="auto" w:fill="C00000"/>
          </w:tcPr>
          <w:p>
            <w:pPr>
              <w:jc w:val="center"/>
              <w:ind w:right="226"/>
              <w:spacing w:after="0"/>
              <w:rPr>
                <w:sz w:val="20"/>
                <w:szCs w:val="20"/>
                <w:color w:val="auto"/>
              </w:rPr>
            </w:pPr>
            <w:r>
              <w:rPr>
                <w:rFonts w:ascii="Arial" w:cs="Arial" w:eastAsia="Arial" w:hAnsi="Arial"/>
                <w:sz w:val="13"/>
                <w:szCs w:val="13"/>
                <w:b w:val="1"/>
                <w:bCs w:val="1"/>
                <w:color w:val="FFFFFF"/>
                <w:w w:val="95"/>
              </w:rPr>
              <w:t>Award at Target</w:t>
            </w:r>
          </w:p>
        </w:tc>
        <w:tc>
          <w:tcPr>
            <w:tcW w:w="1600" w:type="dxa"/>
            <w:vAlign w:val="bottom"/>
            <w:shd w:val="clear" w:color="auto" w:fill="C00000"/>
          </w:tcPr>
          <w:p>
            <w:pPr>
              <w:jc w:val="center"/>
              <w:ind w:right="247"/>
              <w:spacing w:after="0"/>
              <w:rPr>
                <w:sz w:val="20"/>
                <w:szCs w:val="20"/>
                <w:color w:val="auto"/>
              </w:rPr>
            </w:pPr>
            <w:r>
              <w:rPr>
                <w:rFonts w:ascii="Arial" w:cs="Arial" w:eastAsia="Arial" w:hAnsi="Arial"/>
                <w:sz w:val="13"/>
                <w:szCs w:val="13"/>
                <w:b w:val="1"/>
                <w:bCs w:val="1"/>
                <w:color w:val="FFFFFF"/>
                <w:w w:val="96"/>
              </w:rPr>
              <w:t>Percentage</w:t>
            </w:r>
          </w:p>
        </w:tc>
        <w:tc>
          <w:tcPr>
            <w:tcW w:w="2020" w:type="dxa"/>
            <w:vAlign w:val="bottom"/>
            <w:shd w:val="clear" w:color="auto" w:fill="C00000"/>
          </w:tcPr>
          <w:p>
            <w:pPr>
              <w:jc w:val="center"/>
              <w:ind w:right="227"/>
              <w:spacing w:after="0"/>
              <w:rPr>
                <w:sz w:val="20"/>
                <w:szCs w:val="20"/>
                <w:color w:val="auto"/>
              </w:rPr>
            </w:pPr>
            <w:r>
              <w:rPr>
                <w:rFonts w:ascii="Arial" w:cs="Arial" w:eastAsia="Arial" w:hAnsi="Arial"/>
                <w:sz w:val="13"/>
                <w:szCs w:val="13"/>
                <w:b w:val="1"/>
                <w:bCs w:val="1"/>
                <w:color w:val="FFFFFF"/>
                <w:w w:val="96"/>
              </w:rPr>
              <w:t>Incentive Award</w:t>
            </w:r>
          </w:p>
        </w:tc>
        <w:tc>
          <w:tcPr>
            <w:tcW w:w="1660" w:type="dxa"/>
            <w:vAlign w:val="bottom"/>
            <w:shd w:val="clear" w:color="auto" w:fill="C00000"/>
          </w:tcPr>
          <w:p>
            <w:pPr>
              <w:jc w:val="center"/>
              <w:spacing w:after="0"/>
              <w:rPr>
                <w:sz w:val="20"/>
                <w:szCs w:val="20"/>
                <w:color w:val="auto"/>
              </w:rPr>
            </w:pPr>
            <w:r>
              <w:rPr>
                <w:rFonts w:ascii="Arial" w:cs="Arial" w:eastAsia="Arial" w:hAnsi="Arial"/>
                <w:sz w:val="13"/>
                <w:szCs w:val="13"/>
                <w:b w:val="1"/>
                <w:bCs w:val="1"/>
                <w:color w:val="FFFFFF"/>
                <w:w w:val="97"/>
              </w:rPr>
              <w:t>Compensation</w:t>
            </w:r>
          </w:p>
        </w:tc>
      </w:tr>
      <w:tr>
        <w:trPr>
          <w:trHeight w:val="180"/>
        </w:trPr>
        <w:tc>
          <w:tcPr>
            <w:tcW w:w="1720" w:type="dxa"/>
            <w:vAlign w:val="bottom"/>
            <w:shd w:val="clear" w:color="auto" w:fill="C00000"/>
          </w:tcPr>
          <w:p>
            <w:pPr>
              <w:spacing w:after="0"/>
              <w:rPr>
                <w:sz w:val="20"/>
                <w:szCs w:val="20"/>
                <w:color w:val="auto"/>
              </w:rPr>
            </w:pPr>
            <w:r>
              <w:rPr>
                <w:rFonts w:ascii="Arial" w:cs="Arial" w:eastAsia="Arial" w:hAnsi="Arial"/>
                <w:sz w:val="13"/>
                <w:szCs w:val="13"/>
                <w:b w:val="1"/>
                <w:bCs w:val="1"/>
                <w:color w:val="FFFFFF"/>
              </w:rPr>
              <w:t>Name</w:t>
            </w:r>
          </w:p>
        </w:tc>
        <w:tc>
          <w:tcPr>
            <w:tcW w:w="2320" w:type="dxa"/>
            <w:vAlign w:val="bottom"/>
            <w:shd w:val="clear" w:color="auto" w:fill="C00000"/>
          </w:tcPr>
          <w:p>
            <w:pPr>
              <w:jc w:val="center"/>
              <w:ind w:left="346"/>
              <w:spacing w:after="0"/>
              <w:rPr>
                <w:sz w:val="20"/>
                <w:szCs w:val="20"/>
                <w:color w:val="auto"/>
              </w:rPr>
            </w:pPr>
            <w:r>
              <w:rPr>
                <w:rFonts w:ascii="Arial" w:cs="Arial" w:eastAsia="Arial" w:hAnsi="Arial"/>
                <w:sz w:val="13"/>
                <w:szCs w:val="13"/>
                <w:b w:val="1"/>
                <w:bCs w:val="1"/>
                <w:color w:val="FFFFFF"/>
                <w:w w:val="87"/>
              </w:rPr>
              <w:t>($)</w:t>
            </w:r>
          </w:p>
        </w:tc>
        <w:tc>
          <w:tcPr>
            <w:tcW w:w="1920" w:type="dxa"/>
            <w:vAlign w:val="bottom"/>
            <w:shd w:val="clear" w:color="auto" w:fill="C00000"/>
          </w:tcPr>
          <w:p>
            <w:pPr>
              <w:jc w:val="center"/>
              <w:ind w:right="226"/>
              <w:spacing w:after="0"/>
              <w:rPr>
                <w:sz w:val="20"/>
                <w:szCs w:val="20"/>
                <w:color w:val="auto"/>
              </w:rPr>
            </w:pPr>
            <w:r>
              <w:rPr>
                <w:rFonts w:ascii="Arial" w:cs="Arial" w:eastAsia="Arial" w:hAnsi="Arial"/>
                <w:sz w:val="13"/>
                <w:szCs w:val="13"/>
                <w:b w:val="1"/>
                <w:bCs w:val="1"/>
                <w:color w:val="FFFFFF"/>
                <w:w w:val="95"/>
              </w:rPr>
              <w:t>(% of base salary)</w:t>
            </w:r>
          </w:p>
        </w:tc>
        <w:tc>
          <w:tcPr>
            <w:tcW w:w="1600" w:type="dxa"/>
            <w:vAlign w:val="bottom"/>
            <w:shd w:val="clear" w:color="auto" w:fill="C00000"/>
          </w:tcPr>
          <w:p>
            <w:pPr>
              <w:jc w:val="center"/>
              <w:ind w:right="227"/>
              <w:spacing w:after="0"/>
              <w:rPr>
                <w:sz w:val="20"/>
                <w:szCs w:val="20"/>
                <w:color w:val="auto"/>
              </w:rPr>
            </w:pPr>
            <w:r>
              <w:rPr>
                <w:rFonts w:ascii="Arial" w:cs="Arial" w:eastAsia="Arial" w:hAnsi="Arial"/>
                <w:sz w:val="13"/>
                <w:szCs w:val="13"/>
                <w:b w:val="1"/>
                <w:bCs w:val="1"/>
                <w:color w:val="FFFFFF"/>
                <w:w w:val="96"/>
              </w:rPr>
              <w:t>Change</w:t>
            </w:r>
          </w:p>
        </w:tc>
        <w:tc>
          <w:tcPr>
            <w:tcW w:w="2020" w:type="dxa"/>
            <w:vAlign w:val="bottom"/>
            <w:shd w:val="clear" w:color="auto" w:fill="C00000"/>
          </w:tcPr>
          <w:p>
            <w:pPr>
              <w:jc w:val="center"/>
              <w:ind w:right="247"/>
              <w:spacing w:after="0"/>
              <w:rPr>
                <w:sz w:val="20"/>
                <w:szCs w:val="20"/>
                <w:color w:val="auto"/>
              </w:rPr>
            </w:pPr>
            <w:r>
              <w:rPr>
                <w:rFonts w:ascii="Arial" w:cs="Arial" w:eastAsia="Arial" w:hAnsi="Arial"/>
                <w:sz w:val="13"/>
                <w:szCs w:val="13"/>
                <w:b w:val="1"/>
                <w:bCs w:val="1"/>
                <w:color w:val="FFFFFF"/>
                <w:w w:val="87"/>
              </w:rPr>
              <w:t>($)</w:t>
            </w:r>
          </w:p>
        </w:tc>
        <w:tc>
          <w:tcPr>
            <w:tcW w:w="1660" w:type="dxa"/>
            <w:vAlign w:val="bottom"/>
            <w:shd w:val="clear" w:color="auto" w:fill="C00000"/>
          </w:tcPr>
          <w:p>
            <w:pPr>
              <w:jc w:val="center"/>
              <w:spacing w:after="0"/>
              <w:rPr>
                <w:sz w:val="20"/>
                <w:szCs w:val="20"/>
                <w:color w:val="auto"/>
              </w:rPr>
            </w:pPr>
            <w:r>
              <w:rPr>
                <w:rFonts w:ascii="Arial" w:cs="Arial" w:eastAsia="Arial" w:hAnsi="Arial"/>
                <w:sz w:val="13"/>
                <w:szCs w:val="13"/>
                <w:b w:val="1"/>
                <w:bCs w:val="1"/>
                <w:color w:val="FFFFFF"/>
              </w:rPr>
              <w:t>($)</w:t>
            </w:r>
          </w:p>
        </w:tc>
      </w:tr>
      <w:tr>
        <w:trPr>
          <w:trHeight w:val="235"/>
        </w:trPr>
        <w:tc>
          <w:tcPr>
            <w:tcW w:w="1720" w:type="dxa"/>
            <w:vAlign w:val="bottom"/>
          </w:tcPr>
          <w:p>
            <w:pPr>
              <w:spacing w:after="0"/>
              <w:rPr>
                <w:sz w:val="20"/>
                <w:szCs w:val="20"/>
                <w:color w:val="auto"/>
              </w:rPr>
            </w:pPr>
            <w:r>
              <w:rPr>
                <w:rFonts w:ascii="Arial" w:cs="Arial" w:eastAsia="Arial" w:hAnsi="Arial"/>
                <w:sz w:val="16"/>
                <w:szCs w:val="16"/>
                <w:color w:val="auto"/>
              </w:rPr>
              <w:t>Mr. Olson</w:t>
            </w:r>
          </w:p>
        </w:tc>
        <w:tc>
          <w:tcPr>
            <w:tcW w:w="2320" w:type="dxa"/>
            <w:vAlign w:val="bottom"/>
          </w:tcPr>
          <w:p>
            <w:pPr>
              <w:jc w:val="right"/>
              <w:ind w:right="186"/>
              <w:spacing w:after="0"/>
              <w:rPr>
                <w:sz w:val="20"/>
                <w:szCs w:val="20"/>
                <w:color w:val="auto"/>
              </w:rPr>
            </w:pPr>
            <w:r>
              <w:rPr>
                <w:rFonts w:ascii="Arial" w:cs="Arial" w:eastAsia="Arial" w:hAnsi="Arial"/>
                <w:sz w:val="16"/>
                <w:szCs w:val="16"/>
                <w:color w:val="auto"/>
              </w:rPr>
              <w:t>1,086,778</w:t>
            </w:r>
          </w:p>
        </w:tc>
        <w:tc>
          <w:tcPr>
            <w:tcW w:w="1920" w:type="dxa"/>
            <w:vAlign w:val="bottom"/>
          </w:tcPr>
          <w:p>
            <w:pPr>
              <w:jc w:val="right"/>
              <w:ind w:right="186"/>
              <w:spacing w:after="0"/>
              <w:rPr>
                <w:sz w:val="20"/>
                <w:szCs w:val="20"/>
                <w:color w:val="auto"/>
              </w:rPr>
            </w:pPr>
            <w:r>
              <w:rPr>
                <w:rFonts w:ascii="Arial" w:cs="Arial" w:eastAsia="Arial" w:hAnsi="Arial"/>
                <w:sz w:val="16"/>
                <w:szCs w:val="16"/>
                <w:color w:val="auto"/>
              </w:rPr>
              <w:t>130%</w:t>
            </w:r>
          </w:p>
        </w:tc>
        <w:tc>
          <w:tcPr>
            <w:tcW w:w="1600" w:type="dxa"/>
            <w:vAlign w:val="bottom"/>
          </w:tcPr>
          <w:p>
            <w:pPr>
              <w:jc w:val="right"/>
              <w:ind w:right="207"/>
              <w:spacing w:after="0"/>
              <w:rPr>
                <w:sz w:val="20"/>
                <w:szCs w:val="20"/>
                <w:color w:val="auto"/>
              </w:rPr>
            </w:pPr>
            <w:r>
              <w:rPr>
                <w:rFonts w:ascii="Arial" w:cs="Arial" w:eastAsia="Arial" w:hAnsi="Arial"/>
                <w:sz w:val="16"/>
                <w:szCs w:val="16"/>
                <w:color w:val="auto"/>
              </w:rPr>
              <w:t>+10%</w:t>
            </w:r>
          </w:p>
        </w:tc>
        <w:tc>
          <w:tcPr>
            <w:tcW w:w="2020" w:type="dxa"/>
            <w:vAlign w:val="bottom"/>
          </w:tcPr>
          <w:p>
            <w:pPr>
              <w:jc w:val="right"/>
              <w:ind w:right="187"/>
              <w:spacing w:after="0"/>
              <w:rPr>
                <w:sz w:val="20"/>
                <w:szCs w:val="20"/>
                <w:color w:val="auto"/>
              </w:rPr>
            </w:pPr>
            <w:r>
              <w:rPr>
                <w:rFonts w:ascii="Arial" w:cs="Arial" w:eastAsia="Arial" w:hAnsi="Arial"/>
                <w:sz w:val="16"/>
                <w:szCs w:val="16"/>
                <w:color w:val="auto"/>
              </w:rPr>
              <w:t>1,412,811</w:t>
            </w:r>
          </w:p>
        </w:tc>
        <w:tc>
          <w:tcPr>
            <w:tcW w:w="1660" w:type="dxa"/>
            <w:vAlign w:val="bottom"/>
          </w:tcPr>
          <w:p>
            <w:pPr>
              <w:jc w:val="right"/>
              <w:spacing w:after="0"/>
              <w:rPr>
                <w:sz w:val="20"/>
                <w:szCs w:val="20"/>
                <w:color w:val="auto"/>
              </w:rPr>
            </w:pPr>
            <w:r>
              <w:rPr>
                <w:rFonts w:ascii="Arial" w:cs="Arial" w:eastAsia="Arial" w:hAnsi="Arial"/>
                <w:sz w:val="16"/>
                <w:szCs w:val="16"/>
                <w:color w:val="auto"/>
              </w:rPr>
              <w:t>2,499,589</w:t>
            </w:r>
          </w:p>
        </w:tc>
      </w:tr>
      <w:tr>
        <w:trPr>
          <w:trHeight w:val="251"/>
        </w:trPr>
        <w:tc>
          <w:tcPr>
            <w:tcW w:w="1720" w:type="dxa"/>
            <w:vAlign w:val="bottom"/>
            <w:shd w:val="clear" w:color="auto" w:fill="D9D9D9"/>
          </w:tcPr>
          <w:p>
            <w:pPr>
              <w:spacing w:after="0"/>
              <w:rPr>
                <w:sz w:val="20"/>
                <w:szCs w:val="20"/>
                <w:color w:val="auto"/>
              </w:rPr>
            </w:pPr>
            <w:r>
              <w:rPr>
                <w:rFonts w:ascii="Arial" w:cs="Arial" w:eastAsia="Arial" w:hAnsi="Arial"/>
                <w:sz w:val="16"/>
                <w:szCs w:val="16"/>
                <w:color w:val="auto"/>
              </w:rPr>
              <w:t>Ms. Peterson</w:t>
            </w:r>
          </w:p>
        </w:tc>
        <w:tc>
          <w:tcPr>
            <w:tcW w:w="2320" w:type="dxa"/>
            <w:vAlign w:val="bottom"/>
            <w:shd w:val="clear" w:color="auto" w:fill="D9D9D9"/>
          </w:tcPr>
          <w:p>
            <w:pPr>
              <w:jc w:val="right"/>
              <w:ind w:right="186"/>
              <w:spacing w:after="0"/>
              <w:rPr>
                <w:sz w:val="20"/>
                <w:szCs w:val="20"/>
                <w:color w:val="auto"/>
              </w:rPr>
            </w:pPr>
            <w:r>
              <w:rPr>
                <w:rFonts w:ascii="Arial" w:cs="Arial" w:eastAsia="Arial" w:hAnsi="Arial"/>
                <w:sz w:val="16"/>
                <w:szCs w:val="16"/>
                <w:color w:val="auto"/>
              </w:rPr>
              <w:t>595,089</w:t>
            </w:r>
          </w:p>
        </w:tc>
        <w:tc>
          <w:tcPr>
            <w:tcW w:w="1920" w:type="dxa"/>
            <w:vAlign w:val="bottom"/>
            <w:shd w:val="clear" w:color="auto" w:fill="D9D9D9"/>
          </w:tcPr>
          <w:p>
            <w:pPr>
              <w:jc w:val="right"/>
              <w:ind w:right="186"/>
              <w:spacing w:after="0"/>
              <w:rPr>
                <w:sz w:val="20"/>
                <w:szCs w:val="20"/>
                <w:color w:val="auto"/>
              </w:rPr>
            </w:pPr>
            <w:r>
              <w:rPr>
                <w:rFonts w:ascii="Arial" w:cs="Arial" w:eastAsia="Arial" w:hAnsi="Arial"/>
                <w:sz w:val="16"/>
                <w:szCs w:val="16"/>
                <w:color w:val="auto"/>
              </w:rPr>
              <w:t>80%</w:t>
            </w:r>
          </w:p>
        </w:tc>
        <w:tc>
          <w:tcPr>
            <w:tcW w:w="1600" w:type="dxa"/>
            <w:vAlign w:val="bottom"/>
            <w:shd w:val="clear" w:color="auto" w:fill="D9D9D9"/>
          </w:tcPr>
          <w:p>
            <w:pPr>
              <w:jc w:val="right"/>
              <w:ind w:right="207"/>
              <w:spacing w:after="0"/>
              <w:rPr>
                <w:sz w:val="20"/>
                <w:szCs w:val="20"/>
                <w:color w:val="auto"/>
              </w:rPr>
            </w:pPr>
            <w:r>
              <w:rPr>
                <w:rFonts w:ascii="Arial" w:cs="Arial" w:eastAsia="Arial" w:hAnsi="Arial"/>
                <w:sz w:val="16"/>
                <w:szCs w:val="16"/>
                <w:color w:val="auto"/>
              </w:rPr>
              <w:t>No Change</w:t>
            </w:r>
          </w:p>
        </w:tc>
        <w:tc>
          <w:tcPr>
            <w:tcW w:w="2020" w:type="dxa"/>
            <w:vAlign w:val="bottom"/>
            <w:shd w:val="clear" w:color="auto" w:fill="D9D9D9"/>
          </w:tcPr>
          <w:p>
            <w:pPr>
              <w:jc w:val="right"/>
              <w:ind w:right="187"/>
              <w:spacing w:after="0"/>
              <w:rPr>
                <w:sz w:val="20"/>
                <w:szCs w:val="20"/>
                <w:color w:val="auto"/>
              </w:rPr>
            </w:pPr>
            <w:r>
              <w:rPr>
                <w:rFonts w:ascii="Arial" w:cs="Arial" w:eastAsia="Arial" w:hAnsi="Arial"/>
                <w:sz w:val="16"/>
                <w:szCs w:val="16"/>
                <w:color w:val="auto"/>
              </w:rPr>
              <w:t>476,071</w:t>
            </w:r>
          </w:p>
        </w:tc>
        <w:tc>
          <w:tcPr>
            <w:tcW w:w="16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1,071,160</w:t>
            </w:r>
          </w:p>
        </w:tc>
      </w:tr>
      <w:tr>
        <w:trPr>
          <w:trHeight w:val="235"/>
        </w:trPr>
        <w:tc>
          <w:tcPr>
            <w:tcW w:w="1720" w:type="dxa"/>
            <w:vAlign w:val="bottom"/>
          </w:tcPr>
          <w:p>
            <w:pPr>
              <w:spacing w:after="0"/>
              <w:rPr>
                <w:sz w:val="20"/>
                <w:szCs w:val="20"/>
                <w:color w:val="auto"/>
              </w:rPr>
            </w:pPr>
            <w:r>
              <w:rPr>
                <w:rFonts w:ascii="Arial" w:cs="Arial" w:eastAsia="Arial" w:hAnsi="Arial"/>
                <w:sz w:val="16"/>
                <w:szCs w:val="16"/>
                <w:color w:val="auto"/>
              </w:rPr>
              <w:t>Mr. Carpenter</w:t>
            </w:r>
          </w:p>
        </w:tc>
        <w:tc>
          <w:tcPr>
            <w:tcW w:w="2320" w:type="dxa"/>
            <w:vAlign w:val="bottom"/>
          </w:tcPr>
          <w:p>
            <w:pPr>
              <w:jc w:val="right"/>
              <w:ind w:right="186"/>
              <w:spacing w:after="0"/>
              <w:rPr>
                <w:sz w:val="20"/>
                <w:szCs w:val="20"/>
                <w:color w:val="auto"/>
              </w:rPr>
            </w:pPr>
            <w:r>
              <w:rPr>
                <w:rFonts w:ascii="Arial" w:cs="Arial" w:eastAsia="Arial" w:hAnsi="Arial"/>
                <w:sz w:val="16"/>
                <w:szCs w:val="16"/>
                <w:color w:val="auto"/>
              </w:rPr>
              <w:t>422,858</w:t>
            </w:r>
          </w:p>
        </w:tc>
        <w:tc>
          <w:tcPr>
            <w:tcW w:w="1920" w:type="dxa"/>
            <w:vAlign w:val="bottom"/>
          </w:tcPr>
          <w:p>
            <w:pPr>
              <w:jc w:val="right"/>
              <w:ind w:right="186"/>
              <w:spacing w:after="0"/>
              <w:rPr>
                <w:sz w:val="20"/>
                <w:szCs w:val="20"/>
                <w:color w:val="auto"/>
              </w:rPr>
            </w:pPr>
            <w:r>
              <w:rPr>
                <w:rFonts w:ascii="Arial" w:cs="Arial" w:eastAsia="Arial" w:hAnsi="Arial"/>
                <w:sz w:val="16"/>
                <w:szCs w:val="16"/>
                <w:color w:val="auto"/>
              </w:rPr>
              <w:t>60%</w:t>
            </w:r>
          </w:p>
        </w:tc>
        <w:tc>
          <w:tcPr>
            <w:tcW w:w="1600" w:type="dxa"/>
            <w:vAlign w:val="bottom"/>
          </w:tcPr>
          <w:p>
            <w:pPr>
              <w:jc w:val="right"/>
              <w:ind w:right="207"/>
              <w:spacing w:after="0"/>
              <w:rPr>
                <w:sz w:val="20"/>
                <w:szCs w:val="20"/>
                <w:color w:val="auto"/>
              </w:rPr>
            </w:pPr>
            <w:r>
              <w:rPr>
                <w:rFonts w:ascii="Arial" w:cs="Arial" w:eastAsia="Arial" w:hAnsi="Arial"/>
                <w:sz w:val="16"/>
                <w:szCs w:val="16"/>
                <w:color w:val="auto"/>
              </w:rPr>
              <w:t>NA</w:t>
            </w:r>
          </w:p>
        </w:tc>
        <w:tc>
          <w:tcPr>
            <w:tcW w:w="2020" w:type="dxa"/>
            <w:vAlign w:val="bottom"/>
          </w:tcPr>
          <w:p>
            <w:pPr>
              <w:jc w:val="right"/>
              <w:ind w:right="187"/>
              <w:spacing w:after="0"/>
              <w:rPr>
                <w:sz w:val="20"/>
                <w:szCs w:val="20"/>
                <w:color w:val="auto"/>
              </w:rPr>
            </w:pPr>
            <w:r>
              <w:rPr>
                <w:rFonts w:ascii="Arial" w:cs="Arial" w:eastAsia="Arial" w:hAnsi="Arial"/>
                <w:sz w:val="16"/>
                <w:szCs w:val="16"/>
                <w:color w:val="auto"/>
              </w:rPr>
              <w:t>253,715</w:t>
            </w:r>
          </w:p>
        </w:tc>
        <w:tc>
          <w:tcPr>
            <w:tcW w:w="1660" w:type="dxa"/>
            <w:vAlign w:val="bottom"/>
          </w:tcPr>
          <w:p>
            <w:pPr>
              <w:jc w:val="right"/>
              <w:spacing w:after="0"/>
              <w:rPr>
                <w:sz w:val="20"/>
                <w:szCs w:val="20"/>
                <w:color w:val="auto"/>
              </w:rPr>
            </w:pPr>
            <w:r>
              <w:rPr>
                <w:rFonts w:ascii="Arial" w:cs="Arial" w:eastAsia="Arial" w:hAnsi="Arial"/>
                <w:sz w:val="16"/>
                <w:szCs w:val="16"/>
                <w:color w:val="auto"/>
              </w:rPr>
              <w:t>676,573</w:t>
            </w:r>
          </w:p>
        </w:tc>
      </w:tr>
      <w:tr>
        <w:trPr>
          <w:trHeight w:val="251"/>
        </w:trPr>
        <w:tc>
          <w:tcPr>
            <w:tcW w:w="1720" w:type="dxa"/>
            <w:vAlign w:val="bottom"/>
            <w:shd w:val="clear" w:color="auto" w:fill="D9D9D9"/>
          </w:tcPr>
          <w:p>
            <w:pPr>
              <w:spacing w:after="0"/>
              <w:rPr>
                <w:sz w:val="20"/>
                <w:szCs w:val="20"/>
                <w:color w:val="auto"/>
              </w:rPr>
            </w:pPr>
            <w:r>
              <w:rPr>
                <w:rFonts w:ascii="Arial" w:cs="Arial" w:eastAsia="Arial" w:hAnsi="Arial"/>
                <w:sz w:val="16"/>
                <w:szCs w:val="16"/>
                <w:color w:val="auto"/>
              </w:rPr>
              <w:t>Mr. Rodier</w:t>
            </w:r>
          </w:p>
        </w:tc>
        <w:tc>
          <w:tcPr>
            <w:tcW w:w="2320" w:type="dxa"/>
            <w:vAlign w:val="bottom"/>
            <w:shd w:val="clear" w:color="auto" w:fill="D9D9D9"/>
          </w:tcPr>
          <w:p>
            <w:pPr>
              <w:jc w:val="right"/>
              <w:ind w:right="186"/>
              <w:spacing w:after="0"/>
              <w:rPr>
                <w:sz w:val="20"/>
                <w:szCs w:val="20"/>
                <w:color w:val="auto"/>
              </w:rPr>
            </w:pPr>
            <w:r>
              <w:rPr>
                <w:rFonts w:ascii="Arial" w:cs="Arial" w:eastAsia="Arial" w:hAnsi="Arial"/>
                <w:sz w:val="16"/>
                <w:szCs w:val="16"/>
                <w:color w:val="auto"/>
              </w:rPr>
              <w:t>537,054</w:t>
            </w:r>
          </w:p>
        </w:tc>
        <w:tc>
          <w:tcPr>
            <w:tcW w:w="1920" w:type="dxa"/>
            <w:vAlign w:val="bottom"/>
            <w:shd w:val="clear" w:color="auto" w:fill="D9D9D9"/>
          </w:tcPr>
          <w:p>
            <w:pPr>
              <w:jc w:val="right"/>
              <w:ind w:right="186"/>
              <w:spacing w:after="0"/>
              <w:rPr>
                <w:sz w:val="20"/>
                <w:szCs w:val="20"/>
                <w:color w:val="auto"/>
              </w:rPr>
            </w:pPr>
            <w:r>
              <w:rPr>
                <w:rFonts w:ascii="Arial" w:cs="Arial" w:eastAsia="Arial" w:hAnsi="Arial"/>
                <w:sz w:val="16"/>
                <w:szCs w:val="16"/>
                <w:color w:val="auto"/>
              </w:rPr>
              <w:t>75%</w:t>
            </w:r>
          </w:p>
        </w:tc>
        <w:tc>
          <w:tcPr>
            <w:tcW w:w="1600" w:type="dxa"/>
            <w:vAlign w:val="bottom"/>
            <w:shd w:val="clear" w:color="auto" w:fill="D9D9D9"/>
          </w:tcPr>
          <w:p>
            <w:pPr>
              <w:jc w:val="right"/>
              <w:ind w:right="207"/>
              <w:spacing w:after="0"/>
              <w:rPr>
                <w:sz w:val="20"/>
                <w:szCs w:val="20"/>
                <w:color w:val="auto"/>
              </w:rPr>
            </w:pPr>
            <w:r>
              <w:rPr>
                <w:rFonts w:ascii="Arial" w:cs="Arial" w:eastAsia="Arial" w:hAnsi="Arial"/>
                <w:sz w:val="16"/>
                <w:szCs w:val="16"/>
                <w:color w:val="auto"/>
              </w:rPr>
              <w:t>+5%</w:t>
            </w:r>
          </w:p>
        </w:tc>
        <w:tc>
          <w:tcPr>
            <w:tcW w:w="2020" w:type="dxa"/>
            <w:vAlign w:val="bottom"/>
            <w:shd w:val="clear" w:color="auto" w:fill="D9D9D9"/>
          </w:tcPr>
          <w:p>
            <w:pPr>
              <w:jc w:val="right"/>
              <w:ind w:right="187"/>
              <w:spacing w:after="0"/>
              <w:rPr>
                <w:sz w:val="20"/>
                <w:szCs w:val="20"/>
                <w:color w:val="auto"/>
              </w:rPr>
            </w:pPr>
            <w:r>
              <w:rPr>
                <w:rFonts w:ascii="Arial" w:cs="Arial" w:eastAsia="Arial" w:hAnsi="Arial"/>
                <w:sz w:val="16"/>
                <w:szCs w:val="16"/>
                <w:color w:val="auto"/>
              </w:rPr>
              <w:t>402,791</w:t>
            </w:r>
          </w:p>
        </w:tc>
        <w:tc>
          <w:tcPr>
            <w:tcW w:w="16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939,845</w:t>
            </w:r>
          </w:p>
        </w:tc>
      </w:tr>
      <w:tr>
        <w:trPr>
          <w:trHeight w:val="227"/>
        </w:trPr>
        <w:tc>
          <w:tcPr>
            <w:tcW w:w="1720" w:type="dxa"/>
            <w:vAlign w:val="bottom"/>
          </w:tcPr>
          <w:p>
            <w:pPr>
              <w:spacing w:after="0"/>
              <w:rPr>
                <w:sz w:val="20"/>
                <w:szCs w:val="20"/>
                <w:color w:val="auto"/>
              </w:rPr>
            </w:pPr>
            <w:r>
              <w:rPr>
                <w:rFonts w:ascii="Arial" w:cs="Arial" w:eastAsia="Arial" w:hAnsi="Arial"/>
                <w:sz w:val="16"/>
                <w:szCs w:val="16"/>
                <w:color w:val="auto"/>
              </w:rPr>
              <w:t>Ms. Dahl</w:t>
            </w:r>
          </w:p>
        </w:tc>
        <w:tc>
          <w:tcPr>
            <w:tcW w:w="2320" w:type="dxa"/>
            <w:vAlign w:val="bottom"/>
          </w:tcPr>
          <w:p>
            <w:pPr>
              <w:jc w:val="right"/>
              <w:ind w:right="186"/>
              <w:spacing w:after="0"/>
              <w:rPr>
                <w:sz w:val="20"/>
                <w:szCs w:val="20"/>
                <w:color w:val="auto"/>
              </w:rPr>
            </w:pPr>
            <w:r>
              <w:rPr>
                <w:rFonts w:ascii="Arial" w:cs="Arial" w:eastAsia="Arial" w:hAnsi="Arial"/>
                <w:sz w:val="16"/>
                <w:szCs w:val="16"/>
                <w:color w:val="auto"/>
              </w:rPr>
              <w:t>503,397</w:t>
            </w:r>
          </w:p>
        </w:tc>
        <w:tc>
          <w:tcPr>
            <w:tcW w:w="1920" w:type="dxa"/>
            <w:vAlign w:val="bottom"/>
          </w:tcPr>
          <w:p>
            <w:pPr>
              <w:jc w:val="right"/>
              <w:ind w:right="186"/>
              <w:spacing w:after="0"/>
              <w:rPr>
                <w:sz w:val="20"/>
                <w:szCs w:val="20"/>
                <w:color w:val="auto"/>
              </w:rPr>
            </w:pPr>
            <w:r>
              <w:rPr>
                <w:rFonts w:ascii="Arial" w:cs="Arial" w:eastAsia="Arial" w:hAnsi="Arial"/>
                <w:sz w:val="16"/>
                <w:szCs w:val="16"/>
                <w:color w:val="auto"/>
              </w:rPr>
              <w:t>65%</w:t>
            </w:r>
          </w:p>
        </w:tc>
        <w:tc>
          <w:tcPr>
            <w:tcW w:w="1600" w:type="dxa"/>
            <w:vAlign w:val="bottom"/>
          </w:tcPr>
          <w:p>
            <w:pPr>
              <w:jc w:val="right"/>
              <w:ind w:right="207"/>
              <w:spacing w:after="0"/>
              <w:rPr>
                <w:sz w:val="20"/>
                <w:szCs w:val="20"/>
                <w:color w:val="auto"/>
              </w:rPr>
            </w:pPr>
            <w:r>
              <w:rPr>
                <w:rFonts w:ascii="Arial" w:cs="Arial" w:eastAsia="Arial" w:hAnsi="Arial"/>
                <w:sz w:val="16"/>
                <w:szCs w:val="16"/>
                <w:color w:val="auto"/>
              </w:rPr>
              <w:t>No Change</w:t>
            </w:r>
          </w:p>
        </w:tc>
        <w:tc>
          <w:tcPr>
            <w:tcW w:w="2020" w:type="dxa"/>
            <w:vAlign w:val="bottom"/>
          </w:tcPr>
          <w:p>
            <w:pPr>
              <w:jc w:val="right"/>
              <w:ind w:right="187"/>
              <w:spacing w:after="0"/>
              <w:rPr>
                <w:sz w:val="20"/>
                <w:szCs w:val="20"/>
                <w:color w:val="auto"/>
              </w:rPr>
            </w:pPr>
            <w:r>
              <w:rPr>
                <w:rFonts w:ascii="Arial" w:cs="Arial" w:eastAsia="Arial" w:hAnsi="Arial"/>
                <w:sz w:val="16"/>
                <w:szCs w:val="16"/>
                <w:color w:val="auto"/>
              </w:rPr>
              <w:t>327,208</w:t>
            </w:r>
          </w:p>
        </w:tc>
        <w:tc>
          <w:tcPr>
            <w:tcW w:w="1660" w:type="dxa"/>
            <w:vAlign w:val="bottom"/>
          </w:tcPr>
          <w:p>
            <w:pPr>
              <w:jc w:val="right"/>
              <w:spacing w:after="0"/>
              <w:rPr>
                <w:sz w:val="20"/>
                <w:szCs w:val="20"/>
                <w:color w:val="auto"/>
              </w:rPr>
            </w:pPr>
            <w:r>
              <w:rPr>
                <w:rFonts w:ascii="Arial" w:cs="Arial" w:eastAsia="Arial" w:hAnsi="Arial"/>
                <w:sz w:val="16"/>
                <w:szCs w:val="16"/>
                <w:color w:val="auto"/>
              </w:rPr>
              <w:t>830,605</w:t>
            </w:r>
          </w:p>
        </w:tc>
      </w:tr>
    </w:tbl>
    <w:p>
      <w:pPr>
        <w:spacing w:after="0" w:line="105" w:lineRule="exact"/>
        <w:rPr>
          <w:sz w:val="20"/>
          <w:szCs w:val="20"/>
          <w:color w:val="auto"/>
        </w:rPr>
      </w:pPr>
    </w:p>
    <w:p>
      <w:pPr>
        <w:ind w:right="20" w:firstLine="401"/>
        <w:spacing w:after="0" w:line="247" w:lineRule="auto"/>
        <w:rPr>
          <w:sz w:val="20"/>
          <w:szCs w:val="20"/>
          <w:color w:val="auto"/>
        </w:rPr>
      </w:pPr>
      <w:r>
        <w:rPr>
          <w:rFonts w:ascii="Arial" w:cs="Arial" w:eastAsia="Arial" w:hAnsi="Arial"/>
          <w:sz w:val="18"/>
          <w:szCs w:val="18"/>
          <w:color w:val="auto"/>
        </w:rPr>
        <w:t>We believe the fiscal 2022 target annual cash incentive awards when combined with the annual base salaries are within a reasonable range of the market 50</w:t>
      </w:r>
      <w:r>
        <w:rPr>
          <w:rFonts w:ascii="Arial" w:cs="Arial" w:eastAsia="Arial" w:hAnsi="Arial"/>
          <w:sz w:val="15"/>
          <w:szCs w:val="15"/>
          <w:color w:val="auto"/>
        </w:rPr>
        <w:t>th</w:t>
      </w:r>
      <w:r>
        <w:rPr>
          <w:rFonts w:ascii="Arial" w:cs="Arial" w:eastAsia="Arial" w:hAnsi="Arial"/>
          <w:sz w:val="18"/>
          <w:szCs w:val="18"/>
          <w:color w:val="auto"/>
        </w:rPr>
        <w:t xml:space="preserve"> percentile and that the differentiation of target awards among our NEOs was appropriate given the scope and responsibility of their respective positions. The changes in the target award for Messrs. Olson and Rodier were made to align their target total cash compensation closer to the market 50</w:t>
      </w:r>
      <w:r>
        <w:rPr>
          <w:rFonts w:ascii="Arial" w:cs="Arial" w:eastAsia="Arial" w:hAnsi="Arial"/>
          <w:sz w:val="15"/>
          <w:szCs w:val="15"/>
          <w:color w:val="auto"/>
        </w:rPr>
        <w:t>th</w:t>
      </w:r>
      <w:r>
        <w:rPr>
          <w:rFonts w:ascii="Arial" w:cs="Arial" w:eastAsia="Arial" w:hAnsi="Arial"/>
          <w:sz w:val="18"/>
          <w:szCs w:val="18"/>
          <w:color w:val="auto"/>
        </w:rPr>
        <w:t xml:space="preserve"> percentile.</w:t>
      </w:r>
    </w:p>
    <w:p>
      <w:pPr>
        <w:spacing w:after="0" w:line="66" w:lineRule="exact"/>
        <w:rPr>
          <w:sz w:val="20"/>
          <w:szCs w:val="20"/>
          <w:color w:val="auto"/>
        </w:rPr>
      </w:pPr>
    </w:p>
    <w:p>
      <w:pPr>
        <w:ind w:firstLine="401"/>
        <w:spacing w:after="0" w:line="244" w:lineRule="auto"/>
        <w:rPr>
          <w:sz w:val="20"/>
          <w:szCs w:val="20"/>
          <w:color w:val="auto"/>
        </w:rPr>
      </w:pPr>
      <w:r>
        <w:rPr>
          <w:rFonts w:ascii="Arial" w:cs="Arial" w:eastAsia="Arial" w:hAnsi="Arial"/>
          <w:sz w:val="18"/>
          <w:szCs w:val="18"/>
          <w:i w:val="1"/>
          <w:iCs w:val="1"/>
          <w:color w:val="auto"/>
        </w:rPr>
        <w:t xml:space="preserve">Performance Measures, Weightings and Goals. </w:t>
      </w:r>
      <w:r>
        <w:rPr>
          <w:rFonts w:ascii="Arial" w:cs="Arial" w:eastAsia="Arial" w:hAnsi="Arial"/>
          <w:sz w:val="18"/>
          <w:szCs w:val="18"/>
          <w:color w:val="auto"/>
        </w:rPr>
        <w:t>Each year, the Committee determines performance measures, weightings, goals and</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adjustment events, if any, for the annual cash incentive awards. We believe that in order to motivate our executive officers to achieve annual financial goals, it is important to select performance measures aligned with our annual financial goals, as well as drive shareholder value. Key elements for fiscal 2022 included profitability, revenue growth, and asset efficiency; and, accordingly, the performance measures for fiscal 2022 and their weightings were intended to support these key elements.</w:t>
      </w:r>
    </w:p>
    <w:p>
      <w:pPr>
        <w:spacing w:after="0" w:line="6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corporate performance measures and weightings for fiscal 2022 were as follows:</w:t>
      </w:r>
    </w:p>
    <w:p>
      <w:pPr>
        <w:spacing w:after="0" w:line="122" w:lineRule="exact"/>
        <w:rPr>
          <w:sz w:val="20"/>
          <w:szCs w:val="20"/>
          <w:color w:val="auto"/>
        </w:rPr>
      </w:pPr>
    </w:p>
    <w:tbl>
      <w:tblPr>
        <w:tblLayout w:type="fixed"/>
        <w:tblInd w:w="1420" w:type="dxa"/>
        <w:tblCellMar>
          <w:top w:w="0" w:type="dxa"/>
          <w:left w:w="0" w:type="dxa"/>
          <w:bottom w:w="0" w:type="dxa"/>
          <w:right w:w="0" w:type="dxa"/>
        </w:tblCellMar>
      </w:tblPr>
      <w:tr>
        <w:trPr>
          <w:trHeight w:val="203"/>
        </w:trPr>
        <w:tc>
          <w:tcPr>
            <w:tcW w:w="568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Corporate Performance Measures</w:t>
            </w:r>
          </w:p>
        </w:tc>
        <w:tc>
          <w:tcPr>
            <w:tcW w:w="2740" w:type="dxa"/>
            <w:vAlign w:val="bottom"/>
            <w:shd w:val="clear" w:color="auto" w:fill="C00000"/>
          </w:tcPr>
          <w:p>
            <w:pPr>
              <w:spacing w:after="0"/>
              <w:rPr>
                <w:sz w:val="17"/>
                <w:szCs w:val="17"/>
                <w:color w:val="auto"/>
              </w:rPr>
            </w:pPr>
          </w:p>
        </w:tc>
      </w:tr>
      <w:tr>
        <w:trPr>
          <w:trHeight w:val="222"/>
        </w:trPr>
        <w:tc>
          <w:tcPr>
            <w:tcW w:w="5680" w:type="dxa"/>
            <w:vAlign w:val="bottom"/>
          </w:tcPr>
          <w:p>
            <w:pPr>
              <w:spacing w:after="0"/>
              <w:rPr>
                <w:sz w:val="20"/>
                <w:szCs w:val="20"/>
                <w:color w:val="auto"/>
              </w:rPr>
            </w:pPr>
            <w:r>
              <w:rPr>
                <w:rFonts w:ascii="Arial" w:cs="Arial" w:eastAsia="Arial" w:hAnsi="Arial"/>
                <w:sz w:val="16"/>
                <w:szCs w:val="16"/>
                <w:color w:val="auto"/>
              </w:rPr>
              <w:t>Adjusted diluted EPS*</w:t>
            </w:r>
          </w:p>
        </w:tc>
        <w:tc>
          <w:tcPr>
            <w:tcW w:w="2740" w:type="dxa"/>
            <w:vAlign w:val="bottom"/>
          </w:tcPr>
          <w:p>
            <w:pPr>
              <w:jc w:val="right"/>
              <w:ind w:right="19"/>
              <w:spacing w:after="0"/>
              <w:rPr>
                <w:sz w:val="20"/>
                <w:szCs w:val="20"/>
                <w:color w:val="auto"/>
              </w:rPr>
            </w:pPr>
            <w:r>
              <w:rPr>
                <w:rFonts w:ascii="Arial" w:cs="Arial" w:eastAsia="Arial" w:hAnsi="Arial"/>
                <w:sz w:val="16"/>
                <w:szCs w:val="16"/>
                <w:color w:val="auto"/>
              </w:rPr>
              <w:t>50%</w:t>
            </w:r>
          </w:p>
        </w:tc>
      </w:tr>
      <w:tr>
        <w:trPr>
          <w:trHeight w:val="237"/>
        </w:trPr>
        <w:tc>
          <w:tcPr>
            <w:tcW w:w="5680" w:type="dxa"/>
            <w:vAlign w:val="bottom"/>
            <w:shd w:val="clear" w:color="auto" w:fill="D9D9D9"/>
          </w:tcPr>
          <w:p>
            <w:pPr>
              <w:spacing w:after="0"/>
              <w:rPr>
                <w:sz w:val="20"/>
                <w:szCs w:val="20"/>
                <w:color w:val="auto"/>
              </w:rPr>
            </w:pPr>
            <w:r>
              <w:rPr>
                <w:rFonts w:ascii="Arial" w:cs="Arial" w:eastAsia="Arial" w:hAnsi="Arial"/>
                <w:sz w:val="16"/>
                <w:szCs w:val="16"/>
                <w:color w:val="auto"/>
              </w:rPr>
              <w:t>Corporate revenue growth</w:t>
            </w:r>
          </w:p>
        </w:tc>
        <w:tc>
          <w:tcPr>
            <w:tcW w:w="2740" w:type="dxa"/>
            <w:vAlign w:val="bottom"/>
            <w:shd w:val="clear" w:color="auto" w:fill="D9D9D9"/>
          </w:tcPr>
          <w:p>
            <w:pPr>
              <w:jc w:val="right"/>
              <w:ind w:right="19"/>
              <w:spacing w:after="0"/>
              <w:rPr>
                <w:sz w:val="20"/>
                <w:szCs w:val="20"/>
                <w:color w:val="auto"/>
              </w:rPr>
            </w:pPr>
            <w:r>
              <w:rPr>
                <w:rFonts w:ascii="Arial" w:cs="Arial" w:eastAsia="Arial" w:hAnsi="Arial"/>
                <w:sz w:val="16"/>
                <w:szCs w:val="16"/>
                <w:color w:val="auto"/>
              </w:rPr>
              <w:t>30%</w:t>
            </w:r>
          </w:p>
        </w:tc>
      </w:tr>
      <w:tr>
        <w:trPr>
          <w:trHeight w:val="215"/>
        </w:trPr>
        <w:tc>
          <w:tcPr>
            <w:tcW w:w="5680" w:type="dxa"/>
            <w:vAlign w:val="bottom"/>
          </w:tcPr>
          <w:p>
            <w:pPr>
              <w:spacing w:after="0"/>
              <w:rPr>
                <w:sz w:val="20"/>
                <w:szCs w:val="20"/>
                <w:color w:val="auto"/>
              </w:rPr>
            </w:pPr>
            <w:r>
              <w:rPr>
                <w:rFonts w:ascii="Arial" w:cs="Arial" w:eastAsia="Arial" w:hAnsi="Arial"/>
                <w:sz w:val="16"/>
                <w:szCs w:val="16"/>
                <w:color w:val="auto"/>
              </w:rPr>
              <w:t>Corporate working capital as a percent of sales</w:t>
            </w:r>
          </w:p>
        </w:tc>
        <w:tc>
          <w:tcPr>
            <w:tcW w:w="2740" w:type="dxa"/>
            <w:vAlign w:val="bottom"/>
          </w:tcPr>
          <w:p>
            <w:pPr>
              <w:jc w:val="right"/>
              <w:ind w:right="19"/>
              <w:spacing w:after="0"/>
              <w:rPr>
                <w:sz w:val="20"/>
                <w:szCs w:val="20"/>
                <w:color w:val="auto"/>
              </w:rPr>
            </w:pPr>
            <w:r>
              <w:rPr>
                <w:rFonts w:ascii="Arial" w:cs="Arial" w:eastAsia="Arial" w:hAnsi="Arial"/>
                <w:sz w:val="16"/>
                <w:szCs w:val="16"/>
                <w:color w:val="auto"/>
              </w:rPr>
              <w:t>20%</w:t>
            </w:r>
          </w:p>
        </w:tc>
      </w:tr>
    </w:tbl>
    <w:p>
      <w:pPr>
        <w:spacing w:after="0" w:line="109" w:lineRule="exact"/>
        <w:rPr>
          <w:sz w:val="20"/>
          <w:szCs w:val="20"/>
          <w:color w:val="auto"/>
        </w:rPr>
      </w:pPr>
    </w:p>
    <w:p>
      <w:pPr>
        <w:ind w:left="1320" w:right="1400" w:firstLine="4"/>
        <w:spacing w:after="0" w:line="286" w:lineRule="auto"/>
        <w:tabs>
          <w:tab w:leader="none" w:pos="1428" w:val="left"/>
        </w:tabs>
        <w:numPr>
          <w:ilvl w:val="0"/>
          <w:numId w:val="60"/>
        </w:numPr>
        <w:rPr>
          <w:rFonts w:ascii="Arial" w:cs="Arial" w:eastAsia="Arial" w:hAnsi="Arial"/>
          <w:sz w:val="16"/>
          <w:szCs w:val="16"/>
          <w:color w:val="auto"/>
        </w:rPr>
      </w:pPr>
      <w:r>
        <w:rPr>
          <w:rFonts w:ascii="Arial" w:cs="Arial" w:eastAsia="Arial" w:hAnsi="Arial"/>
          <w:sz w:val="16"/>
          <w:szCs w:val="16"/>
          <w:color w:val="auto"/>
        </w:rPr>
        <w:t>Non-GAAP financial measure. See fiscal 2022 investor presentation for definition and reconciliation to GAAP financial measure.</w:t>
      </w:r>
    </w:p>
    <w:p>
      <w:pPr>
        <w:spacing w:after="0" w:line="43" w:lineRule="exact"/>
        <w:rPr>
          <w:sz w:val="20"/>
          <w:szCs w:val="20"/>
          <w:color w:val="auto"/>
        </w:rPr>
      </w:pPr>
    </w:p>
    <w:p>
      <w:pPr>
        <w:ind w:firstLine="401"/>
        <w:spacing w:after="0" w:line="239" w:lineRule="auto"/>
        <w:rPr>
          <w:sz w:val="20"/>
          <w:szCs w:val="20"/>
          <w:color w:val="auto"/>
        </w:rPr>
      </w:pPr>
      <w:r>
        <w:rPr>
          <w:rFonts w:ascii="Arial" w:cs="Arial" w:eastAsia="Arial" w:hAnsi="Arial"/>
          <w:sz w:val="18"/>
          <w:szCs w:val="18"/>
          <w:color w:val="auto"/>
        </w:rPr>
        <w:t>At its meeting in December 2021, the Committee’s first meeting of fiscal 2022, threshold, target and maximum goals were established by the Committee for each corporate performance measure. Target levels of performance were established based on our annual financial goals, which takes into account our prior fiscal year actual financial results, our competitive situation and the general outlook for our business for fiscal 2022. In addition, in light of significant economic uncertainties and unprecedented supply chain challenges, we believed that, while it was important to drive toward performance levels that met or exceeded plan, a 90% payout level between threshold and target levels of performance was appropriate to recognize the impact that these challenges had on our ability to impact performance against these goals. Therefore, for fiscal 2022, a 90% payout level was established for the adjusted diluted EPS and revenue growth performance measures. As in past years, the adjusted diluted EPS threshold goal, which was set at 80% of plan, must have been met in order for there to be any payout for corporate participants.</w:t>
      </w:r>
    </w:p>
    <w:p>
      <w:pPr>
        <w:spacing w:after="0" w:line="75" w:lineRule="exact"/>
        <w:rPr>
          <w:sz w:val="20"/>
          <w:szCs w:val="20"/>
          <w:color w:val="auto"/>
        </w:rPr>
      </w:pPr>
    </w:p>
    <w:p>
      <w:pPr>
        <w:jc w:val="both"/>
        <w:ind w:right="40" w:firstLine="401"/>
        <w:spacing w:after="0" w:line="253" w:lineRule="auto"/>
        <w:rPr>
          <w:sz w:val="20"/>
          <w:szCs w:val="20"/>
          <w:color w:val="auto"/>
        </w:rPr>
      </w:pPr>
      <w:r>
        <w:rPr>
          <w:rFonts w:ascii="Arial" w:cs="Arial" w:eastAsia="Arial" w:hAnsi="Arial"/>
          <w:sz w:val="18"/>
          <w:szCs w:val="18"/>
          <w:color w:val="auto"/>
        </w:rPr>
        <w:t>The Committee established specific adjustment events for determining corporate performance payouts. The impact of an acquisition on the payouts was determined by the size of the acquisition based on projected annual revenue for the first twelve months following the closing of an acquisition, as follows:</w:t>
      </w:r>
    </w:p>
    <w:p>
      <w:pPr>
        <w:spacing w:after="0" w:line="61" w:lineRule="exact"/>
        <w:rPr>
          <w:sz w:val="20"/>
          <w:szCs w:val="20"/>
          <w:color w:val="auto"/>
        </w:rPr>
      </w:pPr>
    </w:p>
    <w:p>
      <w:pPr>
        <w:ind w:left="800" w:right="80" w:hanging="401"/>
        <w:spacing w:after="0" w:line="266" w:lineRule="auto"/>
        <w:tabs>
          <w:tab w:leader="none" w:pos="80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8"/>
          <w:szCs w:val="18"/>
          <w:color w:val="auto"/>
        </w:rPr>
        <w:t>The impact of any acquisition greater than $10 million was to be excluded from the payout calculation, unless such acquisition was included in the fiscal 2022 goals; and</w:t>
      </w:r>
    </w:p>
    <w:p>
      <w:pPr>
        <w:ind w:left="800" w:hanging="401"/>
        <w:spacing w:after="0"/>
        <w:tabs>
          <w:tab w:leader="none" w:pos="80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8"/>
          <w:szCs w:val="18"/>
          <w:color w:val="auto"/>
        </w:rPr>
        <w:t>The impact of any acquisition less than $10 million was to be included in the payout calculation.</w:t>
      </w:r>
    </w:p>
    <w:p>
      <w:pPr>
        <w:spacing w:after="0" w:line="104"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In addition, any externally driven changes in accounting principles and standards were to be excluded if the cumulative net impact on the payout of all such accounting adjustments affected the award payout by more than 2%.</w:t>
      </w:r>
    </w:p>
    <w:p>
      <w:pPr>
        <w:spacing w:after="0" w:line="46" w:lineRule="exact"/>
        <w:rPr>
          <w:sz w:val="20"/>
          <w:szCs w:val="20"/>
          <w:color w:val="auto"/>
        </w:rPr>
      </w:pPr>
    </w:p>
    <w:p>
      <w:pPr>
        <w:ind w:right="60" w:firstLine="401"/>
        <w:spacing w:after="0" w:line="253" w:lineRule="auto"/>
        <w:rPr>
          <w:sz w:val="20"/>
          <w:szCs w:val="20"/>
          <w:color w:val="auto"/>
        </w:rPr>
      </w:pPr>
      <w:r>
        <w:rPr>
          <w:rFonts w:ascii="Arial" w:cs="Arial" w:eastAsia="Arial" w:hAnsi="Arial"/>
          <w:sz w:val="18"/>
          <w:szCs w:val="18"/>
          <w:i w:val="1"/>
          <w:iCs w:val="1"/>
          <w:color w:val="auto"/>
        </w:rPr>
        <w:t xml:space="preserve">Performance Measures and Goals. </w:t>
      </w:r>
      <w:r>
        <w:rPr>
          <w:rFonts w:ascii="Arial" w:cs="Arial" w:eastAsia="Arial" w:hAnsi="Arial"/>
          <w:sz w:val="18"/>
          <w:szCs w:val="18"/>
          <w:color w:val="auto"/>
        </w:rPr>
        <w:t>Our executive officers with all corporate responsibilities, which includes all of our NEOs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Mr. Carpenter, had 100% of their annual cash incentive tied to corporate performance to encourage an enterprise-wide performance perspective. Mr. Carpenter had 80% of his annual cash incentive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103"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tied to corporate performance. The table below summarizes the fiscal 2022 corporate performance measures and goals applicable to our NEOs, although the weightings for Mr. Carpenter were different, as described below.</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48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Corporate:</w:t>
            </w:r>
          </w:p>
        </w:tc>
        <w:tc>
          <w:tcPr>
            <w:tcW w:w="12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Threshold</w:t>
            </w:r>
          </w:p>
        </w:tc>
        <w:tc>
          <w:tcPr>
            <w:tcW w:w="12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90% Payout</w:t>
            </w:r>
          </w:p>
        </w:tc>
        <w:tc>
          <w:tcPr>
            <w:tcW w:w="13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1400" w:type="dxa"/>
            <w:vAlign w:val="bottom"/>
            <w:shd w:val="clear" w:color="auto" w:fill="C00000"/>
          </w:tcPr>
          <w:p>
            <w:pPr>
              <w:jc w:val="center"/>
              <w:ind w:right="68"/>
              <w:spacing w:after="0"/>
              <w:rPr>
                <w:sz w:val="20"/>
                <w:szCs w:val="20"/>
                <w:color w:val="auto"/>
              </w:rPr>
            </w:pPr>
            <w:r>
              <w:rPr>
                <w:rFonts w:ascii="Arial" w:cs="Arial" w:eastAsia="Arial" w:hAnsi="Arial"/>
                <w:sz w:val="14"/>
                <w:szCs w:val="14"/>
                <w:b w:val="1"/>
                <w:bCs w:val="1"/>
                <w:color w:val="FFFFFF"/>
              </w:rPr>
              <w:t>Maximum</w:t>
            </w:r>
          </w:p>
        </w:tc>
        <w:tc>
          <w:tcPr>
            <w:tcW w:w="2560" w:type="dxa"/>
            <w:vAlign w:val="bottom"/>
            <w:shd w:val="clear" w:color="auto" w:fill="C00000"/>
          </w:tcPr>
          <w:p>
            <w:pPr>
              <w:spacing w:after="0"/>
              <w:rPr>
                <w:sz w:val="14"/>
                <w:szCs w:val="14"/>
                <w:color w:val="auto"/>
              </w:rPr>
            </w:pPr>
          </w:p>
        </w:tc>
      </w:tr>
      <w:tr>
        <w:trPr>
          <w:trHeight w:val="171"/>
        </w:trPr>
        <w:tc>
          <w:tcPr>
            <w:tcW w:w="348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Fiscal 2022 Performance Measures</w:t>
            </w:r>
          </w:p>
        </w:tc>
        <w:tc>
          <w:tcPr>
            <w:tcW w:w="12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(40% payout)</w:t>
            </w:r>
          </w:p>
        </w:tc>
        <w:tc>
          <w:tcPr>
            <w:tcW w:w="12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Level</w:t>
            </w:r>
          </w:p>
        </w:tc>
        <w:tc>
          <w:tcPr>
            <w:tcW w:w="13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(100% payout)</w:t>
            </w:r>
          </w:p>
        </w:tc>
        <w:tc>
          <w:tcPr>
            <w:tcW w:w="1400" w:type="dxa"/>
            <w:vAlign w:val="bottom"/>
            <w:shd w:val="clear" w:color="auto" w:fill="C00000"/>
          </w:tcPr>
          <w:p>
            <w:pPr>
              <w:jc w:val="center"/>
              <w:ind w:right="68"/>
              <w:spacing w:after="0"/>
              <w:rPr>
                <w:sz w:val="20"/>
                <w:szCs w:val="20"/>
                <w:color w:val="auto"/>
              </w:rPr>
            </w:pPr>
            <w:r>
              <w:rPr>
                <w:rFonts w:ascii="Arial" w:cs="Arial" w:eastAsia="Arial" w:hAnsi="Arial"/>
                <w:sz w:val="14"/>
                <w:szCs w:val="14"/>
                <w:b w:val="1"/>
                <w:bCs w:val="1"/>
                <w:color w:val="FFFFFF"/>
              </w:rPr>
              <w:t>(200% payout)</w:t>
            </w:r>
          </w:p>
        </w:tc>
        <w:tc>
          <w:tcPr>
            <w:tcW w:w="2560" w:type="dxa"/>
            <w:vAlign w:val="bottom"/>
            <w:shd w:val="clear" w:color="auto" w:fill="C00000"/>
          </w:tcPr>
          <w:p>
            <w:pPr>
              <w:jc w:val="center"/>
              <w:ind w:right="8"/>
              <w:spacing w:after="0"/>
              <w:rPr>
                <w:sz w:val="20"/>
                <w:szCs w:val="20"/>
                <w:color w:val="auto"/>
              </w:rPr>
            </w:pPr>
            <w:r>
              <w:rPr>
                <w:rFonts w:ascii="Arial" w:cs="Arial" w:eastAsia="Arial" w:hAnsi="Arial"/>
                <w:sz w:val="14"/>
                <w:szCs w:val="14"/>
                <w:b w:val="1"/>
                <w:bCs w:val="1"/>
                <w:color w:val="FFFFFF"/>
              </w:rPr>
              <w:t>Actual</w:t>
            </w:r>
          </w:p>
        </w:tc>
      </w:tr>
      <w:tr>
        <w:trPr>
          <w:trHeight w:val="166"/>
        </w:trPr>
        <w:tc>
          <w:tcPr>
            <w:tcW w:w="3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560" w:type="dxa"/>
            <w:vAlign w:val="bottom"/>
          </w:tcPr>
          <w:p>
            <w:pPr>
              <w:jc w:val="center"/>
              <w:ind w:right="8"/>
              <w:spacing w:after="0"/>
              <w:rPr>
                <w:sz w:val="20"/>
                <w:szCs w:val="20"/>
                <w:color w:val="auto"/>
              </w:rPr>
            </w:pPr>
            <w:r>
              <w:rPr>
                <w:rFonts w:ascii="Arial" w:cs="Arial" w:eastAsia="Arial" w:hAnsi="Arial"/>
                <w:sz w:val="14"/>
                <w:szCs w:val="14"/>
                <w:color w:val="auto"/>
              </w:rPr>
              <w:t>$4.16</w:t>
            </w:r>
          </w:p>
        </w:tc>
      </w:tr>
      <w:tr>
        <w:trPr>
          <w:trHeight w:val="171"/>
        </w:trPr>
        <w:tc>
          <w:tcPr>
            <w:tcW w:w="3480" w:type="dxa"/>
            <w:vAlign w:val="bottom"/>
          </w:tcPr>
          <w:p>
            <w:pPr>
              <w:spacing w:after="0"/>
              <w:rPr>
                <w:sz w:val="20"/>
                <w:szCs w:val="20"/>
                <w:color w:val="auto"/>
              </w:rPr>
            </w:pPr>
            <w:r>
              <w:rPr>
                <w:rFonts w:ascii="Arial" w:cs="Arial" w:eastAsia="Arial" w:hAnsi="Arial"/>
                <w:sz w:val="14"/>
                <w:szCs w:val="14"/>
                <w:color w:val="auto"/>
              </w:rPr>
              <w:t>50% adjusted diluted EPS</w:t>
            </w:r>
          </w:p>
        </w:tc>
        <w:tc>
          <w:tcPr>
            <w:tcW w:w="1260" w:type="dxa"/>
            <w:vAlign w:val="bottom"/>
          </w:tcPr>
          <w:p>
            <w:pPr>
              <w:jc w:val="center"/>
              <w:spacing w:after="0"/>
              <w:rPr>
                <w:sz w:val="20"/>
                <w:szCs w:val="20"/>
                <w:color w:val="auto"/>
              </w:rPr>
            </w:pPr>
            <w:r>
              <w:rPr>
                <w:rFonts w:ascii="Arial" w:cs="Arial" w:eastAsia="Arial" w:hAnsi="Arial"/>
                <w:sz w:val="14"/>
                <w:szCs w:val="14"/>
                <w:color w:val="auto"/>
              </w:rPr>
              <w:t>$3.46</w:t>
            </w:r>
          </w:p>
        </w:tc>
        <w:tc>
          <w:tcPr>
            <w:tcW w:w="1200" w:type="dxa"/>
            <w:vAlign w:val="bottom"/>
          </w:tcPr>
          <w:p>
            <w:pPr>
              <w:jc w:val="right"/>
              <w:ind w:right="328"/>
              <w:spacing w:after="0"/>
              <w:rPr>
                <w:sz w:val="20"/>
                <w:szCs w:val="20"/>
                <w:color w:val="auto"/>
              </w:rPr>
            </w:pPr>
            <w:r>
              <w:rPr>
                <w:rFonts w:ascii="Arial" w:cs="Arial" w:eastAsia="Arial" w:hAnsi="Arial"/>
                <w:sz w:val="14"/>
                <w:szCs w:val="14"/>
                <w:color w:val="auto"/>
              </w:rPr>
              <w:t>$4.00</w:t>
            </w:r>
          </w:p>
        </w:tc>
        <w:tc>
          <w:tcPr>
            <w:tcW w:w="1340" w:type="dxa"/>
            <w:vAlign w:val="bottom"/>
          </w:tcPr>
          <w:p>
            <w:pPr>
              <w:jc w:val="center"/>
              <w:spacing w:after="0"/>
              <w:rPr>
                <w:sz w:val="20"/>
                <w:szCs w:val="20"/>
                <w:color w:val="auto"/>
              </w:rPr>
            </w:pPr>
            <w:r>
              <w:rPr>
                <w:rFonts w:ascii="Arial" w:cs="Arial" w:eastAsia="Arial" w:hAnsi="Arial"/>
                <w:sz w:val="14"/>
                <w:szCs w:val="14"/>
                <w:color w:val="auto"/>
              </w:rPr>
              <w:t>$4.33</w:t>
            </w:r>
          </w:p>
        </w:tc>
        <w:tc>
          <w:tcPr>
            <w:tcW w:w="1400" w:type="dxa"/>
            <w:vAlign w:val="bottom"/>
          </w:tcPr>
          <w:p>
            <w:pPr>
              <w:jc w:val="center"/>
              <w:ind w:right="48"/>
              <w:spacing w:after="0"/>
              <w:rPr>
                <w:sz w:val="20"/>
                <w:szCs w:val="20"/>
                <w:color w:val="auto"/>
              </w:rPr>
            </w:pPr>
            <w:r>
              <w:rPr>
                <w:rFonts w:ascii="Arial" w:cs="Arial" w:eastAsia="Arial" w:hAnsi="Arial"/>
                <w:sz w:val="14"/>
                <w:szCs w:val="14"/>
                <w:color w:val="auto"/>
              </w:rPr>
              <w:t>$5.20</w:t>
            </w:r>
          </w:p>
        </w:tc>
        <w:tc>
          <w:tcPr>
            <w:tcW w:w="2560" w:type="dxa"/>
            <w:vAlign w:val="bottom"/>
          </w:tcPr>
          <w:p>
            <w:pPr>
              <w:jc w:val="center"/>
              <w:ind w:right="8"/>
              <w:spacing w:after="0"/>
              <w:rPr>
                <w:sz w:val="20"/>
                <w:szCs w:val="20"/>
                <w:color w:val="auto"/>
              </w:rPr>
            </w:pPr>
            <w:r>
              <w:rPr>
                <w:rFonts w:ascii="Arial" w:cs="Arial" w:eastAsia="Arial" w:hAnsi="Arial"/>
                <w:sz w:val="14"/>
                <w:szCs w:val="14"/>
                <w:color w:val="auto"/>
              </w:rPr>
              <w:t>(between threshold and target)</w:t>
            </w:r>
          </w:p>
        </w:tc>
      </w:tr>
      <w:tr>
        <w:trPr>
          <w:trHeight w:val="166"/>
        </w:trPr>
        <w:tc>
          <w:tcPr>
            <w:tcW w:w="3480" w:type="dxa"/>
            <w:vAlign w:val="bottom"/>
            <w:shd w:val="clear" w:color="auto" w:fill="D9D9D9"/>
          </w:tcPr>
          <w:p>
            <w:pPr>
              <w:spacing w:after="0"/>
              <w:rPr>
                <w:sz w:val="14"/>
                <w:szCs w:val="14"/>
                <w:color w:val="auto"/>
              </w:rPr>
            </w:pPr>
          </w:p>
        </w:tc>
        <w:tc>
          <w:tcPr>
            <w:tcW w:w="1260" w:type="dxa"/>
            <w:vAlign w:val="bottom"/>
            <w:shd w:val="clear" w:color="auto" w:fill="D9D9D9"/>
          </w:tcPr>
          <w:p>
            <w:pPr>
              <w:spacing w:after="0"/>
              <w:rPr>
                <w:sz w:val="14"/>
                <w:szCs w:val="14"/>
                <w:color w:val="auto"/>
              </w:rPr>
            </w:pPr>
          </w:p>
        </w:tc>
        <w:tc>
          <w:tcPr>
            <w:tcW w:w="1200" w:type="dxa"/>
            <w:vAlign w:val="bottom"/>
            <w:shd w:val="clear" w:color="auto" w:fill="D9D9D9"/>
          </w:tcPr>
          <w:p>
            <w:pPr>
              <w:spacing w:after="0"/>
              <w:rPr>
                <w:sz w:val="14"/>
                <w:szCs w:val="14"/>
                <w:color w:val="auto"/>
              </w:rPr>
            </w:pPr>
          </w:p>
        </w:tc>
        <w:tc>
          <w:tcPr>
            <w:tcW w:w="1340" w:type="dxa"/>
            <w:vAlign w:val="bottom"/>
            <w:shd w:val="clear" w:color="auto" w:fill="D9D9D9"/>
          </w:tcPr>
          <w:p>
            <w:pPr>
              <w:spacing w:after="0"/>
              <w:rPr>
                <w:sz w:val="14"/>
                <w:szCs w:val="14"/>
                <w:color w:val="auto"/>
              </w:rPr>
            </w:pPr>
          </w:p>
        </w:tc>
        <w:tc>
          <w:tcPr>
            <w:tcW w:w="1400" w:type="dxa"/>
            <w:vAlign w:val="bottom"/>
            <w:shd w:val="clear" w:color="auto" w:fill="D9D9D9"/>
          </w:tcPr>
          <w:p>
            <w:pPr>
              <w:spacing w:after="0"/>
              <w:rPr>
                <w:sz w:val="14"/>
                <w:szCs w:val="14"/>
                <w:color w:val="auto"/>
              </w:rPr>
            </w:pPr>
          </w:p>
        </w:tc>
        <w:tc>
          <w:tcPr>
            <w:tcW w:w="2560" w:type="dxa"/>
            <w:vAlign w:val="bottom"/>
            <w:shd w:val="clear" w:color="auto" w:fill="D9D9D9"/>
          </w:tcPr>
          <w:p>
            <w:pPr>
              <w:jc w:val="center"/>
              <w:ind w:right="8"/>
              <w:spacing w:after="0"/>
              <w:rPr>
                <w:sz w:val="20"/>
                <w:szCs w:val="20"/>
                <w:color w:val="auto"/>
              </w:rPr>
            </w:pPr>
            <w:r>
              <w:rPr>
                <w:rFonts w:ascii="Arial" w:cs="Arial" w:eastAsia="Arial" w:hAnsi="Arial"/>
                <w:sz w:val="14"/>
                <w:szCs w:val="14"/>
                <w:color w:val="auto"/>
              </w:rPr>
              <w:t>9.4%</w:t>
            </w:r>
          </w:p>
        </w:tc>
      </w:tr>
      <w:tr>
        <w:trPr>
          <w:trHeight w:val="171"/>
        </w:trPr>
        <w:tc>
          <w:tcPr>
            <w:tcW w:w="3480" w:type="dxa"/>
            <w:vAlign w:val="bottom"/>
            <w:shd w:val="clear" w:color="auto" w:fill="D9D9D9"/>
          </w:tcPr>
          <w:p>
            <w:pPr>
              <w:spacing w:after="0"/>
              <w:rPr>
                <w:sz w:val="20"/>
                <w:szCs w:val="20"/>
                <w:color w:val="auto"/>
              </w:rPr>
            </w:pPr>
            <w:r>
              <w:rPr>
                <w:rFonts w:ascii="Arial" w:cs="Arial" w:eastAsia="Arial" w:hAnsi="Arial"/>
                <w:sz w:val="14"/>
                <w:szCs w:val="14"/>
                <w:color w:val="auto"/>
              </w:rPr>
              <w:t>30% corporate revenue growth</w:t>
            </w:r>
          </w:p>
        </w:tc>
        <w:tc>
          <w:tcPr>
            <w:tcW w:w="126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8.1%</w:t>
            </w:r>
          </w:p>
        </w:tc>
        <w:tc>
          <w:tcPr>
            <w:tcW w:w="1200" w:type="dxa"/>
            <w:vAlign w:val="bottom"/>
            <w:shd w:val="clear" w:color="auto" w:fill="D9D9D9"/>
          </w:tcPr>
          <w:p>
            <w:pPr>
              <w:jc w:val="right"/>
              <w:ind w:right="308"/>
              <w:spacing w:after="0"/>
              <w:rPr>
                <w:sz w:val="20"/>
                <w:szCs w:val="20"/>
                <w:color w:val="auto"/>
              </w:rPr>
            </w:pPr>
            <w:r>
              <w:rPr>
                <w:rFonts w:ascii="Arial" w:cs="Arial" w:eastAsia="Arial" w:hAnsi="Arial"/>
                <w:sz w:val="14"/>
                <w:szCs w:val="14"/>
                <w:color w:val="auto"/>
              </w:rPr>
              <w:t>10.1%</w:t>
            </w:r>
          </w:p>
        </w:tc>
        <w:tc>
          <w:tcPr>
            <w:tcW w:w="134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12.1%</w:t>
            </w:r>
          </w:p>
        </w:tc>
        <w:tc>
          <w:tcPr>
            <w:tcW w:w="1400" w:type="dxa"/>
            <w:vAlign w:val="bottom"/>
            <w:shd w:val="clear" w:color="auto" w:fill="D9D9D9"/>
          </w:tcPr>
          <w:p>
            <w:pPr>
              <w:jc w:val="center"/>
              <w:ind w:right="68"/>
              <w:spacing w:after="0"/>
              <w:rPr>
                <w:sz w:val="20"/>
                <w:szCs w:val="20"/>
                <w:color w:val="auto"/>
              </w:rPr>
            </w:pPr>
            <w:r>
              <w:rPr>
                <w:rFonts w:ascii="Arial" w:cs="Arial" w:eastAsia="Arial" w:hAnsi="Arial"/>
                <w:sz w:val="14"/>
                <w:szCs w:val="14"/>
                <w:color w:val="auto"/>
              </w:rPr>
              <w:t>15.1%</w:t>
            </w:r>
          </w:p>
        </w:tc>
        <w:tc>
          <w:tcPr>
            <w:tcW w:w="2560" w:type="dxa"/>
            <w:vAlign w:val="bottom"/>
            <w:shd w:val="clear" w:color="auto" w:fill="D9D9D9"/>
          </w:tcPr>
          <w:p>
            <w:pPr>
              <w:jc w:val="center"/>
              <w:ind w:right="8"/>
              <w:spacing w:after="0"/>
              <w:rPr>
                <w:sz w:val="20"/>
                <w:szCs w:val="20"/>
                <w:color w:val="auto"/>
              </w:rPr>
            </w:pPr>
            <w:r>
              <w:rPr>
                <w:rFonts w:ascii="Arial" w:cs="Arial" w:eastAsia="Arial" w:hAnsi="Arial"/>
                <w:sz w:val="14"/>
                <w:szCs w:val="14"/>
                <w:color w:val="auto"/>
              </w:rPr>
              <w:t>(between threshold and target)</w:t>
            </w:r>
          </w:p>
        </w:tc>
      </w:tr>
      <w:tr>
        <w:trPr>
          <w:trHeight w:val="166"/>
        </w:trPr>
        <w:tc>
          <w:tcPr>
            <w:tcW w:w="3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560" w:type="dxa"/>
            <w:vAlign w:val="bottom"/>
          </w:tcPr>
          <w:p>
            <w:pPr>
              <w:jc w:val="center"/>
              <w:ind w:right="8"/>
              <w:spacing w:after="0"/>
              <w:rPr>
                <w:sz w:val="20"/>
                <w:szCs w:val="20"/>
                <w:color w:val="auto"/>
              </w:rPr>
            </w:pPr>
            <w:r>
              <w:rPr>
                <w:rFonts w:ascii="Arial" w:cs="Arial" w:eastAsia="Arial" w:hAnsi="Arial"/>
                <w:sz w:val="14"/>
                <w:szCs w:val="14"/>
                <w:color w:val="auto"/>
              </w:rPr>
              <w:t>17.20%</w:t>
            </w:r>
          </w:p>
        </w:tc>
      </w:tr>
      <w:tr>
        <w:trPr>
          <w:trHeight w:val="171"/>
        </w:trPr>
        <w:tc>
          <w:tcPr>
            <w:tcW w:w="3480" w:type="dxa"/>
            <w:vAlign w:val="bottom"/>
          </w:tcPr>
          <w:p>
            <w:pPr>
              <w:spacing w:after="0"/>
              <w:rPr>
                <w:sz w:val="20"/>
                <w:szCs w:val="20"/>
                <w:color w:val="auto"/>
              </w:rPr>
            </w:pPr>
            <w:r>
              <w:rPr>
                <w:rFonts w:ascii="Arial" w:cs="Arial" w:eastAsia="Arial" w:hAnsi="Arial"/>
                <w:sz w:val="14"/>
                <w:szCs w:val="14"/>
                <w:color w:val="auto"/>
              </w:rPr>
              <w:t>20% corporate working capital as a percent of sales</w:t>
            </w:r>
          </w:p>
        </w:tc>
        <w:tc>
          <w:tcPr>
            <w:tcW w:w="1260" w:type="dxa"/>
            <w:vAlign w:val="bottom"/>
          </w:tcPr>
          <w:p>
            <w:pPr>
              <w:jc w:val="center"/>
              <w:spacing w:after="0"/>
              <w:rPr>
                <w:sz w:val="20"/>
                <w:szCs w:val="20"/>
                <w:color w:val="auto"/>
              </w:rPr>
            </w:pPr>
            <w:r>
              <w:rPr>
                <w:rFonts w:ascii="Arial" w:cs="Arial" w:eastAsia="Arial" w:hAnsi="Arial"/>
                <w:sz w:val="14"/>
                <w:szCs w:val="14"/>
                <w:color w:val="auto"/>
              </w:rPr>
              <w:t>15.67%</w:t>
            </w:r>
          </w:p>
        </w:tc>
        <w:tc>
          <w:tcPr>
            <w:tcW w:w="1200" w:type="dxa"/>
            <w:vAlign w:val="bottom"/>
          </w:tcPr>
          <w:p>
            <w:pPr>
              <w:jc w:val="center"/>
              <w:spacing w:after="0"/>
              <w:rPr>
                <w:sz w:val="20"/>
                <w:szCs w:val="20"/>
                <w:color w:val="auto"/>
              </w:rPr>
            </w:pPr>
            <w:r>
              <w:rPr>
                <w:rFonts w:ascii="Arial" w:cs="Arial" w:eastAsia="Arial" w:hAnsi="Arial"/>
                <w:sz w:val="14"/>
                <w:szCs w:val="14"/>
                <w:color w:val="auto"/>
              </w:rPr>
              <w:t>NA</w:t>
            </w:r>
          </w:p>
        </w:tc>
        <w:tc>
          <w:tcPr>
            <w:tcW w:w="1340" w:type="dxa"/>
            <w:vAlign w:val="bottom"/>
          </w:tcPr>
          <w:p>
            <w:pPr>
              <w:jc w:val="center"/>
              <w:spacing w:after="0"/>
              <w:rPr>
                <w:sz w:val="20"/>
                <w:szCs w:val="20"/>
                <w:color w:val="auto"/>
              </w:rPr>
            </w:pPr>
            <w:r>
              <w:rPr>
                <w:rFonts w:ascii="Arial" w:cs="Arial" w:eastAsia="Arial" w:hAnsi="Arial"/>
                <w:sz w:val="14"/>
                <w:szCs w:val="14"/>
                <w:color w:val="auto"/>
              </w:rPr>
              <w:t>13.63%</w:t>
            </w:r>
          </w:p>
        </w:tc>
        <w:tc>
          <w:tcPr>
            <w:tcW w:w="1400" w:type="dxa"/>
            <w:vAlign w:val="bottom"/>
          </w:tcPr>
          <w:p>
            <w:pPr>
              <w:jc w:val="center"/>
              <w:ind w:right="48"/>
              <w:spacing w:after="0"/>
              <w:rPr>
                <w:sz w:val="20"/>
                <w:szCs w:val="20"/>
                <w:color w:val="auto"/>
              </w:rPr>
            </w:pPr>
            <w:r>
              <w:rPr>
                <w:rFonts w:ascii="Arial" w:cs="Arial" w:eastAsia="Arial" w:hAnsi="Arial"/>
                <w:sz w:val="14"/>
                <w:szCs w:val="14"/>
                <w:color w:val="auto"/>
              </w:rPr>
              <w:t>11.59%</w:t>
            </w:r>
          </w:p>
        </w:tc>
        <w:tc>
          <w:tcPr>
            <w:tcW w:w="2560" w:type="dxa"/>
            <w:vAlign w:val="bottom"/>
          </w:tcPr>
          <w:p>
            <w:pPr>
              <w:jc w:val="center"/>
              <w:spacing w:after="0"/>
              <w:rPr>
                <w:sz w:val="20"/>
                <w:szCs w:val="20"/>
                <w:color w:val="auto"/>
              </w:rPr>
            </w:pPr>
            <w:r>
              <w:rPr>
                <w:rFonts w:ascii="Arial" w:cs="Arial" w:eastAsia="Arial" w:hAnsi="Arial"/>
                <w:sz w:val="14"/>
                <w:szCs w:val="14"/>
                <w:color w:val="auto"/>
              </w:rPr>
              <w:t>(below threshold)</w:t>
            </w:r>
          </w:p>
        </w:tc>
      </w:tr>
      <w:tr>
        <w:trPr>
          <w:trHeight w:val="229"/>
        </w:trPr>
        <w:tc>
          <w:tcPr>
            <w:tcW w:w="3480" w:type="dxa"/>
            <w:vAlign w:val="bottom"/>
            <w:shd w:val="clear" w:color="auto" w:fill="D9D9D9"/>
          </w:tcPr>
          <w:p>
            <w:pPr>
              <w:spacing w:after="0"/>
              <w:rPr>
                <w:sz w:val="20"/>
                <w:szCs w:val="20"/>
                <w:color w:val="auto"/>
              </w:rPr>
            </w:pPr>
            <w:r>
              <w:rPr>
                <w:rFonts w:ascii="Arial" w:cs="Arial" w:eastAsia="Arial" w:hAnsi="Arial"/>
                <w:sz w:val="14"/>
                <w:szCs w:val="14"/>
                <w:b w:val="1"/>
                <w:bCs w:val="1"/>
                <w:color w:val="auto"/>
              </w:rPr>
              <w:t>Corporate performance payout</w:t>
            </w:r>
          </w:p>
        </w:tc>
        <w:tc>
          <w:tcPr>
            <w:tcW w:w="1260" w:type="dxa"/>
            <w:vAlign w:val="bottom"/>
            <w:shd w:val="clear" w:color="auto" w:fill="D9D9D9"/>
          </w:tcPr>
          <w:p>
            <w:pPr>
              <w:spacing w:after="0"/>
              <w:rPr>
                <w:sz w:val="19"/>
                <w:szCs w:val="19"/>
                <w:color w:val="auto"/>
              </w:rPr>
            </w:pPr>
          </w:p>
        </w:tc>
        <w:tc>
          <w:tcPr>
            <w:tcW w:w="1200" w:type="dxa"/>
            <w:vAlign w:val="bottom"/>
            <w:shd w:val="clear" w:color="auto" w:fill="D9D9D9"/>
          </w:tcPr>
          <w:p>
            <w:pPr>
              <w:spacing w:after="0"/>
              <w:rPr>
                <w:sz w:val="19"/>
                <w:szCs w:val="19"/>
                <w:color w:val="auto"/>
              </w:rPr>
            </w:pPr>
          </w:p>
        </w:tc>
        <w:tc>
          <w:tcPr>
            <w:tcW w:w="1340" w:type="dxa"/>
            <w:vAlign w:val="bottom"/>
            <w:shd w:val="clear" w:color="auto" w:fill="D9D9D9"/>
          </w:tcPr>
          <w:p>
            <w:pPr>
              <w:spacing w:after="0"/>
              <w:rPr>
                <w:sz w:val="19"/>
                <w:szCs w:val="19"/>
                <w:color w:val="auto"/>
              </w:rPr>
            </w:pPr>
          </w:p>
        </w:tc>
        <w:tc>
          <w:tcPr>
            <w:tcW w:w="1400" w:type="dxa"/>
            <w:vAlign w:val="bottom"/>
            <w:shd w:val="clear" w:color="auto" w:fill="D9D9D9"/>
          </w:tcPr>
          <w:p>
            <w:pPr>
              <w:spacing w:after="0"/>
              <w:rPr>
                <w:sz w:val="19"/>
                <w:szCs w:val="19"/>
                <w:color w:val="auto"/>
              </w:rPr>
            </w:pPr>
          </w:p>
        </w:tc>
        <w:tc>
          <w:tcPr>
            <w:tcW w:w="2560" w:type="dxa"/>
            <w:vAlign w:val="bottom"/>
            <w:shd w:val="clear" w:color="auto" w:fill="D9D9D9"/>
          </w:tcPr>
          <w:p>
            <w:pPr>
              <w:jc w:val="center"/>
              <w:spacing w:after="0"/>
              <w:rPr>
                <w:sz w:val="20"/>
                <w:szCs w:val="20"/>
                <w:color w:val="auto"/>
              </w:rPr>
            </w:pPr>
            <w:r>
              <w:rPr>
                <w:rFonts w:ascii="Arial" w:cs="Arial" w:eastAsia="Arial" w:hAnsi="Arial"/>
                <w:sz w:val="14"/>
                <w:szCs w:val="14"/>
                <w:b w:val="1"/>
                <w:bCs w:val="1"/>
                <w:color w:val="auto"/>
              </w:rPr>
              <w:t>69.0% of target</w:t>
            </w:r>
          </w:p>
        </w:tc>
      </w:tr>
    </w:tbl>
    <w:p>
      <w:pPr>
        <w:spacing w:after="0" w:line="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actual results reflected above exclude the impact of the acquisition of Intimidator Group in January 2022.</w:t>
      </w:r>
    </w:p>
    <w:p>
      <w:pPr>
        <w:spacing w:after="0" w:line="104" w:lineRule="exact"/>
        <w:rPr>
          <w:sz w:val="20"/>
          <w:szCs w:val="20"/>
          <w:color w:val="auto"/>
        </w:rPr>
      </w:pPr>
    </w:p>
    <w:p>
      <w:pPr>
        <w:ind w:right="60" w:firstLine="401"/>
        <w:spacing w:after="0" w:line="244" w:lineRule="auto"/>
        <w:rPr>
          <w:sz w:val="20"/>
          <w:szCs w:val="20"/>
          <w:color w:val="auto"/>
        </w:rPr>
      </w:pPr>
      <w:r>
        <w:rPr>
          <w:rFonts w:ascii="Arial" w:cs="Arial" w:eastAsia="Arial" w:hAnsi="Arial"/>
          <w:sz w:val="18"/>
          <w:szCs w:val="18"/>
          <w:color w:val="auto"/>
        </w:rPr>
        <w:t>The weightings for Mr. Carpenter’s fiscal 2022 corporate performance measures and goals were 37.5% adjusted diluted EPS, 22.5% corporate revenue growth and 20% corporate working capital as a percent of sales, resulting in an 80% weighting. His remaining 20% was tied to an operations goal, which was a consolidated variable spend per standard hour for all of our manufacturing facilities. The threshold, target and maximum goals were $80.35, $69.87 and $59.39, respectively. Actual performance of the operations goal was $76.74, resulting in between threshold and target performance.</w:t>
      </w:r>
    </w:p>
    <w:p>
      <w:pPr>
        <w:spacing w:after="0" w:line="68" w:lineRule="exact"/>
        <w:rPr>
          <w:sz w:val="20"/>
          <w:szCs w:val="20"/>
          <w:color w:val="auto"/>
        </w:rPr>
      </w:pPr>
    </w:p>
    <w:p>
      <w:pPr>
        <w:ind w:firstLine="401"/>
        <w:spacing w:after="0" w:line="244" w:lineRule="auto"/>
        <w:rPr>
          <w:sz w:val="20"/>
          <w:szCs w:val="20"/>
          <w:color w:val="auto"/>
        </w:rPr>
      </w:pPr>
      <w:r>
        <w:rPr>
          <w:rFonts w:ascii="Arial" w:cs="Arial" w:eastAsia="Arial" w:hAnsi="Arial"/>
          <w:sz w:val="18"/>
          <w:szCs w:val="18"/>
          <w:i w:val="1"/>
          <w:iCs w:val="1"/>
          <w:color w:val="auto"/>
        </w:rPr>
        <w:t>Discussion and Analysis</w:t>
      </w:r>
      <w:r>
        <w:rPr>
          <w:rFonts w:ascii="Arial" w:cs="Arial" w:eastAsia="Arial" w:hAnsi="Arial"/>
          <w:sz w:val="18"/>
          <w:szCs w:val="18"/>
          <w:color w:val="auto"/>
        </w:rPr>
        <w:t>. All of our NEOs, other than Mr. Carpenter, had 100% of their annual cash incentive awards tied to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for all of fiscal 2022; and therefore, their annual cash incentive award payouts were at 69.0% of target. Applying the corporate performance payout to their individual target awards, this translated to payouts of fiscal year base salaries of approximately 90% for Mr. Olson, 55% for Ms. Peterson, 52% for Mr. Rodier, and 42% for Ms. Dahl. Mr. Carpenter’s annual cash incentive award payout was 40% of his fiscal year base salary.</w:t>
      </w:r>
    </w:p>
    <w:p>
      <w:pPr>
        <w:spacing w:after="0" w:line="68" w:lineRule="exact"/>
        <w:rPr>
          <w:sz w:val="20"/>
          <w:szCs w:val="20"/>
          <w:color w:val="auto"/>
        </w:rPr>
      </w:pPr>
    </w:p>
    <w:p>
      <w:pPr>
        <w:ind w:right="80" w:firstLine="401"/>
        <w:spacing w:after="0" w:line="247" w:lineRule="auto"/>
        <w:rPr>
          <w:sz w:val="20"/>
          <w:szCs w:val="20"/>
          <w:color w:val="auto"/>
        </w:rPr>
      </w:pPr>
      <w:r>
        <w:rPr>
          <w:rFonts w:ascii="Arial" w:cs="Arial" w:eastAsia="Arial" w:hAnsi="Arial"/>
          <w:sz w:val="18"/>
          <w:szCs w:val="18"/>
          <w:i w:val="1"/>
          <w:iCs w:val="1"/>
          <w:color w:val="auto"/>
        </w:rPr>
        <w:t xml:space="preserve">Actual Cash Compensation Discussion and Analysis. </w:t>
      </w:r>
      <w:r>
        <w:rPr>
          <w:rFonts w:ascii="Arial" w:cs="Arial" w:eastAsia="Arial" w:hAnsi="Arial"/>
          <w:sz w:val="18"/>
          <w:szCs w:val="18"/>
          <w:color w:val="auto"/>
        </w:rPr>
        <w:t>Fiscal 2022 actual total cash compensation (which represents the sum of actual</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2022 base salary earnings and actual fiscal 2022 total annual cash incentive award payout) is reflected in the table below. The corporate payout was less than target at 69% and therefore, actual total cash compensation was generally less than the market 50</w:t>
      </w:r>
      <w:r>
        <w:rPr>
          <w:rFonts w:ascii="Arial" w:cs="Arial" w:eastAsia="Arial" w:hAnsi="Arial"/>
          <w:sz w:val="15"/>
          <w:szCs w:val="15"/>
          <w:color w:val="auto"/>
        </w:rPr>
        <w:t>th</w:t>
      </w:r>
      <w:r>
        <w:rPr>
          <w:rFonts w:ascii="Arial" w:cs="Arial" w:eastAsia="Arial" w:hAnsi="Arial"/>
          <w:sz w:val="18"/>
          <w:szCs w:val="18"/>
          <w:color w:val="auto"/>
        </w:rPr>
        <w:t>, which aligns with our pay for performance philosophy.</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80" w:type="dxa"/>
            <w:vAlign w:val="bottom"/>
            <w:shd w:val="clear" w:color="auto" w:fill="BE0000"/>
          </w:tcPr>
          <w:p>
            <w:pPr>
              <w:spacing w:after="0"/>
              <w:rPr>
                <w:sz w:val="17"/>
                <w:szCs w:val="17"/>
                <w:color w:val="auto"/>
              </w:rPr>
            </w:pPr>
          </w:p>
        </w:tc>
        <w:tc>
          <w:tcPr>
            <w:tcW w:w="3700" w:type="dxa"/>
            <w:vAlign w:val="bottom"/>
            <w:shd w:val="clear" w:color="auto" w:fill="BE0000"/>
          </w:tcPr>
          <w:p>
            <w:pPr>
              <w:spacing w:after="0"/>
              <w:rPr>
                <w:sz w:val="17"/>
                <w:szCs w:val="17"/>
                <w:color w:val="auto"/>
              </w:rPr>
            </w:pPr>
          </w:p>
        </w:tc>
        <w:tc>
          <w:tcPr>
            <w:tcW w:w="2780" w:type="dxa"/>
            <w:vAlign w:val="bottom"/>
            <w:shd w:val="clear" w:color="auto" w:fill="BE0000"/>
          </w:tcPr>
          <w:p>
            <w:pPr>
              <w:jc w:val="center"/>
              <w:ind w:right="423"/>
              <w:spacing w:after="0"/>
              <w:rPr>
                <w:sz w:val="20"/>
                <w:szCs w:val="20"/>
                <w:color w:val="auto"/>
              </w:rPr>
            </w:pPr>
            <w:r>
              <w:rPr>
                <w:rFonts w:ascii="Arial" w:cs="Arial" w:eastAsia="Arial" w:hAnsi="Arial"/>
                <w:sz w:val="14"/>
                <w:szCs w:val="14"/>
                <w:b w:val="1"/>
                <w:bCs w:val="1"/>
                <w:color w:val="FFFFFF"/>
              </w:rPr>
              <w:t>Fiscal 2022</w:t>
            </w:r>
          </w:p>
        </w:tc>
        <w:tc>
          <w:tcPr>
            <w:tcW w:w="1880" w:type="dxa"/>
            <w:vAlign w:val="bottom"/>
            <w:shd w:val="clear" w:color="auto" w:fill="BE0000"/>
          </w:tcPr>
          <w:p>
            <w:pPr>
              <w:jc w:val="center"/>
              <w:ind w:right="103"/>
              <w:spacing w:after="0"/>
              <w:rPr>
                <w:sz w:val="20"/>
                <w:szCs w:val="20"/>
                <w:color w:val="auto"/>
              </w:rPr>
            </w:pPr>
            <w:r>
              <w:rPr>
                <w:rFonts w:ascii="Arial" w:cs="Arial" w:eastAsia="Arial" w:hAnsi="Arial"/>
                <w:sz w:val="14"/>
                <w:szCs w:val="14"/>
                <w:b w:val="1"/>
                <w:bCs w:val="1"/>
                <w:color w:val="FFFFFF"/>
              </w:rPr>
              <w:t>Fiscal 2022</w:t>
            </w:r>
          </w:p>
        </w:tc>
      </w:tr>
      <w:tr>
        <w:trPr>
          <w:trHeight w:val="176"/>
        </w:trPr>
        <w:tc>
          <w:tcPr>
            <w:tcW w:w="2880" w:type="dxa"/>
            <w:vAlign w:val="bottom"/>
            <w:shd w:val="clear" w:color="auto" w:fill="BE0000"/>
          </w:tcPr>
          <w:p>
            <w:pPr>
              <w:spacing w:after="0"/>
              <w:rPr>
                <w:sz w:val="15"/>
                <w:szCs w:val="15"/>
                <w:color w:val="auto"/>
              </w:rPr>
            </w:pPr>
          </w:p>
        </w:tc>
        <w:tc>
          <w:tcPr>
            <w:tcW w:w="3700" w:type="dxa"/>
            <w:vAlign w:val="bottom"/>
            <w:shd w:val="clear" w:color="auto" w:fill="BE0000"/>
          </w:tcPr>
          <w:p>
            <w:pPr>
              <w:jc w:val="center"/>
              <w:ind w:left="1442"/>
              <w:spacing w:after="0"/>
              <w:rPr>
                <w:sz w:val="20"/>
                <w:szCs w:val="20"/>
                <w:color w:val="auto"/>
              </w:rPr>
            </w:pPr>
            <w:r>
              <w:rPr>
                <w:rFonts w:ascii="Arial" w:cs="Arial" w:eastAsia="Arial" w:hAnsi="Arial"/>
                <w:sz w:val="14"/>
                <w:szCs w:val="14"/>
                <w:b w:val="1"/>
                <w:bCs w:val="1"/>
                <w:color w:val="FFFFFF"/>
              </w:rPr>
              <w:t>Fiscal 2022</w:t>
            </w:r>
          </w:p>
        </w:tc>
        <w:tc>
          <w:tcPr>
            <w:tcW w:w="2780" w:type="dxa"/>
            <w:vAlign w:val="bottom"/>
            <w:shd w:val="clear" w:color="auto" w:fill="BE0000"/>
          </w:tcPr>
          <w:p>
            <w:pPr>
              <w:jc w:val="center"/>
              <w:ind w:right="423"/>
              <w:spacing w:after="0"/>
              <w:rPr>
                <w:sz w:val="20"/>
                <w:szCs w:val="20"/>
                <w:color w:val="auto"/>
              </w:rPr>
            </w:pPr>
            <w:r>
              <w:rPr>
                <w:rFonts w:ascii="Arial" w:cs="Arial" w:eastAsia="Arial" w:hAnsi="Arial"/>
                <w:sz w:val="14"/>
                <w:szCs w:val="14"/>
                <w:b w:val="1"/>
                <w:bCs w:val="1"/>
                <w:color w:val="FFFFFF"/>
              </w:rPr>
              <w:t>Total Annual Cash</w:t>
            </w:r>
          </w:p>
        </w:tc>
        <w:tc>
          <w:tcPr>
            <w:tcW w:w="1880" w:type="dxa"/>
            <w:vAlign w:val="bottom"/>
            <w:shd w:val="clear" w:color="auto" w:fill="BE0000"/>
          </w:tcPr>
          <w:p>
            <w:pPr>
              <w:jc w:val="center"/>
              <w:ind w:right="123"/>
              <w:spacing w:after="0"/>
              <w:rPr>
                <w:sz w:val="20"/>
                <w:szCs w:val="20"/>
                <w:color w:val="auto"/>
              </w:rPr>
            </w:pPr>
            <w:r>
              <w:rPr>
                <w:rFonts w:ascii="Arial" w:cs="Arial" w:eastAsia="Arial" w:hAnsi="Arial"/>
                <w:sz w:val="14"/>
                <w:szCs w:val="14"/>
                <w:b w:val="1"/>
                <w:bCs w:val="1"/>
                <w:color w:val="FFFFFF"/>
              </w:rPr>
              <w:t>Total Cash</w:t>
            </w:r>
          </w:p>
        </w:tc>
      </w:tr>
      <w:tr>
        <w:trPr>
          <w:trHeight w:val="175"/>
        </w:trPr>
        <w:tc>
          <w:tcPr>
            <w:tcW w:w="2880" w:type="dxa"/>
            <w:vAlign w:val="bottom"/>
            <w:shd w:val="clear" w:color="auto" w:fill="BE0000"/>
          </w:tcPr>
          <w:p>
            <w:pPr>
              <w:spacing w:after="0"/>
              <w:rPr>
                <w:sz w:val="15"/>
                <w:szCs w:val="15"/>
                <w:color w:val="auto"/>
              </w:rPr>
            </w:pPr>
          </w:p>
        </w:tc>
        <w:tc>
          <w:tcPr>
            <w:tcW w:w="3700" w:type="dxa"/>
            <w:vAlign w:val="bottom"/>
            <w:shd w:val="clear" w:color="auto" w:fill="BE0000"/>
          </w:tcPr>
          <w:p>
            <w:pPr>
              <w:jc w:val="center"/>
              <w:ind w:left="1442"/>
              <w:spacing w:after="0"/>
              <w:rPr>
                <w:sz w:val="20"/>
                <w:szCs w:val="20"/>
                <w:color w:val="auto"/>
              </w:rPr>
            </w:pPr>
            <w:r>
              <w:rPr>
                <w:rFonts w:ascii="Arial" w:cs="Arial" w:eastAsia="Arial" w:hAnsi="Arial"/>
                <w:sz w:val="14"/>
                <w:szCs w:val="14"/>
                <w:b w:val="1"/>
                <w:bCs w:val="1"/>
                <w:color w:val="FFFFFF"/>
              </w:rPr>
              <w:t>Base Salary Earnings</w:t>
            </w:r>
          </w:p>
        </w:tc>
        <w:tc>
          <w:tcPr>
            <w:tcW w:w="2780" w:type="dxa"/>
            <w:vAlign w:val="bottom"/>
            <w:shd w:val="clear" w:color="auto" w:fill="BE0000"/>
          </w:tcPr>
          <w:p>
            <w:pPr>
              <w:jc w:val="center"/>
              <w:ind w:right="403"/>
              <w:spacing w:after="0"/>
              <w:rPr>
                <w:sz w:val="20"/>
                <w:szCs w:val="20"/>
                <w:color w:val="auto"/>
              </w:rPr>
            </w:pPr>
            <w:r>
              <w:rPr>
                <w:rFonts w:ascii="Arial" w:cs="Arial" w:eastAsia="Arial" w:hAnsi="Arial"/>
                <w:sz w:val="14"/>
                <w:szCs w:val="14"/>
                <w:b w:val="1"/>
                <w:bCs w:val="1"/>
                <w:color w:val="FFFFFF"/>
              </w:rPr>
              <w:t>Incentive Award Payout</w:t>
            </w:r>
          </w:p>
        </w:tc>
        <w:tc>
          <w:tcPr>
            <w:tcW w:w="1880" w:type="dxa"/>
            <w:vAlign w:val="bottom"/>
            <w:shd w:val="clear" w:color="auto" w:fill="BE0000"/>
          </w:tcPr>
          <w:p>
            <w:pPr>
              <w:jc w:val="center"/>
              <w:ind w:right="123"/>
              <w:spacing w:after="0"/>
              <w:rPr>
                <w:sz w:val="20"/>
                <w:szCs w:val="20"/>
                <w:color w:val="auto"/>
              </w:rPr>
            </w:pPr>
            <w:r>
              <w:rPr>
                <w:rFonts w:ascii="Arial" w:cs="Arial" w:eastAsia="Arial" w:hAnsi="Arial"/>
                <w:sz w:val="14"/>
                <w:szCs w:val="14"/>
                <w:b w:val="1"/>
                <w:bCs w:val="1"/>
                <w:color w:val="FFFFFF"/>
              </w:rPr>
              <w:t>Compensation</w:t>
            </w:r>
          </w:p>
        </w:tc>
      </w:tr>
      <w:tr>
        <w:trPr>
          <w:trHeight w:val="198"/>
        </w:trPr>
        <w:tc>
          <w:tcPr>
            <w:tcW w:w="2880" w:type="dxa"/>
            <w:vAlign w:val="bottom"/>
            <w:shd w:val="clear" w:color="auto" w:fill="BE0000"/>
          </w:tcPr>
          <w:p>
            <w:pPr>
              <w:spacing w:after="0"/>
              <w:rPr>
                <w:sz w:val="20"/>
                <w:szCs w:val="20"/>
                <w:color w:val="auto"/>
              </w:rPr>
            </w:pPr>
            <w:r>
              <w:rPr>
                <w:rFonts w:ascii="Arial" w:cs="Arial" w:eastAsia="Arial" w:hAnsi="Arial"/>
                <w:sz w:val="14"/>
                <w:szCs w:val="14"/>
                <w:b w:val="1"/>
                <w:bCs w:val="1"/>
                <w:color w:val="FFFFFF"/>
              </w:rPr>
              <w:t>Name</w:t>
            </w:r>
          </w:p>
        </w:tc>
        <w:tc>
          <w:tcPr>
            <w:tcW w:w="3700" w:type="dxa"/>
            <w:vAlign w:val="bottom"/>
            <w:shd w:val="clear" w:color="auto" w:fill="BE0000"/>
          </w:tcPr>
          <w:p>
            <w:pPr>
              <w:jc w:val="center"/>
              <w:ind w:left="1442"/>
              <w:spacing w:after="0"/>
              <w:rPr>
                <w:sz w:val="20"/>
                <w:szCs w:val="20"/>
                <w:color w:val="auto"/>
              </w:rPr>
            </w:pPr>
            <w:r>
              <w:rPr>
                <w:rFonts w:ascii="Arial" w:cs="Arial" w:eastAsia="Arial" w:hAnsi="Arial"/>
                <w:sz w:val="14"/>
                <w:szCs w:val="14"/>
                <w:b w:val="1"/>
                <w:bCs w:val="1"/>
                <w:color w:val="FFFFFF"/>
              </w:rPr>
              <w:t>($)</w:t>
            </w:r>
          </w:p>
        </w:tc>
        <w:tc>
          <w:tcPr>
            <w:tcW w:w="2780" w:type="dxa"/>
            <w:vAlign w:val="bottom"/>
            <w:shd w:val="clear" w:color="auto" w:fill="BE0000"/>
          </w:tcPr>
          <w:p>
            <w:pPr>
              <w:jc w:val="center"/>
              <w:ind w:right="403"/>
              <w:spacing w:after="0"/>
              <w:rPr>
                <w:sz w:val="20"/>
                <w:szCs w:val="20"/>
                <w:color w:val="auto"/>
              </w:rPr>
            </w:pPr>
            <w:r>
              <w:rPr>
                <w:rFonts w:ascii="Arial" w:cs="Arial" w:eastAsia="Arial" w:hAnsi="Arial"/>
                <w:sz w:val="14"/>
                <w:szCs w:val="14"/>
                <w:b w:val="1"/>
                <w:bCs w:val="1"/>
                <w:color w:val="FFFFFF"/>
              </w:rPr>
              <w:t>($)</w:t>
            </w:r>
          </w:p>
        </w:tc>
        <w:tc>
          <w:tcPr>
            <w:tcW w:w="1880" w:type="dxa"/>
            <w:vAlign w:val="bottom"/>
            <w:shd w:val="clear" w:color="auto" w:fill="BE0000"/>
          </w:tcPr>
          <w:p>
            <w:pPr>
              <w:jc w:val="center"/>
              <w:ind w:right="103"/>
              <w:spacing w:after="0"/>
              <w:rPr>
                <w:sz w:val="20"/>
                <w:szCs w:val="20"/>
                <w:color w:val="auto"/>
              </w:rPr>
            </w:pPr>
            <w:r>
              <w:rPr>
                <w:rFonts w:ascii="Arial" w:cs="Arial" w:eastAsia="Arial" w:hAnsi="Arial"/>
                <w:sz w:val="14"/>
                <w:szCs w:val="14"/>
                <w:b w:val="1"/>
                <w:bCs w:val="1"/>
                <w:color w:val="FFFFFF"/>
              </w:rPr>
              <w:t>($)</w:t>
            </w:r>
          </w:p>
        </w:tc>
      </w:tr>
      <w:tr>
        <w:trPr>
          <w:trHeight w:val="235"/>
        </w:trPr>
        <w:tc>
          <w:tcPr>
            <w:tcW w:w="2880" w:type="dxa"/>
            <w:vAlign w:val="bottom"/>
          </w:tcPr>
          <w:p>
            <w:pPr>
              <w:spacing w:after="0"/>
              <w:rPr>
                <w:sz w:val="20"/>
                <w:szCs w:val="20"/>
                <w:color w:val="auto"/>
              </w:rPr>
            </w:pPr>
            <w:r>
              <w:rPr>
                <w:rFonts w:ascii="Arial" w:cs="Arial" w:eastAsia="Arial" w:hAnsi="Arial"/>
                <w:sz w:val="16"/>
                <w:szCs w:val="16"/>
                <w:color w:val="auto"/>
              </w:rPr>
              <w:t>Mr. Olson</w:t>
            </w:r>
          </w:p>
        </w:tc>
        <w:tc>
          <w:tcPr>
            <w:tcW w:w="3700" w:type="dxa"/>
            <w:vAlign w:val="bottom"/>
          </w:tcPr>
          <w:p>
            <w:pPr>
              <w:jc w:val="right"/>
              <w:ind w:right="242"/>
              <w:spacing w:after="0"/>
              <w:rPr>
                <w:sz w:val="20"/>
                <w:szCs w:val="20"/>
                <w:color w:val="auto"/>
              </w:rPr>
            </w:pPr>
            <w:r>
              <w:rPr>
                <w:rFonts w:ascii="Arial" w:cs="Arial" w:eastAsia="Arial" w:hAnsi="Arial"/>
                <w:sz w:val="16"/>
                <w:szCs w:val="16"/>
                <w:color w:val="auto"/>
              </w:rPr>
              <w:t>1,086,778</w:t>
            </w:r>
          </w:p>
        </w:tc>
        <w:tc>
          <w:tcPr>
            <w:tcW w:w="2780" w:type="dxa"/>
            <w:vAlign w:val="bottom"/>
          </w:tcPr>
          <w:p>
            <w:pPr>
              <w:jc w:val="right"/>
              <w:ind w:right="283"/>
              <w:spacing w:after="0"/>
              <w:rPr>
                <w:sz w:val="20"/>
                <w:szCs w:val="20"/>
                <w:color w:val="auto"/>
              </w:rPr>
            </w:pPr>
            <w:r>
              <w:rPr>
                <w:rFonts w:ascii="Arial" w:cs="Arial" w:eastAsia="Arial" w:hAnsi="Arial"/>
                <w:sz w:val="16"/>
                <w:szCs w:val="16"/>
                <w:color w:val="auto"/>
              </w:rPr>
              <w:t>974,698</w:t>
            </w:r>
          </w:p>
        </w:tc>
        <w:tc>
          <w:tcPr>
            <w:tcW w:w="1880" w:type="dxa"/>
            <w:vAlign w:val="bottom"/>
          </w:tcPr>
          <w:p>
            <w:pPr>
              <w:jc w:val="right"/>
              <w:spacing w:after="0"/>
              <w:rPr>
                <w:sz w:val="20"/>
                <w:szCs w:val="20"/>
                <w:color w:val="auto"/>
              </w:rPr>
            </w:pPr>
            <w:r>
              <w:rPr>
                <w:rFonts w:ascii="Arial" w:cs="Arial" w:eastAsia="Arial" w:hAnsi="Arial"/>
                <w:sz w:val="16"/>
                <w:szCs w:val="16"/>
                <w:color w:val="auto"/>
              </w:rPr>
              <w:t>2,061,476</w:t>
            </w:r>
          </w:p>
        </w:tc>
      </w:tr>
      <w:tr>
        <w:trPr>
          <w:trHeight w:val="251"/>
        </w:trPr>
        <w:tc>
          <w:tcPr>
            <w:tcW w:w="2880" w:type="dxa"/>
            <w:vAlign w:val="bottom"/>
            <w:shd w:val="clear" w:color="auto" w:fill="D9D9D9"/>
          </w:tcPr>
          <w:p>
            <w:pPr>
              <w:spacing w:after="0"/>
              <w:rPr>
                <w:sz w:val="20"/>
                <w:szCs w:val="20"/>
                <w:color w:val="auto"/>
              </w:rPr>
            </w:pPr>
            <w:r>
              <w:rPr>
                <w:rFonts w:ascii="Arial" w:cs="Arial" w:eastAsia="Arial" w:hAnsi="Arial"/>
                <w:sz w:val="16"/>
                <w:szCs w:val="16"/>
                <w:color w:val="auto"/>
              </w:rPr>
              <w:t>Ms. Peterson</w:t>
            </w:r>
          </w:p>
        </w:tc>
        <w:tc>
          <w:tcPr>
            <w:tcW w:w="3700" w:type="dxa"/>
            <w:vAlign w:val="bottom"/>
            <w:shd w:val="clear" w:color="auto" w:fill="D9D9D9"/>
          </w:tcPr>
          <w:p>
            <w:pPr>
              <w:jc w:val="right"/>
              <w:ind w:right="242"/>
              <w:spacing w:after="0"/>
              <w:rPr>
                <w:sz w:val="20"/>
                <w:szCs w:val="20"/>
                <w:color w:val="auto"/>
              </w:rPr>
            </w:pPr>
            <w:r>
              <w:rPr>
                <w:rFonts w:ascii="Arial" w:cs="Arial" w:eastAsia="Arial" w:hAnsi="Arial"/>
                <w:sz w:val="16"/>
                <w:szCs w:val="16"/>
                <w:color w:val="auto"/>
              </w:rPr>
              <w:t>595,089</w:t>
            </w:r>
          </w:p>
        </w:tc>
        <w:tc>
          <w:tcPr>
            <w:tcW w:w="2780" w:type="dxa"/>
            <w:vAlign w:val="bottom"/>
            <w:shd w:val="clear" w:color="auto" w:fill="D9D9D9"/>
          </w:tcPr>
          <w:p>
            <w:pPr>
              <w:jc w:val="right"/>
              <w:ind w:right="283"/>
              <w:spacing w:after="0"/>
              <w:rPr>
                <w:sz w:val="20"/>
                <w:szCs w:val="20"/>
                <w:color w:val="auto"/>
              </w:rPr>
            </w:pPr>
            <w:r>
              <w:rPr>
                <w:rFonts w:ascii="Arial" w:cs="Arial" w:eastAsia="Arial" w:hAnsi="Arial"/>
                <w:sz w:val="16"/>
                <w:szCs w:val="16"/>
                <w:color w:val="auto"/>
              </w:rPr>
              <w:t>328,441</w:t>
            </w:r>
          </w:p>
        </w:tc>
        <w:tc>
          <w:tcPr>
            <w:tcW w:w="18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923,530</w:t>
            </w:r>
          </w:p>
        </w:tc>
      </w:tr>
      <w:tr>
        <w:trPr>
          <w:trHeight w:val="235"/>
        </w:trPr>
        <w:tc>
          <w:tcPr>
            <w:tcW w:w="2880" w:type="dxa"/>
            <w:vAlign w:val="bottom"/>
          </w:tcPr>
          <w:p>
            <w:pPr>
              <w:spacing w:after="0"/>
              <w:rPr>
                <w:sz w:val="20"/>
                <w:szCs w:val="20"/>
                <w:color w:val="auto"/>
              </w:rPr>
            </w:pPr>
            <w:r>
              <w:rPr>
                <w:rFonts w:ascii="Arial" w:cs="Arial" w:eastAsia="Arial" w:hAnsi="Arial"/>
                <w:sz w:val="16"/>
                <w:szCs w:val="16"/>
                <w:color w:val="auto"/>
              </w:rPr>
              <w:t>Mr. Carpenter</w:t>
            </w:r>
          </w:p>
        </w:tc>
        <w:tc>
          <w:tcPr>
            <w:tcW w:w="3700" w:type="dxa"/>
            <w:vAlign w:val="bottom"/>
          </w:tcPr>
          <w:p>
            <w:pPr>
              <w:jc w:val="right"/>
              <w:ind w:right="242"/>
              <w:spacing w:after="0"/>
              <w:rPr>
                <w:sz w:val="20"/>
                <w:szCs w:val="20"/>
                <w:color w:val="auto"/>
              </w:rPr>
            </w:pPr>
            <w:r>
              <w:rPr>
                <w:rFonts w:ascii="Arial" w:cs="Arial" w:eastAsia="Arial" w:hAnsi="Arial"/>
                <w:sz w:val="16"/>
                <w:szCs w:val="16"/>
                <w:color w:val="auto"/>
              </w:rPr>
              <w:t>422,858</w:t>
            </w:r>
          </w:p>
        </w:tc>
        <w:tc>
          <w:tcPr>
            <w:tcW w:w="2780" w:type="dxa"/>
            <w:vAlign w:val="bottom"/>
          </w:tcPr>
          <w:p>
            <w:pPr>
              <w:jc w:val="right"/>
              <w:ind w:right="283"/>
              <w:spacing w:after="0"/>
              <w:rPr>
                <w:sz w:val="20"/>
                <w:szCs w:val="20"/>
                <w:color w:val="auto"/>
              </w:rPr>
            </w:pPr>
            <w:r>
              <w:rPr>
                <w:rFonts w:ascii="Arial" w:cs="Arial" w:eastAsia="Arial" w:hAnsi="Arial"/>
                <w:sz w:val="16"/>
                <w:szCs w:val="16"/>
                <w:color w:val="auto"/>
              </w:rPr>
              <w:t>170,823</w:t>
            </w:r>
          </w:p>
        </w:tc>
        <w:tc>
          <w:tcPr>
            <w:tcW w:w="1880" w:type="dxa"/>
            <w:vAlign w:val="bottom"/>
          </w:tcPr>
          <w:p>
            <w:pPr>
              <w:jc w:val="right"/>
              <w:spacing w:after="0"/>
              <w:rPr>
                <w:sz w:val="20"/>
                <w:szCs w:val="20"/>
                <w:color w:val="auto"/>
              </w:rPr>
            </w:pPr>
            <w:r>
              <w:rPr>
                <w:rFonts w:ascii="Arial" w:cs="Arial" w:eastAsia="Arial" w:hAnsi="Arial"/>
                <w:sz w:val="16"/>
                <w:szCs w:val="16"/>
                <w:color w:val="auto"/>
              </w:rPr>
              <w:t>593,681</w:t>
            </w:r>
          </w:p>
        </w:tc>
      </w:tr>
      <w:tr>
        <w:trPr>
          <w:trHeight w:val="251"/>
        </w:trPr>
        <w:tc>
          <w:tcPr>
            <w:tcW w:w="2880" w:type="dxa"/>
            <w:vAlign w:val="bottom"/>
            <w:shd w:val="clear" w:color="auto" w:fill="D9D9D9"/>
          </w:tcPr>
          <w:p>
            <w:pPr>
              <w:spacing w:after="0"/>
              <w:rPr>
                <w:sz w:val="20"/>
                <w:szCs w:val="20"/>
                <w:color w:val="auto"/>
              </w:rPr>
            </w:pPr>
            <w:r>
              <w:rPr>
                <w:rFonts w:ascii="Arial" w:cs="Arial" w:eastAsia="Arial" w:hAnsi="Arial"/>
                <w:sz w:val="16"/>
                <w:szCs w:val="16"/>
                <w:color w:val="auto"/>
              </w:rPr>
              <w:t>Mr. Rodier</w:t>
            </w:r>
          </w:p>
        </w:tc>
        <w:tc>
          <w:tcPr>
            <w:tcW w:w="3700" w:type="dxa"/>
            <w:vAlign w:val="bottom"/>
            <w:shd w:val="clear" w:color="auto" w:fill="D9D9D9"/>
          </w:tcPr>
          <w:p>
            <w:pPr>
              <w:jc w:val="right"/>
              <w:ind w:right="242"/>
              <w:spacing w:after="0"/>
              <w:rPr>
                <w:sz w:val="20"/>
                <w:szCs w:val="20"/>
                <w:color w:val="auto"/>
              </w:rPr>
            </w:pPr>
            <w:r>
              <w:rPr>
                <w:rFonts w:ascii="Arial" w:cs="Arial" w:eastAsia="Arial" w:hAnsi="Arial"/>
                <w:sz w:val="16"/>
                <w:szCs w:val="16"/>
                <w:color w:val="auto"/>
              </w:rPr>
              <w:t>537,054</w:t>
            </w:r>
          </w:p>
        </w:tc>
        <w:tc>
          <w:tcPr>
            <w:tcW w:w="2780" w:type="dxa"/>
            <w:vAlign w:val="bottom"/>
            <w:shd w:val="clear" w:color="auto" w:fill="D9D9D9"/>
          </w:tcPr>
          <w:p>
            <w:pPr>
              <w:jc w:val="right"/>
              <w:ind w:right="283"/>
              <w:spacing w:after="0"/>
              <w:rPr>
                <w:sz w:val="20"/>
                <w:szCs w:val="20"/>
                <w:color w:val="auto"/>
              </w:rPr>
            </w:pPr>
            <w:r>
              <w:rPr>
                <w:rFonts w:ascii="Arial" w:cs="Arial" w:eastAsia="Arial" w:hAnsi="Arial"/>
                <w:sz w:val="16"/>
                <w:szCs w:val="16"/>
                <w:color w:val="auto"/>
              </w:rPr>
              <w:t>277,885</w:t>
            </w:r>
          </w:p>
        </w:tc>
        <w:tc>
          <w:tcPr>
            <w:tcW w:w="18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814,939</w:t>
            </w:r>
          </w:p>
        </w:tc>
      </w:tr>
      <w:tr>
        <w:trPr>
          <w:trHeight w:val="228"/>
        </w:trPr>
        <w:tc>
          <w:tcPr>
            <w:tcW w:w="2880" w:type="dxa"/>
            <w:vAlign w:val="bottom"/>
          </w:tcPr>
          <w:p>
            <w:pPr>
              <w:spacing w:after="0"/>
              <w:rPr>
                <w:sz w:val="20"/>
                <w:szCs w:val="20"/>
                <w:color w:val="auto"/>
              </w:rPr>
            </w:pPr>
            <w:r>
              <w:rPr>
                <w:rFonts w:ascii="Arial" w:cs="Arial" w:eastAsia="Arial" w:hAnsi="Arial"/>
                <w:sz w:val="16"/>
                <w:szCs w:val="16"/>
                <w:color w:val="auto"/>
              </w:rPr>
              <w:t>Ms. Dahl</w:t>
            </w:r>
          </w:p>
        </w:tc>
        <w:tc>
          <w:tcPr>
            <w:tcW w:w="3700" w:type="dxa"/>
            <w:vAlign w:val="bottom"/>
          </w:tcPr>
          <w:p>
            <w:pPr>
              <w:jc w:val="right"/>
              <w:ind w:right="242"/>
              <w:spacing w:after="0"/>
              <w:rPr>
                <w:sz w:val="20"/>
                <w:szCs w:val="20"/>
                <w:color w:val="auto"/>
              </w:rPr>
            </w:pPr>
            <w:r>
              <w:rPr>
                <w:rFonts w:ascii="Arial" w:cs="Arial" w:eastAsia="Arial" w:hAnsi="Arial"/>
                <w:sz w:val="16"/>
                <w:szCs w:val="16"/>
                <w:color w:val="auto"/>
              </w:rPr>
              <w:t>503,397</w:t>
            </w:r>
          </w:p>
        </w:tc>
        <w:tc>
          <w:tcPr>
            <w:tcW w:w="2780" w:type="dxa"/>
            <w:vAlign w:val="bottom"/>
          </w:tcPr>
          <w:p>
            <w:pPr>
              <w:jc w:val="right"/>
              <w:ind w:right="283"/>
              <w:spacing w:after="0"/>
              <w:rPr>
                <w:sz w:val="20"/>
                <w:szCs w:val="20"/>
                <w:color w:val="auto"/>
              </w:rPr>
            </w:pPr>
            <w:r>
              <w:rPr>
                <w:rFonts w:ascii="Arial" w:cs="Arial" w:eastAsia="Arial" w:hAnsi="Arial"/>
                <w:sz w:val="16"/>
                <w:szCs w:val="16"/>
                <w:color w:val="auto"/>
              </w:rPr>
              <w:t>225,741</w:t>
            </w:r>
          </w:p>
        </w:tc>
        <w:tc>
          <w:tcPr>
            <w:tcW w:w="1880" w:type="dxa"/>
            <w:vAlign w:val="bottom"/>
          </w:tcPr>
          <w:p>
            <w:pPr>
              <w:jc w:val="right"/>
              <w:spacing w:after="0"/>
              <w:rPr>
                <w:sz w:val="20"/>
                <w:szCs w:val="20"/>
                <w:color w:val="auto"/>
              </w:rPr>
            </w:pPr>
            <w:r>
              <w:rPr>
                <w:rFonts w:ascii="Arial" w:cs="Arial" w:eastAsia="Arial" w:hAnsi="Arial"/>
                <w:sz w:val="16"/>
                <w:szCs w:val="16"/>
                <w:color w:val="auto"/>
              </w:rPr>
              <w:t>729,138</w:t>
            </w:r>
          </w:p>
        </w:tc>
      </w:tr>
    </w:tbl>
    <w:p>
      <w:pPr>
        <w:spacing w:after="0" w:line="10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Long-Term Incentives</w:t>
      </w:r>
    </w:p>
    <w:p>
      <w:pPr>
        <w:spacing w:after="0" w:line="104" w:lineRule="exact"/>
        <w:rPr>
          <w:sz w:val="20"/>
          <w:szCs w:val="20"/>
          <w:color w:val="auto"/>
        </w:rPr>
      </w:pPr>
    </w:p>
    <w:p>
      <w:pPr>
        <w:ind w:right="200" w:firstLine="401"/>
        <w:spacing w:after="0" w:line="24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believe our use of long-term incentives tied to our common stock, along with our stock ownership guidelines, align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of our executive officers with the interest of our shareholders. Therefore, we provide the opportunity for our executive officers to earn market competitive long-term incentives in the form of annual stock options and performance share awards. In determining the size of these long-term incentive awards for each executive officer, we consider market data, the scope and complexity of the executive’s position, experience, tenure, internal pay comparisons, function, division, and individual performance and historical targeted grant levels.</w:t>
      </w:r>
    </w:p>
    <w:p>
      <w:pPr>
        <w:spacing w:after="0" w:line="68" w:lineRule="exact"/>
        <w:rPr>
          <w:sz w:val="20"/>
          <w:szCs w:val="20"/>
          <w:color w:val="auto"/>
        </w:rPr>
      </w:pPr>
    </w:p>
    <w:p>
      <w:pPr>
        <w:ind w:right="140" w:firstLine="401"/>
        <w:spacing w:after="0" w:line="242" w:lineRule="auto"/>
        <w:rPr>
          <w:sz w:val="20"/>
          <w:szCs w:val="20"/>
          <w:color w:val="auto"/>
        </w:rPr>
      </w:pPr>
      <w:r>
        <w:rPr>
          <w:rFonts w:ascii="Arial" w:cs="Arial" w:eastAsia="Arial" w:hAnsi="Arial"/>
          <w:sz w:val="18"/>
          <w:szCs w:val="18"/>
          <w:color w:val="auto"/>
        </w:rPr>
        <w:t>Generally, one-half of the long-term incentive value is delivered in the form of stock options and one-half is delivered in the form of performance share awards, both of which are approved by the Compensation &amp; Human Resources Committee at its regular meeting held in December. We believe this equity mix strikes the appropriate balance between rewarding achievement of Company specific performance measures and delivering long-term incentive value based on stock price appreciation. Actual value realized from our long-term incentive awards may vary from the market 50</w:t>
      </w:r>
      <w:r>
        <w:rPr>
          <w:rFonts w:ascii="Arial" w:cs="Arial" w:eastAsia="Arial" w:hAnsi="Arial"/>
          <w:sz w:val="15"/>
          <w:szCs w:val="15"/>
          <w:color w:val="auto"/>
        </w:rPr>
        <w:t>th</w:t>
      </w:r>
      <w:r>
        <w:rPr>
          <w:rFonts w:ascii="Arial" w:cs="Arial" w:eastAsia="Arial" w:hAnsi="Arial"/>
          <w:sz w:val="18"/>
          <w:szCs w:val="18"/>
          <w:color w:val="auto"/>
        </w:rPr>
        <w:t xml:space="preserve"> percentile based on the price of our common stock and performance against the three-year cumulative financial goals for the performance share awards. In addition to stock options and performance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103"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share awards, we occasionally use restricted stock unit awards in connection with the hiring of new executive officers, mid-year promotions of existing executive officers, leadership transition or retention purposes.</w:t>
      </w:r>
    </w:p>
    <w:p>
      <w:pPr>
        <w:spacing w:after="0" w:line="46" w:lineRule="exact"/>
        <w:rPr>
          <w:sz w:val="20"/>
          <w:szCs w:val="20"/>
          <w:color w:val="auto"/>
        </w:rPr>
      </w:pPr>
    </w:p>
    <w:p>
      <w:pPr>
        <w:ind w:right="80" w:firstLine="401"/>
        <w:spacing w:after="0" w:line="242"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As the Committee’s meeting is generally held before the announcement of our financial results for the recently</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fiscal year, annual stock options are generally granted on the second business day following such announcement (with the first day being the announcement date), and have a per share exercise price equal to the closing price of our common stock on the grant date. If we deliver strong shareholder returns, our stock price presumably will increase, thereby increasing the value of the stock options and executive officer resulting total compensation. If shareholder value is not delivered and our stock price does not increase, the options will have no value.</w:t>
      </w:r>
    </w:p>
    <w:p>
      <w:pPr>
        <w:spacing w:after="0" w:line="71" w:lineRule="exact"/>
        <w:rPr>
          <w:sz w:val="20"/>
          <w:szCs w:val="20"/>
          <w:color w:val="auto"/>
        </w:rPr>
      </w:pPr>
    </w:p>
    <w:p>
      <w:pPr>
        <w:ind w:right="80" w:firstLine="401"/>
        <w:spacing w:after="0" w:line="244" w:lineRule="auto"/>
        <w:rPr>
          <w:sz w:val="20"/>
          <w:szCs w:val="20"/>
          <w:color w:val="auto"/>
        </w:rPr>
      </w:pPr>
      <w:r>
        <w:rPr>
          <w:rFonts w:ascii="Arial" w:cs="Arial" w:eastAsia="Arial" w:hAnsi="Arial"/>
          <w:sz w:val="18"/>
          <w:szCs w:val="18"/>
          <w:color w:val="auto"/>
        </w:rPr>
        <w:t>To determine the number of annual stock options to award our executive officers, we start with a total target value of options and divide that value by the expected value of an option, using a Black-Scholes option pricing method. Our annual stock options vest in annual equal installments over three years, which three-year schedule is consistent with the three-year performance period for our performance share awards. We believe the three-year period for our long-term incentive awards provides retention value and focuses our executive officers on attainment of long-term performance.</w:t>
      </w:r>
    </w:p>
    <w:p>
      <w:pPr>
        <w:spacing w:after="0" w:line="68" w:lineRule="exact"/>
        <w:rPr>
          <w:sz w:val="20"/>
          <w:szCs w:val="20"/>
          <w:color w:val="auto"/>
        </w:rPr>
      </w:pPr>
    </w:p>
    <w:p>
      <w:pPr>
        <w:ind w:right="380" w:firstLine="401"/>
        <w:spacing w:after="0" w:line="271" w:lineRule="auto"/>
        <w:rPr>
          <w:sz w:val="20"/>
          <w:szCs w:val="20"/>
          <w:color w:val="auto"/>
        </w:rPr>
      </w:pPr>
      <w:r>
        <w:rPr>
          <w:rFonts w:ascii="Arial" w:cs="Arial" w:eastAsia="Arial" w:hAnsi="Arial"/>
          <w:sz w:val="18"/>
          <w:szCs w:val="18"/>
          <w:color w:val="auto"/>
        </w:rPr>
        <w:t>Occasionally the Committee will grant stock options for use in certain situations, including hiring of new executive officers, mid-year promotions of existing executive officers, leadership transition or retention purposes. Vesting for these options is generally time-based.</w:t>
      </w:r>
    </w:p>
    <w:p>
      <w:pPr>
        <w:spacing w:after="0" w:line="46" w:lineRule="exact"/>
        <w:rPr>
          <w:sz w:val="20"/>
          <w:szCs w:val="20"/>
          <w:color w:val="auto"/>
        </w:rPr>
      </w:pPr>
    </w:p>
    <w:p>
      <w:pPr>
        <w:ind w:right="60" w:firstLine="401"/>
        <w:spacing w:after="0" w:line="239" w:lineRule="auto"/>
        <w:rPr>
          <w:sz w:val="20"/>
          <w:szCs w:val="20"/>
          <w:color w:val="auto"/>
        </w:rPr>
      </w:pPr>
      <w:r>
        <w:rPr>
          <w:rFonts w:ascii="Arial" w:cs="Arial" w:eastAsia="Arial" w:hAnsi="Arial"/>
          <w:sz w:val="18"/>
          <w:szCs w:val="18"/>
          <w:i w:val="1"/>
          <w:iCs w:val="1"/>
          <w:color w:val="auto"/>
        </w:rPr>
        <w:t xml:space="preserve">Performance Share Awards. </w:t>
      </w:r>
      <w:r>
        <w:rPr>
          <w:rFonts w:ascii="Arial" w:cs="Arial" w:eastAsia="Arial" w:hAnsi="Arial"/>
          <w:sz w:val="18"/>
          <w:szCs w:val="18"/>
          <w:color w:val="auto"/>
        </w:rPr>
        <w:t>Performance share awards are granted each year at the December Committee meeting and then paid</w:t>
      </w:r>
      <w:r>
        <w:rPr>
          <w:rFonts w:ascii="Arial" w:cs="Arial" w:eastAsia="Arial" w:hAnsi="Arial"/>
          <w:sz w:val="18"/>
          <w:szCs w:val="18"/>
          <w:i w:val="1"/>
          <w:iCs w:val="1"/>
          <w:color w:val="auto"/>
        </w:rPr>
        <w:t xml:space="preserve"> </w:t>
      </w:r>
      <w:r>
        <w:rPr>
          <w:rFonts w:ascii="Arial" w:cs="Arial" w:eastAsia="Arial" w:hAnsi="Arial"/>
          <w:sz w:val="18"/>
          <w:szCs w:val="18"/>
          <w:color w:val="auto"/>
        </w:rPr>
        <w:t>out in shares of our common stock following completion of a three-year performance period if certain performance goals are achieved as determined by the Committee. The Committee establishes performance measures, weightings, goals and performance adjustment events, if any, for the entire three-year performance period, as well as thresholds and maximums. Factors the Committee considers when establishing the performance goals for the three-year period include our prior fiscal year actual financial business results, our longer-term strategic plan outlook, including our projections for performance for years two and three of the three-year award term, and of our competitive situation and outlook. At the end of the three-year performance period, Management presents a summary of, and the Committee certifies, performance against the performance goals, including the applicability of any adjustment events, and a corresponding payout, which is expressed as a percent of target. Actual payouts can range from 0% (if the threshold performance levels are not met) to 200% of the target award (if maximum performance levels are met).</w:t>
      </w:r>
    </w:p>
    <w:p>
      <w:pPr>
        <w:spacing w:after="0" w:line="72" w:lineRule="exact"/>
        <w:rPr>
          <w:sz w:val="20"/>
          <w:szCs w:val="20"/>
          <w:color w:val="auto"/>
        </w:rPr>
      </w:pPr>
    </w:p>
    <w:p>
      <w:pPr>
        <w:ind w:firstLine="401"/>
        <w:spacing w:after="0" w:line="247" w:lineRule="auto"/>
        <w:rPr>
          <w:sz w:val="20"/>
          <w:szCs w:val="20"/>
          <w:color w:val="auto"/>
        </w:rPr>
      </w:pPr>
      <w:r>
        <w:rPr>
          <w:rFonts w:ascii="Arial" w:cs="Arial" w:eastAsia="Arial" w:hAnsi="Arial"/>
          <w:sz w:val="18"/>
          <w:szCs w:val="18"/>
          <w:color w:val="auto"/>
        </w:rPr>
        <w:t>To determine the number of target performance share awards to be granted to our executive officers, we start with a total target value of performance share awards to be delivered. That value is divided by an expected value per share to determine the number of performance share awards to grant at target. The expected value per share is equal to the average closing price of our common stock over the last three months of the prior fiscal year to help smooth out any price volatility in our common stock.</w:t>
      </w:r>
    </w:p>
    <w:p>
      <w:pPr>
        <w:spacing w:after="0" w:line="66" w:lineRule="exact"/>
        <w:rPr>
          <w:sz w:val="20"/>
          <w:szCs w:val="20"/>
          <w:color w:val="auto"/>
        </w:rPr>
      </w:pPr>
    </w:p>
    <w:p>
      <w:pPr>
        <w:ind w:right="420" w:firstLine="401"/>
        <w:spacing w:after="0" w:line="253" w:lineRule="auto"/>
        <w:rPr>
          <w:sz w:val="20"/>
          <w:szCs w:val="20"/>
          <w:color w:val="auto"/>
        </w:rPr>
      </w:pPr>
      <w:r>
        <w:rPr>
          <w:rFonts w:ascii="Arial" w:cs="Arial" w:eastAsia="Arial" w:hAnsi="Arial"/>
          <w:sz w:val="18"/>
          <w:szCs w:val="18"/>
          <w:i w:val="1"/>
          <w:iCs w:val="1"/>
          <w:color w:val="auto"/>
        </w:rPr>
        <w:t xml:space="preserve">Restricted Stock Unit Awards. </w:t>
      </w:r>
      <w:r>
        <w:rPr>
          <w:rFonts w:ascii="Arial" w:cs="Arial" w:eastAsia="Arial" w:hAnsi="Arial"/>
          <w:sz w:val="18"/>
          <w:szCs w:val="18"/>
          <w:color w:val="auto"/>
        </w:rPr>
        <w:t>Occasionally, the Committee will grant restricted stock unit awards for use in certain situations,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hiring of new executive officers, mid-year promotions of existing executive officers, leadership transition or retention purposes. Vesting may be either performance-based or time-based.</w:t>
      </w:r>
    </w:p>
    <w:p>
      <w:pPr>
        <w:spacing w:after="0" w:line="61" w:lineRule="exact"/>
        <w:rPr>
          <w:sz w:val="20"/>
          <w:szCs w:val="20"/>
          <w:color w:val="auto"/>
        </w:rPr>
      </w:pPr>
    </w:p>
    <w:p>
      <w:pPr>
        <w:ind w:right="80" w:firstLine="401"/>
        <w:spacing w:after="0" w:line="242" w:lineRule="auto"/>
        <w:rPr>
          <w:sz w:val="20"/>
          <w:szCs w:val="20"/>
          <w:color w:val="auto"/>
        </w:rPr>
      </w:pPr>
      <w:r>
        <w:rPr>
          <w:rFonts w:ascii="Arial" w:cs="Arial" w:eastAsia="Arial" w:hAnsi="Arial"/>
          <w:sz w:val="18"/>
          <w:szCs w:val="18"/>
          <w:i w:val="1"/>
          <w:iCs w:val="1"/>
          <w:color w:val="auto"/>
        </w:rPr>
        <w:t>Fiscal 2022 Grants</w:t>
      </w:r>
      <w:r>
        <w:rPr>
          <w:rFonts w:ascii="Arial" w:cs="Arial" w:eastAsia="Arial" w:hAnsi="Arial"/>
          <w:sz w:val="18"/>
          <w:szCs w:val="18"/>
          <w:color w:val="auto"/>
        </w:rPr>
        <w:t>. The number of stock options and performance share awards granted to our NEOs for fiscal 2022 can be found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“Grants of Plan-Based Awards for Fiscal 2022” table. This table also reflects the number of performance shares at threshold and maximum levels of performance. The grant date fair value of those awards can also be found in the “Summary Compensation Table”. Additionally, the restricted stock unit grant provided to Mr. Carpenter, as a part of his employment offer and upon commencement of his employment can also be found in the “Grants of Plan-Based Awards for Fiscal 2022” table and the grant date fair value of that award is also included in the “Summary Compensation Table.”</w:t>
      </w:r>
    </w:p>
    <w:p>
      <w:pPr>
        <w:spacing w:after="0" w:line="71" w:lineRule="exact"/>
        <w:rPr>
          <w:sz w:val="20"/>
          <w:szCs w:val="20"/>
          <w:color w:val="auto"/>
        </w:rPr>
      </w:pPr>
    </w:p>
    <w:p>
      <w:pPr>
        <w:ind w:right="300" w:firstLine="401"/>
        <w:spacing w:after="0" w:line="271" w:lineRule="auto"/>
        <w:rPr>
          <w:sz w:val="20"/>
          <w:szCs w:val="20"/>
          <w:color w:val="auto"/>
        </w:rPr>
      </w:pPr>
      <w:r>
        <w:rPr>
          <w:rFonts w:ascii="Arial" w:cs="Arial" w:eastAsia="Arial" w:hAnsi="Arial"/>
          <w:sz w:val="18"/>
          <w:szCs w:val="18"/>
          <w:i w:val="1"/>
          <w:iCs w:val="1"/>
          <w:color w:val="auto"/>
        </w:rPr>
        <w:t xml:space="preserve">Performance Measures for the Performance Period Beginning in Fiscal 2022. </w:t>
      </w:r>
      <w:r>
        <w:rPr>
          <w:rFonts w:ascii="Arial" w:cs="Arial" w:eastAsia="Arial" w:hAnsi="Arial"/>
          <w:sz w:val="18"/>
          <w:szCs w:val="18"/>
          <w:color w:val="auto"/>
        </w:rPr>
        <w:t>For the fiscal 2022 to fiscal 2024 performance share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the following corporate performance measures and weightings were established for all of our executive officers:</w:t>
      </w:r>
    </w:p>
    <w:p>
      <w:pPr>
        <w:spacing w:after="0" w:line="64"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484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Performance Measures</w:t>
            </w:r>
          </w:p>
        </w:tc>
        <w:tc>
          <w:tcPr>
            <w:tcW w:w="3580" w:type="dxa"/>
            <w:vAlign w:val="bottom"/>
            <w:shd w:val="clear" w:color="auto" w:fill="C00000"/>
          </w:tcPr>
          <w:p>
            <w:pPr>
              <w:jc w:val="center"/>
              <w:ind w:left="241"/>
              <w:spacing w:after="0"/>
              <w:rPr>
                <w:sz w:val="20"/>
                <w:szCs w:val="20"/>
                <w:color w:val="auto"/>
              </w:rPr>
            </w:pPr>
            <w:r>
              <w:rPr>
                <w:rFonts w:ascii="Arial" w:cs="Arial" w:eastAsia="Arial" w:hAnsi="Arial"/>
                <w:sz w:val="14"/>
                <w:szCs w:val="14"/>
                <w:b w:val="1"/>
                <w:bCs w:val="1"/>
                <w:color w:val="FFFFFF"/>
              </w:rPr>
              <w:t>Weighting</w:t>
            </w:r>
          </w:p>
        </w:tc>
      </w:tr>
      <w:tr>
        <w:trPr>
          <w:trHeight w:val="235"/>
        </w:trPr>
        <w:tc>
          <w:tcPr>
            <w:tcW w:w="4840" w:type="dxa"/>
            <w:vAlign w:val="bottom"/>
          </w:tcPr>
          <w:p>
            <w:pPr>
              <w:spacing w:after="0"/>
              <w:rPr>
                <w:sz w:val="20"/>
                <w:szCs w:val="20"/>
                <w:color w:val="auto"/>
              </w:rPr>
            </w:pPr>
            <w:r>
              <w:rPr>
                <w:rFonts w:ascii="Arial" w:cs="Arial" w:eastAsia="Arial" w:hAnsi="Arial"/>
                <w:sz w:val="16"/>
                <w:szCs w:val="16"/>
                <w:color w:val="auto"/>
              </w:rPr>
              <w:t>Cumulative net income, plus after-tax interest</w:t>
            </w:r>
          </w:p>
        </w:tc>
        <w:tc>
          <w:tcPr>
            <w:tcW w:w="3580" w:type="dxa"/>
            <w:vAlign w:val="bottom"/>
          </w:tcPr>
          <w:p>
            <w:pPr>
              <w:jc w:val="center"/>
              <w:ind w:left="261"/>
              <w:spacing w:after="0"/>
              <w:rPr>
                <w:sz w:val="20"/>
                <w:szCs w:val="20"/>
                <w:color w:val="auto"/>
              </w:rPr>
            </w:pPr>
            <w:r>
              <w:rPr>
                <w:rFonts w:ascii="Arial" w:cs="Arial" w:eastAsia="Arial" w:hAnsi="Arial"/>
                <w:sz w:val="16"/>
                <w:szCs w:val="16"/>
                <w:color w:val="auto"/>
                <w:w w:val="99"/>
              </w:rPr>
              <w:t>50%</w:t>
            </w:r>
          </w:p>
        </w:tc>
      </w:tr>
      <w:tr>
        <w:trPr>
          <w:trHeight w:val="251"/>
        </w:trPr>
        <w:tc>
          <w:tcPr>
            <w:tcW w:w="4840" w:type="dxa"/>
            <w:vAlign w:val="bottom"/>
            <w:shd w:val="clear" w:color="auto" w:fill="D9D9D9"/>
          </w:tcPr>
          <w:p>
            <w:pPr>
              <w:spacing w:after="0"/>
              <w:rPr>
                <w:sz w:val="20"/>
                <w:szCs w:val="20"/>
                <w:color w:val="auto"/>
              </w:rPr>
            </w:pPr>
            <w:r>
              <w:rPr>
                <w:rFonts w:ascii="Arial" w:cs="Arial" w:eastAsia="Arial" w:hAnsi="Arial"/>
                <w:sz w:val="16"/>
                <w:szCs w:val="16"/>
                <w:color w:val="auto"/>
              </w:rPr>
              <w:t>Cumulative revenue</w:t>
            </w:r>
          </w:p>
        </w:tc>
        <w:tc>
          <w:tcPr>
            <w:tcW w:w="3580" w:type="dxa"/>
            <w:vAlign w:val="bottom"/>
            <w:shd w:val="clear" w:color="auto" w:fill="D9D9D9"/>
          </w:tcPr>
          <w:p>
            <w:pPr>
              <w:jc w:val="center"/>
              <w:ind w:left="261"/>
              <w:spacing w:after="0"/>
              <w:rPr>
                <w:sz w:val="20"/>
                <w:szCs w:val="20"/>
                <w:color w:val="auto"/>
              </w:rPr>
            </w:pPr>
            <w:r>
              <w:rPr>
                <w:rFonts w:ascii="Arial" w:cs="Arial" w:eastAsia="Arial" w:hAnsi="Arial"/>
                <w:sz w:val="16"/>
                <w:szCs w:val="16"/>
                <w:color w:val="auto"/>
                <w:w w:val="99"/>
              </w:rPr>
              <w:t>30%</w:t>
            </w:r>
          </w:p>
        </w:tc>
      </w:tr>
      <w:tr>
        <w:trPr>
          <w:trHeight w:val="228"/>
        </w:trPr>
        <w:tc>
          <w:tcPr>
            <w:tcW w:w="4840" w:type="dxa"/>
            <w:vAlign w:val="bottom"/>
          </w:tcPr>
          <w:p>
            <w:pPr>
              <w:spacing w:after="0"/>
              <w:rPr>
                <w:sz w:val="20"/>
                <w:szCs w:val="20"/>
                <w:color w:val="auto"/>
              </w:rPr>
            </w:pPr>
            <w:r>
              <w:rPr>
                <w:rFonts w:ascii="Arial" w:cs="Arial" w:eastAsia="Arial" w:hAnsi="Arial"/>
                <w:sz w:val="16"/>
                <w:szCs w:val="16"/>
                <w:color w:val="auto"/>
              </w:rPr>
              <w:t>Working capital as a percent of sales</w:t>
            </w:r>
          </w:p>
        </w:tc>
        <w:tc>
          <w:tcPr>
            <w:tcW w:w="3580" w:type="dxa"/>
            <w:vAlign w:val="bottom"/>
          </w:tcPr>
          <w:p>
            <w:pPr>
              <w:jc w:val="center"/>
              <w:ind w:left="221"/>
              <w:spacing w:after="0"/>
              <w:rPr>
                <w:sz w:val="20"/>
                <w:szCs w:val="20"/>
                <w:color w:val="auto"/>
              </w:rPr>
            </w:pPr>
            <w:r>
              <w:rPr>
                <w:rFonts w:ascii="Arial" w:cs="Arial" w:eastAsia="Arial" w:hAnsi="Arial"/>
                <w:sz w:val="16"/>
                <w:szCs w:val="16"/>
                <w:color w:val="auto"/>
                <w:w w:val="99"/>
              </w:rPr>
              <w:t>20%</w:t>
            </w:r>
          </w:p>
        </w:tc>
      </w:tr>
    </w:tbl>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319" w:lineRule="exact"/>
        <w:rPr>
          <w:sz w:val="20"/>
          <w:szCs w:val="20"/>
          <w:color w:val="auto"/>
        </w:rPr>
      </w:pPr>
    </w:p>
    <w:p>
      <w:pPr>
        <w:ind w:firstLine="401"/>
        <w:spacing w:after="0" w:line="238" w:lineRule="auto"/>
        <w:rPr>
          <w:sz w:val="20"/>
          <w:szCs w:val="20"/>
          <w:color w:val="auto"/>
        </w:rPr>
      </w:pPr>
      <w:r>
        <w:rPr>
          <w:rFonts w:ascii="Arial" w:cs="Arial" w:eastAsia="Arial" w:hAnsi="Arial"/>
          <w:sz w:val="18"/>
          <w:szCs w:val="18"/>
          <w:color w:val="auto"/>
        </w:rPr>
        <w:t>At its meeting in December 2021, threshold, target and maximum goals were established for the fiscal 2022 to fiscal 2024 performance share awards. The specific performance goals for the three-year award period are maintained by us as proprietary and confidential. The Committee believes that disclosure of these specific performance goals would represent competitive harm to us as such cumulative corporate goals and results are not publicly disclosed and are competitively sensitive. For each performance measure, the target goal reflects the cumulative three-year financial plan set at the corporate level. Based on historical performance, the Committee believes the attainment of target performance levels, while uncertain, could be reasonably anticipated. Threshold goals represent the minimum level of performance necessary for there to be a payout for that performance measure and the Committee believes the threshold goals are likely to be achieved. Maximum goals represent the performances at which payouts are 200% of the target award. Even if actual results exceed the maximum goals, the payouts are capped at 200% of the target award. Maximum goals represent levels of performance at which the Committee determined a payout of 200% of target would be appropriate. The Committee believes that the maximum goals established are more aggressive goals.</w:t>
      </w:r>
    </w:p>
    <w:p>
      <w:pPr>
        <w:spacing w:after="0" w:line="78" w:lineRule="exact"/>
        <w:rPr>
          <w:sz w:val="20"/>
          <w:szCs w:val="20"/>
          <w:color w:val="auto"/>
        </w:rPr>
      </w:pPr>
    </w:p>
    <w:p>
      <w:pPr>
        <w:ind w:right="100" w:firstLine="401"/>
        <w:spacing w:after="0" w:line="271" w:lineRule="auto"/>
        <w:rPr>
          <w:sz w:val="20"/>
          <w:szCs w:val="20"/>
          <w:color w:val="auto"/>
        </w:rPr>
      </w:pPr>
      <w:r>
        <w:rPr>
          <w:rFonts w:ascii="Arial" w:cs="Arial" w:eastAsia="Arial" w:hAnsi="Arial"/>
          <w:sz w:val="18"/>
          <w:szCs w:val="18"/>
          <w:i w:val="1"/>
          <w:iCs w:val="1"/>
          <w:color w:val="auto"/>
        </w:rPr>
        <w:t>Adjustment Events</w:t>
      </w:r>
      <w:r>
        <w:rPr>
          <w:rFonts w:ascii="Arial" w:cs="Arial" w:eastAsia="Arial" w:hAnsi="Arial"/>
          <w:sz w:val="18"/>
          <w:szCs w:val="18"/>
          <w:color w:val="auto"/>
        </w:rPr>
        <w:t>. In addition to approving performance measures, goals and weightings, the Committee also established 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adjustment events for determining payouts under the fiscal 2022 to fiscal 2024 performance share awards, including the following:</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00" w:type="dxa"/>
            <w:vAlign w:val="bottom"/>
            <w:shd w:val="clear" w:color="auto" w:fill="C00000"/>
          </w:tcPr>
          <w:p>
            <w:pPr>
              <w:ind w:left="1280"/>
              <w:spacing w:after="0"/>
              <w:rPr>
                <w:sz w:val="20"/>
                <w:szCs w:val="20"/>
                <w:color w:val="auto"/>
              </w:rPr>
            </w:pPr>
            <w:r>
              <w:rPr>
                <w:rFonts w:ascii="Arial" w:cs="Arial" w:eastAsia="Arial" w:hAnsi="Arial"/>
                <w:sz w:val="14"/>
                <w:szCs w:val="14"/>
                <w:b w:val="1"/>
                <w:bCs w:val="1"/>
                <w:color w:val="FFFFFF"/>
              </w:rPr>
              <w:t>Adjustment Event</w:t>
            </w:r>
          </w:p>
        </w:tc>
        <w:tc>
          <w:tcPr>
            <w:tcW w:w="3800" w:type="dxa"/>
            <w:vAlign w:val="bottom"/>
            <w:shd w:val="clear" w:color="auto" w:fill="C00000"/>
          </w:tcPr>
          <w:p>
            <w:pPr>
              <w:ind w:left="1880"/>
              <w:spacing w:after="0"/>
              <w:rPr>
                <w:sz w:val="20"/>
                <w:szCs w:val="20"/>
                <w:color w:val="auto"/>
              </w:rPr>
            </w:pPr>
            <w:r>
              <w:rPr>
                <w:rFonts w:ascii="Arial" w:cs="Arial" w:eastAsia="Arial" w:hAnsi="Arial"/>
                <w:sz w:val="14"/>
                <w:szCs w:val="14"/>
                <w:b w:val="1"/>
                <w:bCs w:val="1"/>
                <w:color w:val="FFFFFF"/>
              </w:rPr>
              <w:t>Size</w:t>
            </w:r>
          </w:p>
        </w:tc>
        <w:tc>
          <w:tcPr>
            <w:tcW w:w="3840" w:type="dxa"/>
            <w:vAlign w:val="bottom"/>
            <w:shd w:val="clear" w:color="auto" w:fill="C00000"/>
          </w:tcPr>
          <w:p>
            <w:pPr>
              <w:ind w:left="1520"/>
              <w:spacing w:after="0"/>
              <w:rPr>
                <w:sz w:val="20"/>
                <w:szCs w:val="20"/>
                <w:color w:val="auto"/>
              </w:rPr>
            </w:pPr>
            <w:r>
              <w:rPr>
                <w:rFonts w:ascii="Arial" w:cs="Arial" w:eastAsia="Arial" w:hAnsi="Arial"/>
                <w:sz w:val="14"/>
                <w:szCs w:val="14"/>
                <w:b w:val="1"/>
                <w:bCs w:val="1"/>
                <w:color w:val="FFFFFF"/>
              </w:rPr>
              <w:t>Impact Effect</w:t>
            </w:r>
          </w:p>
        </w:tc>
      </w:tr>
      <w:tr>
        <w:trPr>
          <w:trHeight w:val="188"/>
        </w:trPr>
        <w:tc>
          <w:tcPr>
            <w:tcW w:w="3600" w:type="dxa"/>
            <w:vAlign w:val="bottom"/>
          </w:tcPr>
          <w:p>
            <w:pPr>
              <w:spacing w:after="0"/>
              <w:rPr>
                <w:sz w:val="20"/>
                <w:szCs w:val="20"/>
                <w:color w:val="auto"/>
              </w:rPr>
            </w:pPr>
            <w:r>
              <w:rPr>
                <w:rFonts w:ascii="Arial" w:cs="Arial" w:eastAsia="Arial" w:hAnsi="Arial"/>
                <w:sz w:val="16"/>
                <w:szCs w:val="16"/>
                <w:color w:val="auto"/>
              </w:rPr>
              <w:t>Acquisitions (as determined by projected first 12</w:t>
            </w:r>
          </w:p>
        </w:tc>
        <w:tc>
          <w:tcPr>
            <w:tcW w:w="3800" w:type="dxa"/>
            <w:vAlign w:val="bottom"/>
          </w:tcPr>
          <w:p>
            <w:pPr>
              <w:ind w:left="140"/>
              <w:spacing w:after="0"/>
              <w:rPr>
                <w:sz w:val="20"/>
                <w:szCs w:val="20"/>
                <w:color w:val="auto"/>
              </w:rPr>
            </w:pPr>
            <w:r>
              <w:rPr>
                <w:rFonts w:ascii="Arial" w:cs="Arial" w:eastAsia="Arial" w:hAnsi="Arial"/>
                <w:sz w:val="16"/>
                <w:szCs w:val="16"/>
                <w:color w:val="auto"/>
              </w:rPr>
              <w:t>Acquisition is ≥ $50 million</w:t>
            </w:r>
          </w:p>
        </w:tc>
        <w:tc>
          <w:tcPr>
            <w:tcW w:w="3840" w:type="dxa"/>
            <w:vAlign w:val="bottom"/>
          </w:tcPr>
          <w:p>
            <w:pPr>
              <w:ind w:left="100"/>
              <w:spacing w:after="0"/>
              <w:rPr>
                <w:sz w:val="20"/>
                <w:szCs w:val="20"/>
                <w:color w:val="auto"/>
              </w:rPr>
            </w:pPr>
            <w:r>
              <w:rPr>
                <w:rFonts w:ascii="Arial" w:cs="Arial" w:eastAsia="Arial" w:hAnsi="Arial"/>
                <w:sz w:val="16"/>
                <w:szCs w:val="16"/>
                <w:color w:val="auto"/>
              </w:rPr>
              <w:t>Excluded</w:t>
            </w:r>
          </w:p>
        </w:tc>
      </w:tr>
      <w:tr>
        <w:trPr>
          <w:trHeight w:val="222"/>
        </w:trPr>
        <w:tc>
          <w:tcPr>
            <w:tcW w:w="3600" w:type="dxa"/>
            <w:vAlign w:val="bottom"/>
          </w:tcPr>
          <w:p>
            <w:pPr>
              <w:spacing w:after="0"/>
              <w:rPr>
                <w:sz w:val="20"/>
                <w:szCs w:val="20"/>
                <w:color w:val="auto"/>
              </w:rPr>
            </w:pPr>
            <w:r>
              <w:rPr>
                <w:rFonts w:ascii="Arial" w:cs="Arial" w:eastAsia="Arial" w:hAnsi="Arial"/>
                <w:sz w:val="16"/>
                <w:szCs w:val="16"/>
                <w:color w:val="auto"/>
              </w:rPr>
              <w:t>months of revenue)</w:t>
            </w:r>
          </w:p>
        </w:tc>
        <w:tc>
          <w:tcPr>
            <w:tcW w:w="3800" w:type="dxa"/>
            <w:vAlign w:val="bottom"/>
          </w:tcPr>
          <w:p>
            <w:pPr>
              <w:spacing w:after="0"/>
              <w:rPr>
                <w:sz w:val="19"/>
                <w:szCs w:val="19"/>
                <w:color w:val="auto"/>
              </w:rPr>
            </w:pPr>
          </w:p>
        </w:tc>
        <w:tc>
          <w:tcPr>
            <w:tcW w:w="3840" w:type="dxa"/>
            <w:vAlign w:val="bottom"/>
          </w:tcPr>
          <w:p>
            <w:pPr>
              <w:spacing w:after="0"/>
              <w:rPr>
                <w:sz w:val="19"/>
                <w:szCs w:val="19"/>
                <w:color w:val="auto"/>
              </w:rPr>
            </w:pPr>
          </w:p>
        </w:tc>
      </w:tr>
      <w:tr>
        <w:trPr>
          <w:trHeight w:val="231"/>
        </w:trPr>
        <w:tc>
          <w:tcPr>
            <w:tcW w:w="3600" w:type="dxa"/>
            <w:vAlign w:val="bottom"/>
            <w:tcBorders>
              <w:bottom w:val="single" w:sz="8" w:color="D9D9D9"/>
            </w:tcBorders>
            <w:shd w:val="clear" w:color="auto" w:fill="D9D9D9"/>
          </w:tcPr>
          <w:p>
            <w:pPr>
              <w:spacing w:after="0"/>
              <w:rPr>
                <w:sz w:val="20"/>
                <w:szCs w:val="20"/>
                <w:color w:val="auto"/>
              </w:rPr>
            </w:pPr>
          </w:p>
        </w:tc>
        <w:tc>
          <w:tcPr>
            <w:tcW w:w="3800" w:type="dxa"/>
            <w:vAlign w:val="bottom"/>
            <w:tcBorders>
              <w:bottom w:val="single" w:sz="8" w:color="D9D9D9"/>
            </w:tcBorders>
            <w:shd w:val="clear" w:color="auto" w:fill="D9D9D9"/>
          </w:tcPr>
          <w:p>
            <w:pPr>
              <w:ind w:left="140"/>
              <w:spacing w:after="0"/>
              <w:rPr>
                <w:sz w:val="20"/>
                <w:szCs w:val="20"/>
                <w:color w:val="auto"/>
              </w:rPr>
            </w:pPr>
            <w:r>
              <w:rPr>
                <w:rFonts w:ascii="Arial" w:cs="Arial" w:eastAsia="Arial" w:hAnsi="Arial"/>
                <w:sz w:val="16"/>
                <w:szCs w:val="16"/>
                <w:color w:val="auto"/>
              </w:rPr>
              <w:t>Acquisition is &lt; $10 million</w:t>
            </w:r>
          </w:p>
        </w:tc>
        <w:tc>
          <w:tcPr>
            <w:tcW w:w="3840" w:type="dxa"/>
            <w:vAlign w:val="bottom"/>
            <w:tcBorders>
              <w:bottom w:val="single" w:sz="8" w:color="D9D9D9"/>
            </w:tcBorders>
            <w:shd w:val="clear" w:color="auto" w:fill="D9D9D9"/>
          </w:tcPr>
          <w:p>
            <w:pPr>
              <w:ind w:left="100"/>
              <w:spacing w:after="0"/>
              <w:rPr>
                <w:sz w:val="20"/>
                <w:szCs w:val="20"/>
                <w:color w:val="auto"/>
              </w:rPr>
            </w:pPr>
            <w:r>
              <w:rPr>
                <w:rFonts w:ascii="Arial" w:cs="Arial" w:eastAsia="Arial" w:hAnsi="Arial"/>
                <w:sz w:val="16"/>
                <w:szCs w:val="16"/>
                <w:color w:val="auto"/>
              </w:rPr>
              <w:t>Included</w:t>
            </w:r>
          </w:p>
        </w:tc>
      </w:tr>
      <w:tr>
        <w:trPr>
          <w:trHeight w:val="188"/>
        </w:trPr>
        <w:tc>
          <w:tcPr>
            <w:tcW w:w="3600" w:type="dxa"/>
            <w:vAlign w:val="bottom"/>
          </w:tcPr>
          <w:p>
            <w:pPr>
              <w:spacing w:after="0"/>
              <w:rPr>
                <w:sz w:val="16"/>
                <w:szCs w:val="16"/>
                <w:color w:val="auto"/>
              </w:rPr>
            </w:pPr>
          </w:p>
        </w:tc>
        <w:tc>
          <w:tcPr>
            <w:tcW w:w="3800" w:type="dxa"/>
            <w:vAlign w:val="bottom"/>
          </w:tcPr>
          <w:p>
            <w:pPr>
              <w:ind w:left="140"/>
              <w:spacing w:after="0"/>
              <w:rPr>
                <w:sz w:val="20"/>
                <w:szCs w:val="20"/>
                <w:color w:val="auto"/>
              </w:rPr>
            </w:pPr>
            <w:r>
              <w:rPr>
                <w:rFonts w:ascii="Arial" w:cs="Arial" w:eastAsia="Arial" w:hAnsi="Arial"/>
                <w:sz w:val="16"/>
                <w:szCs w:val="16"/>
                <w:color w:val="auto"/>
              </w:rPr>
              <w:t>Acquisition is between $10 million and $50 million</w:t>
            </w:r>
          </w:p>
        </w:tc>
        <w:tc>
          <w:tcPr>
            <w:tcW w:w="3840" w:type="dxa"/>
            <w:vAlign w:val="bottom"/>
          </w:tcPr>
          <w:p>
            <w:pPr>
              <w:ind w:left="100"/>
              <w:spacing w:after="0"/>
              <w:rPr>
                <w:sz w:val="20"/>
                <w:szCs w:val="20"/>
                <w:color w:val="auto"/>
              </w:rPr>
            </w:pPr>
            <w:r>
              <w:rPr>
                <w:rFonts w:ascii="Arial" w:cs="Arial" w:eastAsia="Arial" w:hAnsi="Arial"/>
                <w:sz w:val="16"/>
                <w:szCs w:val="16"/>
                <w:color w:val="auto"/>
              </w:rPr>
              <w:t>Included, if transaction closes in first year of</w:t>
            </w:r>
          </w:p>
        </w:tc>
      </w:tr>
      <w:tr>
        <w:trPr>
          <w:trHeight w:val="215"/>
        </w:trPr>
        <w:tc>
          <w:tcPr>
            <w:tcW w:w="36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840" w:type="dxa"/>
            <w:vAlign w:val="bottom"/>
          </w:tcPr>
          <w:p>
            <w:pPr>
              <w:ind w:left="100"/>
              <w:spacing w:after="0"/>
              <w:rPr>
                <w:sz w:val="20"/>
                <w:szCs w:val="20"/>
                <w:color w:val="auto"/>
              </w:rPr>
            </w:pPr>
            <w:r>
              <w:rPr>
                <w:rFonts w:ascii="Arial" w:cs="Arial" w:eastAsia="Arial" w:hAnsi="Arial"/>
                <w:sz w:val="16"/>
                <w:szCs w:val="16"/>
                <w:color w:val="auto"/>
              </w:rPr>
              <w:t>performance period</w:t>
            </w:r>
          </w:p>
        </w:tc>
      </w:tr>
      <w:tr>
        <w:trPr>
          <w:trHeight w:val="190"/>
        </w:trPr>
        <w:tc>
          <w:tcPr>
            <w:tcW w:w="36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840" w:type="dxa"/>
            <w:vAlign w:val="bottom"/>
          </w:tcPr>
          <w:p>
            <w:pPr>
              <w:ind w:left="100"/>
              <w:spacing w:after="0"/>
              <w:rPr>
                <w:sz w:val="20"/>
                <w:szCs w:val="20"/>
                <w:color w:val="auto"/>
              </w:rPr>
            </w:pPr>
            <w:r>
              <w:rPr>
                <w:rFonts w:ascii="Arial" w:cs="Arial" w:eastAsia="Arial" w:hAnsi="Arial"/>
                <w:sz w:val="16"/>
                <w:szCs w:val="16"/>
                <w:color w:val="auto"/>
              </w:rPr>
              <w:t>Excluded, if transaction closes in second or third</w:t>
            </w:r>
          </w:p>
        </w:tc>
      </w:tr>
      <w:tr>
        <w:trPr>
          <w:trHeight w:val="216"/>
        </w:trPr>
        <w:tc>
          <w:tcPr>
            <w:tcW w:w="36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840" w:type="dxa"/>
            <w:vAlign w:val="bottom"/>
          </w:tcPr>
          <w:p>
            <w:pPr>
              <w:ind w:left="100"/>
              <w:spacing w:after="0"/>
              <w:rPr>
                <w:sz w:val="20"/>
                <w:szCs w:val="20"/>
                <w:color w:val="auto"/>
              </w:rPr>
            </w:pPr>
            <w:r>
              <w:rPr>
                <w:rFonts w:ascii="Arial" w:cs="Arial" w:eastAsia="Arial" w:hAnsi="Arial"/>
                <w:sz w:val="16"/>
                <w:szCs w:val="16"/>
                <w:color w:val="auto"/>
              </w:rPr>
              <w:t>year of performance period</w:t>
            </w:r>
          </w:p>
        </w:tc>
      </w:tr>
      <w:tr>
        <w:trPr>
          <w:trHeight w:val="189"/>
        </w:trPr>
        <w:tc>
          <w:tcPr>
            <w:tcW w:w="3600" w:type="dxa"/>
            <w:vAlign w:val="bottom"/>
            <w:shd w:val="clear" w:color="auto" w:fill="D9D9D9"/>
          </w:tcPr>
          <w:p>
            <w:pPr>
              <w:spacing w:after="0"/>
              <w:rPr>
                <w:sz w:val="20"/>
                <w:szCs w:val="20"/>
                <w:color w:val="auto"/>
              </w:rPr>
            </w:pPr>
            <w:r>
              <w:rPr>
                <w:rFonts w:ascii="Arial" w:cs="Arial" w:eastAsia="Arial" w:hAnsi="Arial"/>
                <w:sz w:val="16"/>
                <w:szCs w:val="16"/>
                <w:color w:val="auto"/>
              </w:rPr>
              <w:t>Change in Accounting Principles or Standards</w:t>
            </w:r>
          </w:p>
        </w:tc>
        <w:tc>
          <w:tcPr>
            <w:tcW w:w="3800" w:type="dxa"/>
            <w:vAlign w:val="bottom"/>
            <w:shd w:val="clear" w:color="auto" w:fill="D9D9D9"/>
          </w:tcPr>
          <w:p>
            <w:pPr>
              <w:ind w:left="140"/>
              <w:spacing w:after="0"/>
              <w:rPr>
                <w:sz w:val="20"/>
                <w:szCs w:val="20"/>
                <w:color w:val="auto"/>
              </w:rPr>
            </w:pPr>
            <w:r>
              <w:rPr>
                <w:rFonts w:ascii="Arial" w:cs="Arial" w:eastAsia="Arial" w:hAnsi="Arial"/>
                <w:sz w:val="16"/>
                <w:szCs w:val="16"/>
                <w:color w:val="auto"/>
              </w:rPr>
              <w:t>Cumulative net impact on the payout of all</w:t>
            </w:r>
          </w:p>
        </w:tc>
        <w:tc>
          <w:tcPr>
            <w:tcW w:w="3840" w:type="dxa"/>
            <w:vAlign w:val="bottom"/>
            <w:shd w:val="clear" w:color="auto" w:fill="D9D9D9"/>
          </w:tcPr>
          <w:p>
            <w:pPr>
              <w:ind w:left="100"/>
              <w:spacing w:after="0"/>
              <w:rPr>
                <w:sz w:val="20"/>
                <w:szCs w:val="20"/>
                <w:color w:val="auto"/>
              </w:rPr>
            </w:pPr>
            <w:r>
              <w:rPr>
                <w:rFonts w:ascii="Arial" w:cs="Arial" w:eastAsia="Arial" w:hAnsi="Arial"/>
                <w:sz w:val="16"/>
                <w:szCs w:val="16"/>
                <w:color w:val="auto"/>
              </w:rPr>
              <w:t>Excluded</w:t>
            </w:r>
          </w:p>
        </w:tc>
      </w:tr>
      <w:tr>
        <w:trPr>
          <w:trHeight w:val="230"/>
        </w:trPr>
        <w:tc>
          <w:tcPr>
            <w:tcW w:w="3600" w:type="dxa"/>
            <w:vAlign w:val="bottom"/>
            <w:shd w:val="clear" w:color="auto" w:fill="D9D9D9"/>
          </w:tcPr>
          <w:p>
            <w:pPr>
              <w:spacing w:after="0"/>
              <w:rPr>
                <w:sz w:val="20"/>
                <w:szCs w:val="20"/>
                <w:color w:val="auto"/>
              </w:rPr>
            </w:pPr>
          </w:p>
        </w:tc>
        <w:tc>
          <w:tcPr>
            <w:tcW w:w="3800" w:type="dxa"/>
            <w:vAlign w:val="bottom"/>
            <w:shd w:val="clear" w:color="auto" w:fill="D9D9D9"/>
          </w:tcPr>
          <w:p>
            <w:pPr>
              <w:ind w:left="140"/>
              <w:spacing w:after="0"/>
              <w:rPr>
                <w:sz w:val="20"/>
                <w:szCs w:val="20"/>
                <w:color w:val="auto"/>
              </w:rPr>
            </w:pPr>
            <w:r>
              <w:rPr>
                <w:rFonts w:ascii="Arial" w:cs="Arial" w:eastAsia="Arial" w:hAnsi="Arial"/>
                <w:sz w:val="16"/>
                <w:szCs w:val="16"/>
                <w:color w:val="auto"/>
              </w:rPr>
              <w:t>accounting adjustments is &gt; 2%</w:t>
            </w:r>
          </w:p>
        </w:tc>
        <w:tc>
          <w:tcPr>
            <w:tcW w:w="3840" w:type="dxa"/>
            <w:vAlign w:val="bottom"/>
            <w:shd w:val="clear" w:color="auto" w:fill="D9D9D9"/>
          </w:tcPr>
          <w:p>
            <w:pPr>
              <w:spacing w:after="0"/>
              <w:rPr>
                <w:sz w:val="20"/>
                <w:szCs w:val="20"/>
                <w:color w:val="auto"/>
              </w:rPr>
            </w:pPr>
          </w:p>
        </w:tc>
      </w:tr>
    </w:tbl>
    <w:p>
      <w:pPr>
        <w:spacing w:after="0" w:line="76" w:lineRule="exact"/>
        <w:rPr>
          <w:sz w:val="20"/>
          <w:szCs w:val="20"/>
          <w:color w:val="auto"/>
        </w:rPr>
      </w:pPr>
    </w:p>
    <w:p>
      <w:pPr>
        <w:ind w:left="400"/>
        <w:spacing w:after="0"/>
        <w:tabs>
          <w:tab w:leader="none" w:pos="6480" w:val="left"/>
        </w:tabs>
        <w:rPr>
          <w:sz w:val="20"/>
          <w:szCs w:val="20"/>
          <w:color w:val="auto"/>
        </w:rPr>
      </w:pPr>
      <w:r>
        <w:rPr>
          <w:rFonts w:ascii="Arial" w:cs="Arial" w:eastAsia="Arial" w:hAnsi="Arial"/>
          <w:sz w:val="18"/>
          <w:szCs w:val="18"/>
          <w:i w:val="1"/>
          <w:iCs w:val="1"/>
          <w:color w:val="auto"/>
        </w:rPr>
        <w:t>Performance Measures for the Performance Period Ending in Fiscal 2022.</w:t>
      </w:r>
      <w:r>
        <w:rPr>
          <w:sz w:val="20"/>
          <w:szCs w:val="20"/>
          <w:color w:val="auto"/>
        </w:rPr>
        <w:tab/>
      </w:r>
      <w:r>
        <w:rPr>
          <w:rFonts w:ascii="Arial" w:cs="Arial" w:eastAsia="Arial" w:hAnsi="Arial"/>
          <w:sz w:val="17"/>
          <w:szCs w:val="17"/>
          <w:color w:val="auto"/>
        </w:rPr>
        <w:t>The performance share awards that were granted in fiscal</w:t>
      </w:r>
    </w:p>
    <w:p>
      <w:pPr>
        <w:spacing w:after="0" w:line="14" w:lineRule="exact"/>
        <w:rPr>
          <w:sz w:val="20"/>
          <w:szCs w:val="20"/>
          <w:color w:val="auto"/>
        </w:rPr>
      </w:pPr>
    </w:p>
    <w:p>
      <w:pPr>
        <w:ind w:right="540"/>
        <w:spacing w:after="0"/>
        <w:rPr>
          <w:sz w:val="20"/>
          <w:szCs w:val="20"/>
          <w:color w:val="auto"/>
        </w:rPr>
      </w:pPr>
      <w:r>
        <w:rPr>
          <w:rFonts w:ascii="Arial" w:cs="Arial" w:eastAsia="Arial" w:hAnsi="Arial"/>
          <w:sz w:val="17"/>
          <w:szCs w:val="17"/>
          <w:color w:val="auto"/>
        </w:rPr>
        <w:t>2020 for the fiscal 2020 to fiscal 2022 performance period were approved for payout upon the Committee’s certification of performance against the goals and impact of any predefined adjustment events at its meeting on December 13, 2022. Pursuant to the predefined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adjustment events, all financial impacts related to our acquisition of Venture Products, Inc. in March 2020 and acquisition of Intimidator Group</w:t>
      </w:r>
    </w:p>
    <w:p>
      <w:pPr>
        <w:spacing w:after="0" w:line="7" w:lineRule="exact"/>
        <w:rPr>
          <w:sz w:val="20"/>
          <w:szCs w:val="20"/>
          <w:color w:val="auto"/>
        </w:rPr>
      </w:pPr>
    </w:p>
    <w:p>
      <w:pPr>
        <w:jc w:val="both"/>
        <w:ind w:right="400"/>
        <w:spacing w:after="0" w:line="237" w:lineRule="auto"/>
        <w:rPr>
          <w:sz w:val="20"/>
          <w:szCs w:val="20"/>
          <w:color w:val="auto"/>
        </w:rPr>
      </w:pPr>
      <w:r>
        <w:rPr>
          <w:rFonts w:ascii="Arial" w:cs="Arial" w:eastAsia="Arial" w:hAnsi="Arial"/>
          <w:sz w:val="18"/>
          <w:szCs w:val="18"/>
          <w:color w:val="auto"/>
        </w:rPr>
        <w:t>in January 2022 were excluded from the payout calculation. The payout for our fiscal 2020 to fiscal 2022 performance share awards was 72.1% of target.</w:t>
      </w:r>
    </w:p>
    <w:p>
      <w:pPr>
        <w:spacing w:after="0" w:line="86" w:lineRule="exact"/>
        <w:rPr>
          <w:sz w:val="20"/>
          <w:szCs w:val="20"/>
          <w:color w:val="auto"/>
        </w:rPr>
      </w:pPr>
    </w:p>
    <w:p>
      <w:pPr>
        <w:jc w:val="both"/>
        <w:ind w:right="380" w:firstLine="401"/>
        <w:spacing w:after="0" w:line="253" w:lineRule="auto"/>
        <w:rPr>
          <w:sz w:val="20"/>
          <w:szCs w:val="20"/>
          <w:color w:val="auto"/>
        </w:rPr>
      </w:pPr>
      <w:r>
        <w:rPr>
          <w:rFonts w:ascii="Arial" w:cs="Arial" w:eastAsia="Arial" w:hAnsi="Arial"/>
          <w:sz w:val="18"/>
          <w:szCs w:val="18"/>
          <w:color w:val="auto"/>
        </w:rPr>
        <w:t>The table below outlines the corporate performance measures and weightings, as well as threshold, target and maximum goals that were established by the Committee at the beginning of fiscal 2020, along with actual levels of performance when factoring in adjustment events, for the fiscal 2020 to fiscal 2022 performance share awards.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shd w:val="clear" w:color="auto" w:fill="BE0000"/>
          </w:tcPr>
          <w:p>
            <w:pPr>
              <w:spacing w:after="0"/>
              <w:rPr>
                <w:sz w:val="20"/>
                <w:szCs w:val="20"/>
                <w:color w:val="auto"/>
              </w:rPr>
            </w:pPr>
            <w:r>
              <w:rPr>
                <w:rFonts w:ascii="Arial" w:cs="Arial" w:eastAsia="Arial" w:hAnsi="Arial"/>
                <w:sz w:val="14"/>
                <w:szCs w:val="14"/>
                <w:b w:val="1"/>
                <w:bCs w:val="1"/>
                <w:color w:val="FFFFFF"/>
              </w:rPr>
              <w:t>Fiscal 2020 to Fiscal 2022</w:t>
            </w:r>
          </w:p>
        </w:tc>
        <w:tc>
          <w:tcPr>
            <w:tcW w:w="1580" w:type="dxa"/>
            <w:vAlign w:val="bottom"/>
            <w:shd w:val="clear" w:color="auto" w:fill="BE0000"/>
          </w:tcPr>
          <w:p>
            <w:pPr>
              <w:jc w:val="right"/>
              <w:ind w:right="328"/>
              <w:spacing w:after="0"/>
              <w:rPr>
                <w:sz w:val="20"/>
                <w:szCs w:val="20"/>
                <w:color w:val="auto"/>
              </w:rPr>
            </w:pPr>
            <w:r>
              <w:rPr>
                <w:rFonts w:ascii="Arial" w:cs="Arial" w:eastAsia="Arial" w:hAnsi="Arial"/>
                <w:sz w:val="14"/>
                <w:szCs w:val="14"/>
                <w:b w:val="1"/>
                <w:bCs w:val="1"/>
                <w:color w:val="FFFFFF"/>
              </w:rPr>
              <w:t>Threshold</w:t>
            </w:r>
          </w:p>
        </w:tc>
        <w:tc>
          <w:tcPr>
            <w:tcW w:w="1400" w:type="dxa"/>
            <w:vAlign w:val="bottom"/>
            <w:shd w:val="clear" w:color="auto" w:fill="BE0000"/>
          </w:tcPr>
          <w:p>
            <w:pPr>
              <w:jc w:val="right"/>
              <w:ind w:right="468"/>
              <w:spacing w:after="0"/>
              <w:rPr>
                <w:sz w:val="20"/>
                <w:szCs w:val="20"/>
                <w:color w:val="auto"/>
              </w:rPr>
            </w:pPr>
            <w:r>
              <w:rPr>
                <w:rFonts w:ascii="Arial" w:cs="Arial" w:eastAsia="Arial" w:hAnsi="Arial"/>
                <w:sz w:val="14"/>
                <w:szCs w:val="14"/>
                <w:b w:val="1"/>
                <w:bCs w:val="1"/>
                <w:color w:val="FFFFFF"/>
              </w:rPr>
              <w:t>Target</w:t>
            </w:r>
          </w:p>
        </w:tc>
        <w:tc>
          <w:tcPr>
            <w:tcW w:w="1440" w:type="dxa"/>
            <w:vAlign w:val="bottom"/>
            <w:shd w:val="clear" w:color="auto" w:fill="BE0000"/>
          </w:tcPr>
          <w:p>
            <w:pPr>
              <w:jc w:val="right"/>
              <w:ind w:right="408"/>
              <w:spacing w:after="0"/>
              <w:rPr>
                <w:sz w:val="20"/>
                <w:szCs w:val="20"/>
                <w:color w:val="auto"/>
              </w:rPr>
            </w:pPr>
            <w:r>
              <w:rPr>
                <w:rFonts w:ascii="Arial" w:cs="Arial" w:eastAsia="Arial" w:hAnsi="Arial"/>
                <w:sz w:val="14"/>
                <w:szCs w:val="14"/>
                <w:b w:val="1"/>
                <w:bCs w:val="1"/>
                <w:color w:val="FFFFFF"/>
              </w:rPr>
              <w:t>Maximum</w:t>
            </w:r>
          </w:p>
        </w:tc>
        <w:tc>
          <w:tcPr>
            <w:tcW w:w="2440" w:type="dxa"/>
            <w:vAlign w:val="bottom"/>
            <w:vMerge w:val="restart"/>
            <w:shd w:val="clear" w:color="auto" w:fill="BE0000"/>
          </w:tcPr>
          <w:p>
            <w:pPr>
              <w:jc w:val="center"/>
              <w:spacing w:after="0"/>
              <w:rPr>
                <w:sz w:val="20"/>
                <w:szCs w:val="20"/>
                <w:color w:val="auto"/>
              </w:rPr>
            </w:pPr>
            <w:r>
              <w:rPr>
                <w:rFonts w:ascii="Arial" w:cs="Arial" w:eastAsia="Arial" w:hAnsi="Arial"/>
                <w:sz w:val="14"/>
                <w:szCs w:val="14"/>
                <w:b w:val="1"/>
                <w:bCs w:val="1"/>
                <w:color w:val="FFFFFF"/>
              </w:rPr>
              <w:t>Actual</w:t>
            </w:r>
          </w:p>
        </w:tc>
        <w:tc>
          <w:tcPr>
            <w:tcW w:w="0" w:type="dxa"/>
            <w:vAlign w:val="bottom"/>
          </w:tcPr>
          <w:p>
            <w:pPr>
              <w:spacing w:after="0"/>
              <w:rPr>
                <w:sz w:val="1"/>
                <w:szCs w:val="1"/>
                <w:color w:val="auto"/>
              </w:rPr>
            </w:pPr>
          </w:p>
        </w:tc>
      </w:tr>
      <w:tr>
        <w:trPr>
          <w:trHeight w:val="185"/>
        </w:trPr>
        <w:tc>
          <w:tcPr>
            <w:tcW w:w="4380" w:type="dxa"/>
            <w:vAlign w:val="bottom"/>
            <w:shd w:val="clear" w:color="auto" w:fill="BE0000"/>
          </w:tcPr>
          <w:p>
            <w:pPr>
              <w:spacing w:after="0"/>
              <w:rPr>
                <w:sz w:val="20"/>
                <w:szCs w:val="20"/>
                <w:color w:val="auto"/>
              </w:rPr>
            </w:pPr>
            <w:r>
              <w:rPr>
                <w:rFonts w:ascii="Arial" w:cs="Arial" w:eastAsia="Arial" w:hAnsi="Arial"/>
                <w:sz w:val="14"/>
                <w:szCs w:val="14"/>
                <w:b w:val="1"/>
                <w:bCs w:val="1"/>
                <w:color w:val="FFFFFF"/>
              </w:rPr>
              <w:t>Performance Measures</w:t>
            </w:r>
          </w:p>
        </w:tc>
        <w:tc>
          <w:tcPr>
            <w:tcW w:w="1580" w:type="dxa"/>
            <w:vAlign w:val="bottom"/>
            <w:shd w:val="clear" w:color="auto" w:fill="BE0000"/>
          </w:tcPr>
          <w:p>
            <w:pPr>
              <w:jc w:val="right"/>
              <w:ind w:right="228"/>
              <w:spacing w:after="0"/>
              <w:rPr>
                <w:sz w:val="20"/>
                <w:szCs w:val="20"/>
                <w:color w:val="auto"/>
              </w:rPr>
            </w:pPr>
            <w:r>
              <w:rPr>
                <w:rFonts w:ascii="Arial" w:cs="Arial" w:eastAsia="Arial" w:hAnsi="Arial"/>
                <w:sz w:val="14"/>
                <w:szCs w:val="14"/>
                <w:b w:val="1"/>
                <w:bCs w:val="1"/>
                <w:color w:val="FFFFFF"/>
              </w:rPr>
              <w:t>(40% payout)</w:t>
            </w:r>
          </w:p>
        </w:tc>
        <w:tc>
          <w:tcPr>
            <w:tcW w:w="1400" w:type="dxa"/>
            <w:vAlign w:val="bottom"/>
            <w:shd w:val="clear" w:color="auto" w:fill="BE0000"/>
          </w:tcPr>
          <w:p>
            <w:pPr>
              <w:jc w:val="right"/>
              <w:ind w:right="208"/>
              <w:spacing w:after="0"/>
              <w:rPr>
                <w:sz w:val="20"/>
                <w:szCs w:val="20"/>
                <w:color w:val="auto"/>
              </w:rPr>
            </w:pPr>
            <w:r>
              <w:rPr>
                <w:rFonts w:ascii="Arial" w:cs="Arial" w:eastAsia="Arial" w:hAnsi="Arial"/>
                <w:sz w:val="14"/>
                <w:szCs w:val="14"/>
                <w:b w:val="1"/>
                <w:bCs w:val="1"/>
                <w:color w:val="FFFFFF"/>
              </w:rPr>
              <w:t>(100% payout)</w:t>
            </w:r>
          </w:p>
        </w:tc>
        <w:tc>
          <w:tcPr>
            <w:tcW w:w="1440" w:type="dxa"/>
            <w:vAlign w:val="bottom"/>
            <w:shd w:val="clear" w:color="auto" w:fill="BE0000"/>
          </w:tcPr>
          <w:p>
            <w:pPr>
              <w:jc w:val="right"/>
              <w:ind w:right="248"/>
              <w:spacing w:after="0"/>
              <w:rPr>
                <w:sz w:val="20"/>
                <w:szCs w:val="20"/>
                <w:color w:val="auto"/>
              </w:rPr>
            </w:pPr>
            <w:r>
              <w:rPr>
                <w:rFonts w:ascii="Arial" w:cs="Arial" w:eastAsia="Arial" w:hAnsi="Arial"/>
                <w:sz w:val="14"/>
                <w:szCs w:val="14"/>
                <w:b w:val="1"/>
                <w:bCs w:val="1"/>
                <w:color w:val="FFFFFF"/>
              </w:rPr>
              <w:t>(200% payout)</w:t>
            </w:r>
          </w:p>
        </w:tc>
        <w:tc>
          <w:tcPr>
            <w:tcW w:w="2440" w:type="dxa"/>
            <w:vAlign w:val="bottom"/>
            <w:vMerge w:val="continue"/>
            <w:shd w:val="clear" w:color="auto" w:fill="BE0000"/>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380" w:type="dxa"/>
            <w:vAlign w:val="bottom"/>
          </w:tcPr>
          <w:p>
            <w:pPr>
              <w:spacing w:after="0"/>
              <w:rPr>
                <w:sz w:val="20"/>
                <w:szCs w:val="20"/>
                <w:color w:val="auto"/>
              </w:rPr>
            </w:pPr>
            <w:r>
              <w:rPr>
                <w:rFonts w:ascii="Arial" w:cs="Arial" w:eastAsia="Arial" w:hAnsi="Arial"/>
                <w:sz w:val="14"/>
                <w:szCs w:val="14"/>
                <w:color w:val="auto"/>
              </w:rPr>
              <w:t>50% cumulative corporate net income plus</w:t>
            </w:r>
          </w:p>
        </w:tc>
        <w:tc>
          <w:tcPr>
            <w:tcW w:w="1580" w:type="dxa"/>
            <w:vAlign w:val="bottom"/>
            <w:vMerge w:val="restart"/>
          </w:tcPr>
          <w:p>
            <w:pPr>
              <w:jc w:val="right"/>
              <w:ind w:right="68"/>
              <w:spacing w:after="0"/>
              <w:rPr>
                <w:sz w:val="20"/>
                <w:szCs w:val="20"/>
                <w:color w:val="auto"/>
              </w:rPr>
            </w:pPr>
            <w:r>
              <w:rPr>
                <w:rFonts w:ascii="Arial" w:cs="Arial" w:eastAsia="Arial" w:hAnsi="Arial"/>
                <w:sz w:val="14"/>
                <w:szCs w:val="14"/>
                <w:color w:val="auto"/>
              </w:rPr>
              <w:t>$1,028,470</w:t>
            </w:r>
          </w:p>
        </w:tc>
        <w:tc>
          <w:tcPr>
            <w:tcW w:w="1400" w:type="dxa"/>
            <w:vAlign w:val="bottom"/>
            <w:vMerge w:val="restart"/>
          </w:tcPr>
          <w:p>
            <w:pPr>
              <w:jc w:val="right"/>
              <w:ind w:right="68"/>
              <w:spacing w:after="0"/>
              <w:rPr>
                <w:sz w:val="20"/>
                <w:szCs w:val="20"/>
                <w:color w:val="auto"/>
              </w:rPr>
            </w:pPr>
            <w:r>
              <w:rPr>
                <w:rFonts w:ascii="Arial" w:cs="Arial" w:eastAsia="Arial" w:hAnsi="Arial"/>
                <w:sz w:val="14"/>
                <w:szCs w:val="14"/>
                <w:color w:val="auto"/>
              </w:rPr>
              <w:t>$1,285,588</w:t>
            </w:r>
          </w:p>
        </w:tc>
        <w:tc>
          <w:tcPr>
            <w:tcW w:w="1440" w:type="dxa"/>
            <w:vAlign w:val="bottom"/>
            <w:vMerge w:val="restart"/>
          </w:tcPr>
          <w:p>
            <w:pPr>
              <w:jc w:val="right"/>
              <w:ind w:right="128"/>
              <w:spacing w:after="0"/>
              <w:rPr>
                <w:sz w:val="20"/>
                <w:szCs w:val="20"/>
                <w:color w:val="auto"/>
              </w:rPr>
            </w:pPr>
            <w:r>
              <w:rPr>
                <w:rFonts w:ascii="Arial" w:cs="Arial" w:eastAsia="Arial" w:hAnsi="Arial"/>
                <w:sz w:val="14"/>
                <w:szCs w:val="14"/>
                <w:color w:val="auto"/>
              </w:rPr>
              <w:t>$1,542,705</w:t>
            </w:r>
          </w:p>
        </w:tc>
        <w:tc>
          <w:tcPr>
            <w:tcW w:w="2440" w:type="dxa"/>
            <w:vAlign w:val="bottom"/>
          </w:tcPr>
          <w:p>
            <w:pPr>
              <w:jc w:val="center"/>
              <w:spacing w:after="0"/>
              <w:rPr>
                <w:sz w:val="20"/>
                <w:szCs w:val="20"/>
                <w:color w:val="auto"/>
              </w:rPr>
            </w:pPr>
            <w:r>
              <w:rPr>
                <w:rFonts w:ascii="Arial" w:cs="Arial" w:eastAsia="Arial" w:hAnsi="Arial"/>
                <w:sz w:val="14"/>
                <w:szCs w:val="14"/>
                <w:color w:val="auto"/>
              </w:rPr>
              <w:t>$1,190,622</w:t>
            </w:r>
          </w:p>
        </w:tc>
        <w:tc>
          <w:tcPr>
            <w:tcW w:w="0" w:type="dxa"/>
            <w:vAlign w:val="bottom"/>
          </w:tcPr>
          <w:p>
            <w:pPr>
              <w:spacing w:after="0"/>
              <w:rPr>
                <w:sz w:val="1"/>
                <w:szCs w:val="1"/>
                <w:color w:val="auto"/>
              </w:rPr>
            </w:pPr>
          </w:p>
        </w:tc>
      </w:tr>
      <w:tr>
        <w:trPr>
          <w:trHeight w:val="171"/>
        </w:trPr>
        <w:tc>
          <w:tcPr>
            <w:tcW w:w="4380" w:type="dxa"/>
            <w:vAlign w:val="bottom"/>
          </w:tcPr>
          <w:p>
            <w:pPr>
              <w:ind w:left="120"/>
              <w:spacing w:after="0"/>
              <w:rPr>
                <w:sz w:val="20"/>
                <w:szCs w:val="20"/>
                <w:color w:val="auto"/>
              </w:rPr>
            </w:pPr>
            <w:r>
              <w:rPr>
                <w:rFonts w:ascii="Arial" w:cs="Arial" w:eastAsia="Arial" w:hAnsi="Arial"/>
                <w:sz w:val="14"/>
                <w:szCs w:val="14"/>
                <w:color w:val="auto"/>
              </w:rPr>
              <w:t>after-tax interest (in thousands)</w:t>
            </w:r>
          </w:p>
        </w:tc>
        <w:tc>
          <w:tcPr>
            <w:tcW w:w="158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2440" w:type="dxa"/>
            <w:vAlign w:val="bottom"/>
          </w:tcPr>
          <w:p>
            <w:pPr>
              <w:jc w:val="center"/>
              <w:spacing w:after="0"/>
              <w:rPr>
                <w:sz w:val="20"/>
                <w:szCs w:val="20"/>
                <w:color w:val="auto"/>
              </w:rPr>
            </w:pPr>
            <w:r>
              <w:rPr>
                <w:rFonts w:ascii="Arial" w:cs="Arial" w:eastAsia="Arial" w:hAnsi="Arial"/>
                <w:sz w:val="14"/>
                <w:szCs w:val="14"/>
                <w:color w:val="auto"/>
              </w:rPr>
              <w:t>(between threshold and target)</w:t>
            </w:r>
          </w:p>
        </w:tc>
        <w:tc>
          <w:tcPr>
            <w:tcW w:w="0" w:type="dxa"/>
            <w:vAlign w:val="bottom"/>
          </w:tcPr>
          <w:p>
            <w:pPr>
              <w:spacing w:after="0"/>
              <w:rPr>
                <w:sz w:val="1"/>
                <w:szCs w:val="1"/>
                <w:color w:val="auto"/>
              </w:rPr>
            </w:pPr>
          </w:p>
        </w:tc>
      </w:tr>
      <w:tr>
        <w:trPr>
          <w:trHeight w:val="207"/>
        </w:trPr>
        <w:tc>
          <w:tcPr>
            <w:tcW w:w="4380" w:type="dxa"/>
            <w:vAlign w:val="bottom"/>
            <w:shd w:val="clear" w:color="auto" w:fill="D9D9D9"/>
          </w:tcPr>
          <w:p>
            <w:pPr>
              <w:spacing w:after="0"/>
              <w:rPr>
                <w:sz w:val="20"/>
                <w:szCs w:val="20"/>
                <w:color w:val="auto"/>
              </w:rPr>
            </w:pPr>
            <w:r>
              <w:rPr>
                <w:rFonts w:ascii="Arial" w:cs="Arial" w:eastAsia="Arial" w:hAnsi="Arial"/>
                <w:sz w:val="14"/>
                <w:szCs w:val="14"/>
                <w:color w:val="auto"/>
              </w:rPr>
              <w:t>30% cumulative corporate revenue</w:t>
            </w:r>
          </w:p>
        </w:tc>
        <w:tc>
          <w:tcPr>
            <w:tcW w:w="1580" w:type="dxa"/>
            <w:vAlign w:val="bottom"/>
            <w:vMerge w:val="restart"/>
            <w:shd w:val="clear" w:color="auto" w:fill="D9D9D9"/>
          </w:tcPr>
          <w:p>
            <w:pPr>
              <w:jc w:val="right"/>
              <w:ind w:right="68"/>
              <w:spacing w:after="0"/>
              <w:rPr>
                <w:sz w:val="20"/>
                <w:szCs w:val="20"/>
                <w:color w:val="auto"/>
              </w:rPr>
            </w:pPr>
            <w:r>
              <w:rPr>
                <w:rFonts w:ascii="Arial" w:cs="Arial" w:eastAsia="Arial" w:hAnsi="Arial"/>
                <w:sz w:val="14"/>
                <w:szCs w:val="14"/>
                <w:color w:val="auto"/>
              </w:rPr>
              <w:t>$10,443,184</w:t>
            </w:r>
          </w:p>
        </w:tc>
        <w:tc>
          <w:tcPr>
            <w:tcW w:w="1400" w:type="dxa"/>
            <w:vAlign w:val="bottom"/>
            <w:vMerge w:val="restart"/>
            <w:shd w:val="clear" w:color="auto" w:fill="D9D9D9"/>
          </w:tcPr>
          <w:p>
            <w:pPr>
              <w:jc w:val="right"/>
              <w:ind w:right="68"/>
              <w:spacing w:after="0"/>
              <w:rPr>
                <w:sz w:val="20"/>
                <w:szCs w:val="20"/>
                <w:color w:val="auto"/>
              </w:rPr>
            </w:pPr>
            <w:r>
              <w:rPr>
                <w:rFonts w:ascii="Arial" w:cs="Arial" w:eastAsia="Arial" w:hAnsi="Arial"/>
                <w:sz w:val="14"/>
                <w:szCs w:val="14"/>
                <w:color w:val="auto"/>
              </w:rPr>
              <w:t>$11,390,581</w:t>
            </w:r>
          </w:p>
        </w:tc>
        <w:tc>
          <w:tcPr>
            <w:tcW w:w="1440" w:type="dxa"/>
            <w:vAlign w:val="bottom"/>
            <w:vMerge w:val="restart"/>
            <w:shd w:val="clear" w:color="auto" w:fill="D9D9D9"/>
          </w:tcPr>
          <w:p>
            <w:pPr>
              <w:jc w:val="right"/>
              <w:ind w:right="128"/>
              <w:spacing w:after="0"/>
              <w:rPr>
                <w:sz w:val="20"/>
                <w:szCs w:val="20"/>
                <w:color w:val="auto"/>
              </w:rPr>
            </w:pPr>
            <w:r>
              <w:rPr>
                <w:rFonts w:ascii="Arial" w:cs="Arial" w:eastAsia="Arial" w:hAnsi="Arial"/>
                <w:sz w:val="14"/>
                <w:szCs w:val="14"/>
                <w:color w:val="auto"/>
              </w:rPr>
              <w:t>$11,701,603</w:t>
            </w:r>
          </w:p>
        </w:tc>
        <w:tc>
          <w:tcPr>
            <w:tcW w:w="244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$11,423,169</w:t>
            </w:r>
          </w:p>
        </w:tc>
        <w:tc>
          <w:tcPr>
            <w:tcW w:w="0" w:type="dxa"/>
            <w:vAlign w:val="bottom"/>
          </w:tcPr>
          <w:p>
            <w:pPr>
              <w:spacing w:after="0"/>
              <w:rPr>
                <w:sz w:val="1"/>
                <w:szCs w:val="1"/>
                <w:color w:val="auto"/>
              </w:rPr>
            </w:pPr>
          </w:p>
        </w:tc>
      </w:tr>
      <w:tr>
        <w:trPr>
          <w:trHeight w:val="171"/>
        </w:trPr>
        <w:tc>
          <w:tcPr>
            <w:tcW w:w="4380" w:type="dxa"/>
            <w:vAlign w:val="bottom"/>
            <w:shd w:val="clear" w:color="auto" w:fill="D9D9D9"/>
          </w:tcPr>
          <w:p>
            <w:pPr>
              <w:ind w:left="120"/>
              <w:spacing w:after="0"/>
              <w:rPr>
                <w:sz w:val="20"/>
                <w:szCs w:val="20"/>
                <w:color w:val="auto"/>
              </w:rPr>
            </w:pPr>
            <w:r>
              <w:rPr>
                <w:rFonts w:ascii="Arial" w:cs="Arial" w:eastAsia="Arial" w:hAnsi="Arial"/>
                <w:sz w:val="14"/>
                <w:szCs w:val="14"/>
                <w:color w:val="auto"/>
              </w:rPr>
              <w:t>(in thousands)</w:t>
            </w:r>
          </w:p>
        </w:tc>
        <w:tc>
          <w:tcPr>
            <w:tcW w:w="1580" w:type="dxa"/>
            <w:vAlign w:val="bottom"/>
            <w:vMerge w:val="continue"/>
            <w:shd w:val="clear" w:color="auto" w:fill="D9D9D9"/>
          </w:tcPr>
          <w:p>
            <w:pPr>
              <w:spacing w:after="0"/>
              <w:rPr>
                <w:sz w:val="14"/>
                <w:szCs w:val="14"/>
                <w:color w:val="auto"/>
              </w:rPr>
            </w:pPr>
          </w:p>
        </w:tc>
        <w:tc>
          <w:tcPr>
            <w:tcW w:w="1400" w:type="dxa"/>
            <w:vAlign w:val="bottom"/>
            <w:vMerge w:val="continue"/>
            <w:shd w:val="clear" w:color="auto" w:fill="D9D9D9"/>
          </w:tcPr>
          <w:p>
            <w:pPr>
              <w:spacing w:after="0"/>
              <w:rPr>
                <w:sz w:val="14"/>
                <w:szCs w:val="14"/>
                <w:color w:val="auto"/>
              </w:rPr>
            </w:pPr>
          </w:p>
        </w:tc>
        <w:tc>
          <w:tcPr>
            <w:tcW w:w="1440" w:type="dxa"/>
            <w:vAlign w:val="bottom"/>
            <w:vMerge w:val="continue"/>
            <w:shd w:val="clear" w:color="auto" w:fill="D9D9D9"/>
          </w:tcPr>
          <w:p>
            <w:pPr>
              <w:spacing w:after="0"/>
              <w:rPr>
                <w:sz w:val="14"/>
                <w:szCs w:val="14"/>
                <w:color w:val="auto"/>
              </w:rPr>
            </w:pPr>
          </w:p>
        </w:tc>
        <w:tc>
          <w:tcPr>
            <w:tcW w:w="244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(between target and maximum)</w:t>
            </w:r>
          </w:p>
        </w:tc>
        <w:tc>
          <w:tcPr>
            <w:tcW w:w="0" w:type="dxa"/>
            <w:vAlign w:val="bottom"/>
          </w:tcPr>
          <w:p>
            <w:pPr>
              <w:spacing w:after="0"/>
              <w:rPr>
                <w:sz w:val="1"/>
                <w:szCs w:val="1"/>
                <w:color w:val="auto"/>
              </w:rPr>
            </w:pPr>
          </w:p>
        </w:tc>
      </w:tr>
      <w:tr>
        <w:trPr>
          <w:trHeight w:val="207"/>
        </w:trPr>
        <w:tc>
          <w:tcPr>
            <w:tcW w:w="4380" w:type="dxa"/>
            <w:vAlign w:val="bottom"/>
          </w:tcPr>
          <w:p>
            <w:pPr>
              <w:spacing w:after="0"/>
              <w:rPr>
                <w:sz w:val="20"/>
                <w:szCs w:val="20"/>
                <w:color w:val="auto"/>
              </w:rPr>
            </w:pPr>
            <w:r>
              <w:rPr>
                <w:rFonts w:ascii="Arial" w:cs="Arial" w:eastAsia="Arial" w:hAnsi="Arial"/>
                <w:sz w:val="14"/>
                <w:szCs w:val="14"/>
                <w:color w:val="auto"/>
              </w:rPr>
              <w:t>20% corporate working capital as a % of sales</w:t>
            </w:r>
          </w:p>
        </w:tc>
        <w:tc>
          <w:tcPr>
            <w:tcW w:w="1580" w:type="dxa"/>
            <w:vAlign w:val="bottom"/>
            <w:vMerge w:val="restart"/>
          </w:tcPr>
          <w:p>
            <w:pPr>
              <w:jc w:val="right"/>
              <w:ind w:right="68"/>
              <w:spacing w:after="0"/>
              <w:rPr>
                <w:sz w:val="20"/>
                <w:szCs w:val="20"/>
                <w:color w:val="auto"/>
              </w:rPr>
            </w:pPr>
            <w:r>
              <w:rPr>
                <w:rFonts w:ascii="Arial" w:cs="Arial" w:eastAsia="Arial" w:hAnsi="Arial"/>
                <w:sz w:val="14"/>
                <w:szCs w:val="14"/>
                <w:color w:val="auto"/>
              </w:rPr>
              <w:t>16.92%</w:t>
            </w:r>
          </w:p>
        </w:tc>
        <w:tc>
          <w:tcPr>
            <w:tcW w:w="1400" w:type="dxa"/>
            <w:vAlign w:val="bottom"/>
            <w:vMerge w:val="restart"/>
          </w:tcPr>
          <w:p>
            <w:pPr>
              <w:jc w:val="right"/>
              <w:ind w:right="68"/>
              <w:spacing w:after="0"/>
              <w:rPr>
                <w:sz w:val="20"/>
                <w:szCs w:val="20"/>
                <w:color w:val="auto"/>
              </w:rPr>
            </w:pPr>
            <w:r>
              <w:rPr>
                <w:rFonts w:ascii="Arial" w:cs="Arial" w:eastAsia="Arial" w:hAnsi="Arial"/>
                <w:sz w:val="14"/>
                <w:szCs w:val="14"/>
                <w:color w:val="auto"/>
              </w:rPr>
              <w:t>15.38%</w:t>
            </w:r>
          </w:p>
        </w:tc>
        <w:tc>
          <w:tcPr>
            <w:tcW w:w="1440" w:type="dxa"/>
            <w:vAlign w:val="bottom"/>
            <w:vMerge w:val="restart"/>
          </w:tcPr>
          <w:p>
            <w:pPr>
              <w:jc w:val="right"/>
              <w:ind w:right="128"/>
              <w:spacing w:after="0"/>
              <w:rPr>
                <w:sz w:val="20"/>
                <w:szCs w:val="20"/>
                <w:color w:val="auto"/>
              </w:rPr>
            </w:pPr>
            <w:r>
              <w:rPr>
                <w:rFonts w:ascii="Arial" w:cs="Arial" w:eastAsia="Arial" w:hAnsi="Arial"/>
                <w:sz w:val="14"/>
                <w:szCs w:val="14"/>
                <w:color w:val="auto"/>
              </w:rPr>
              <w:t>13.85%</w:t>
            </w:r>
          </w:p>
        </w:tc>
        <w:tc>
          <w:tcPr>
            <w:tcW w:w="2440" w:type="dxa"/>
            <w:vAlign w:val="bottom"/>
          </w:tcPr>
          <w:p>
            <w:pPr>
              <w:jc w:val="center"/>
              <w:spacing w:after="0"/>
              <w:rPr>
                <w:sz w:val="20"/>
                <w:szCs w:val="20"/>
                <w:color w:val="auto"/>
              </w:rPr>
            </w:pPr>
            <w:r>
              <w:rPr>
                <w:rFonts w:ascii="Arial" w:cs="Arial" w:eastAsia="Arial" w:hAnsi="Arial"/>
                <w:sz w:val="14"/>
                <w:szCs w:val="14"/>
                <w:color w:val="auto"/>
              </w:rPr>
              <w:t>17.10%</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2440" w:type="dxa"/>
            <w:vAlign w:val="bottom"/>
          </w:tcPr>
          <w:p>
            <w:pPr>
              <w:jc w:val="center"/>
              <w:spacing w:after="0"/>
              <w:rPr>
                <w:sz w:val="20"/>
                <w:szCs w:val="20"/>
                <w:color w:val="auto"/>
              </w:rPr>
            </w:pPr>
            <w:r>
              <w:rPr>
                <w:rFonts w:ascii="Arial" w:cs="Arial" w:eastAsia="Arial" w:hAnsi="Arial"/>
                <w:sz w:val="14"/>
                <w:szCs w:val="14"/>
                <w:color w:val="auto"/>
              </w:rPr>
              <w:t>(below threshold)</w:t>
            </w:r>
          </w:p>
        </w:tc>
        <w:tc>
          <w:tcPr>
            <w:tcW w:w="0" w:type="dxa"/>
            <w:vAlign w:val="bottom"/>
          </w:tcPr>
          <w:p>
            <w:pPr>
              <w:spacing w:after="0"/>
              <w:rPr>
                <w:sz w:val="1"/>
                <w:szCs w:val="1"/>
                <w:color w:val="auto"/>
              </w:rPr>
            </w:pPr>
          </w:p>
        </w:tc>
      </w:tr>
      <w:tr>
        <w:trPr>
          <w:trHeight w:val="216"/>
        </w:trPr>
        <w:tc>
          <w:tcPr>
            <w:tcW w:w="4380" w:type="dxa"/>
            <w:vAlign w:val="bottom"/>
            <w:shd w:val="clear" w:color="auto" w:fill="D9D9D9"/>
          </w:tcPr>
          <w:p>
            <w:pPr>
              <w:spacing w:after="0"/>
              <w:rPr>
                <w:sz w:val="20"/>
                <w:szCs w:val="20"/>
                <w:color w:val="auto"/>
              </w:rPr>
            </w:pPr>
            <w:r>
              <w:rPr>
                <w:rFonts w:ascii="Arial" w:cs="Arial" w:eastAsia="Arial" w:hAnsi="Arial"/>
                <w:sz w:val="14"/>
                <w:szCs w:val="14"/>
                <w:b w:val="1"/>
                <w:bCs w:val="1"/>
                <w:color w:val="auto"/>
              </w:rPr>
              <w:t>Fiscal 2020 to fiscal 2022 performance share award payout</w:t>
            </w:r>
          </w:p>
        </w:tc>
        <w:tc>
          <w:tcPr>
            <w:tcW w:w="1580" w:type="dxa"/>
            <w:vAlign w:val="bottom"/>
            <w:shd w:val="clear" w:color="auto" w:fill="D9D9D9"/>
          </w:tcPr>
          <w:p>
            <w:pPr>
              <w:spacing w:after="0"/>
              <w:rPr>
                <w:sz w:val="18"/>
                <w:szCs w:val="18"/>
                <w:color w:val="auto"/>
              </w:rPr>
            </w:pPr>
          </w:p>
        </w:tc>
        <w:tc>
          <w:tcPr>
            <w:tcW w:w="1400" w:type="dxa"/>
            <w:vAlign w:val="bottom"/>
            <w:shd w:val="clear" w:color="auto" w:fill="D9D9D9"/>
          </w:tcPr>
          <w:p>
            <w:pPr>
              <w:spacing w:after="0"/>
              <w:rPr>
                <w:sz w:val="18"/>
                <w:szCs w:val="18"/>
                <w:color w:val="auto"/>
              </w:rPr>
            </w:pPr>
          </w:p>
        </w:tc>
        <w:tc>
          <w:tcPr>
            <w:tcW w:w="1440" w:type="dxa"/>
            <w:vAlign w:val="bottom"/>
            <w:shd w:val="clear" w:color="auto" w:fill="D9D9D9"/>
          </w:tcPr>
          <w:p>
            <w:pPr>
              <w:spacing w:after="0"/>
              <w:rPr>
                <w:sz w:val="18"/>
                <w:szCs w:val="18"/>
                <w:color w:val="auto"/>
              </w:rPr>
            </w:pPr>
          </w:p>
        </w:tc>
        <w:tc>
          <w:tcPr>
            <w:tcW w:w="2440" w:type="dxa"/>
            <w:vAlign w:val="bottom"/>
            <w:shd w:val="clear" w:color="auto" w:fill="D9D9D9"/>
          </w:tcPr>
          <w:p>
            <w:pPr>
              <w:jc w:val="center"/>
              <w:spacing w:after="0"/>
              <w:rPr>
                <w:sz w:val="20"/>
                <w:szCs w:val="20"/>
                <w:color w:val="auto"/>
              </w:rPr>
            </w:pPr>
            <w:r>
              <w:rPr>
                <w:rFonts w:ascii="Arial" w:cs="Arial" w:eastAsia="Arial" w:hAnsi="Arial"/>
                <w:sz w:val="14"/>
                <w:szCs w:val="14"/>
                <w:b w:val="1"/>
                <w:bCs w:val="1"/>
                <w:color w:val="auto"/>
              </w:rPr>
              <w:t>72.1% of target</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right="180" w:firstLine="401"/>
        <w:spacing w:after="0" w:line="271" w:lineRule="auto"/>
        <w:rPr>
          <w:sz w:val="20"/>
          <w:szCs w:val="20"/>
          <w:color w:val="auto"/>
        </w:rPr>
      </w:pPr>
      <w:r>
        <w:rPr>
          <w:rFonts w:ascii="Arial" w:cs="Arial" w:eastAsia="Arial" w:hAnsi="Arial"/>
          <w:sz w:val="18"/>
          <w:szCs w:val="18"/>
          <w:i w:val="1"/>
          <w:iCs w:val="1"/>
          <w:color w:val="auto"/>
        </w:rPr>
        <w:t xml:space="preserve">Discussion and Analysis. </w:t>
      </w:r>
      <w:r>
        <w:rPr>
          <w:rFonts w:ascii="Arial" w:cs="Arial" w:eastAsia="Arial" w:hAnsi="Arial"/>
          <w:sz w:val="18"/>
          <w:szCs w:val="18"/>
          <w:color w:val="auto"/>
        </w:rPr>
        <w:t>In applying the actual performance when factoring in the defined adjustment events against the weightings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performance measures, the fiscal 2020 to fiscal 2022 payout was 72.1% of target.</w:t>
      </w:r>
    </w:p>
    <w:p>
      <w:pPr>
        <w:spacing w:after="0" w:line="46" w:lineRule="exact"/>
        <w:rPr>
          <w:sz w:val="20"/>
          <w:szCs w:val="20"/>
          <w:color w:val="auto"/>
        </w:rPr>
      </w:pPr>
    </w:p>
    <w:p>
      <w:pPr>
        <w:ind w:right="60" w:firstLine="401"/>
        <w:spacing w:after="0" w:line="247" w:lineRule="auto"/>
        <w:rPr>
          <w:sz w:val="20"/>
          <w:szCs w:val="20"/>
          <w:color w:val="auto"/>
        </w:rPr>
      </w:pPr>
      <w:r>
        <w:rPr>
          <w:rFonts w:ascii="Arial" w:cs="Arial" w:eastAsia="Arial" w:hAnsi="Arial"/>
          <w:sz w:val="18"/>
          <w:szCs w:val="18"/>
          <w:i w:val="1"/>
          <w:iCs w:val="1"/>
          <w:color w:val="auto"/>
        </w:rPr>
        <w:t xml:space="preserve">Target Total Direct Compensation. </w:t>
      </w:r>
      <w:r>
        <w:rPr>
          <w:rFonts w:ascii="Arial" w:cs="Arial" w:eastAsia="Arial" w:hAnsi="Arial"/>
          <w:sz w:val="18"/>
          <w:szCs w:val="18"/>
          <w:color w:val="auto"/>
        </w:rPr>
        <w:t>When analyzing compensation, we look at base salary, target total cash compensation and target</w:t>
      </w:r>
      <w:r>
        <w:rPr>
          <w:rFonts w:ascii="Arial" w:cs="Arial" w:eastAsia="Arial" w:hAnsi="Arial"/>
          <w:sz w:val="18"/>
          <w:szCs w:val="18"/>
          <w:i w:val="1"/>
          <w:iCs w:val="1"/>
          <w:color w:val="auto"/>
        </w:rPr>
        <w:t xml:space="preserve"> </w:t>
      </w:r>
      <w:r>
        <w:rPr>
          <w:rFonts w:ascii="Arial" w:cs="Arial" w:eastAsia="Arial" w:hAnsi="Arial"/>
          <w:sz w:val="18"/>
          <w:szCs w:val="18"/>
          <w:color w:val="auto"/>
        </w:rPr>
        <w:t>total direct compensation in comparison to the market 50</w:t>
      </w:r>
      <w:r>
        <w:rPr>
          <w:rFonts w:ascii="Arial" w:cs="Arial" w:eastAsia="Arial" w:hAnsi="Arial"/>
          <w:sz w:val="15"/>
          <w:szCs w:val="15"/>
          <w:color w:val="auto"/>
        </w:rPr>
        <w:t>th</w:t>
      </w:r>
      <w:r>
        <w:rPr>
          <w:rFonts w:ascii="Arial" w:cs="Arial" w:eastAsia="Arial" w:hAnsi="Arial"/>
          <w:sz w:val="18"/>
          <w:szCs w:val="18"/>
          <w:color w:val="auto"/>
        </w:rPr>
        <w:t xml:space="preserve"> percentile when establishing base salary levels, target annual cash incentive awards and long-term incentive awards. Actual value realized from long-term incentives is dependent on actual payout of performance share awards at the end of the three-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103"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year term, which is dependent on actual cumulative performance against established performance goals and the stock price at the time of exercise for stock option grants. Therefore, it is difficult to assess actual total direct compensation on an annual basis in comparison to the market since the market data may have changed significantly when actual long-term incentive results are fully realized. We believe it is important to continue to review target total direct compensation when establishing long-term incentive grants. The fiscal 2022 target total direct compensation (sum of actual base salary, target annual cash incentive and target value of equity awards), for each NEO is in the table below.</w:t>
      </w:r>
    </w:p>
    <w:p>
      <w:pPr>
        <w:spacing w:after="0" w:line="90" w:lineRule="exact"/>
        <w:rPr>
          <w:sz w:val="20"/>
          <w:szCs w:val="20"/>
          <w:color w:val="auto"/>
        </w:rPr>
      </w:pPr>
    </w:p>
    <w:tbl>
      <w:tblPr>
        <w:tblLayout w:type="fixed"/>
        <w:tblInd w:w="2820" w:type="dxa"/>
        <w:tblCellMar>
          <w:top w:w="0" w:type="dxa"/>
          <w:left w:w="0" w:type="dxa"/>
          <w:bottom w:w="0" w:type="dxa"/>
          <w:right w:w="0" w:type="dxa"/>
        </w:tblCellMar>
      </w:tblPr>
      <w:tr>
        <w:trPr>
          <w:trHeight w:val="207"/>
        </w:trPr>
        <w:tc>
          <w:tcPr>
            <w:tcW w:w="2220" w:type="dxa"/>
            <w:vAlign w:val="bottom"/>
            <w:shd w:val="clear" w:color="auto" w:fill="BE0000"/>
          </w:tcPr>
          <w:p>
            <w:pPr>
              <w:spacing w:after="0"/>
              <w:rPr>
                <w:sz w:val="17"/>
                <w:szCs w:val="17"/>
                <w:color w:val="auto"/>
              </w:rPr>
            </w:pPr>
          </w:p>
        </w:tc>
        <w:tc>
          <w:tcPr>
            <w:tcW w:w="3400" w:type="dxa"/>
            <w:vAlign w:val="bottom"/>
            <w:shd w:val="clear" w:color="auto" w:fill="BE0000"/>
          </w:tcPr>
          <w:p>
            <w:pPr>
              <w:jc w:val="center"/>
              <w:ind w:left="622"/>
              <w:spacing w:after="0"/>
              <w:rPr>
                <w:sz w:val="20"/>
                <w:szCs w:val="20"/>
                <w:color w:val="auto"/>
              </w:rPr>
            </w:pPr>
            <w:r>
              <w:rPr>
                <w:rFonts w:ascii="Arial" w:cs="Arial" w:eastAsia="Arial" w:hAnsi="Arial"/>
                <w:sz w:val="14"/>
                <w:szCs w:val="14"/>
                <w:b w:val="1"/>
                <w:bCs w:val="1"/>
                <w:color w:val="FFFFFF"/>
              </w:rPr>
              <w:t>Fiscal 2022 Target Total</w:t>
            </w:r>
          </w:p>
        </w:tc>
        <w:tc>
          <w:tcPr>
            <w:tcW w:w="0" w:type="dxa"/>
            <w:vAlign w:val="bottom"/>
          </w:tcPr>
          <w:p>
            <w:pPr>
              <w:spacing w:after="0"/>
              <w:rPr>
                <w:sz w:val="1"/>
                <w:szCs w:val="1"/>
                <w:color w:val="auto"/>
              </w:rPr>
            </w:pPr>
          </w:p>
        </w:tc>
      </w:tr>
      <w:tr>
        <w:trPr>
          <w:trHeight w:val="162"/>
        </w:trPr>
        <w:tc>
          <w:tcPr>
            <w:tcW w:w="2220" w:type="dxa"/>
            <w:vAlign w:val="bottom"/>
            <w:vMerge w:val="restart"/>
            <w:shd w:val="clear" w:color="auto" w:fill="BE0000"/>
          </w:tcPr>
          <w:p>
            <w:pPr>
              <w:spacing w:after="0"/>
              <w:rPr>
                <w:sz w:val="20"/>
                <w:szCs w:val="20"/>
                <w:color w:val="auto"/>
              </w:rPr>
            </w:pPr>
            <w:r>
              <w:rPr>
                <w:rFonts w:ascii="Arial" w:cs="Arial" w:eastAsia="Arial" w:hAnsi="Arial"/>
                <w:sz w:val="14"/>
                <w:szCs w:val="14"/>
                <w:b w:val="1"/>
                <w:bCs w:val="1"/>
                <w:color w:val="FFFFFF"/>
              </w:rPr>
              <w:t>Name</w:t>
            </w:r>
          </w:p>
        </w:tc>
        <w:tc>
          <w:tcPr>
            <w:tcW w:w="3400" w:type="dxa"/>
            <w:vAlign w:val="bottom"/>
            <w:shd w:val="clear" w:color="auto" w:fill="BE0000"/>
          </w:tcPr>
          <w:p>
            <w:pPr>
              <w:jc w:val="center"/>
              <w:ind w:left="622"/>
              <w:spacing w:after="0"/>
              <w:rPr>
                <w:sz w:val="20"/>
                <w:szCs w:val="20"/>
                <w:color w:val="auto"/>
              </w:rPr>
            </w:pPr>
            <w:r>
              <w:rPr>
                <w:rFonts w:ascii="Arial" w:cs="Arial" w:eastAsia="Arial" w:hAnsi="Arial"/>
                <w:sz w:val="14"/>
                <w:szCs w:val="14"/>
                <w:b w:val="1"/>
                <w:bCs w:val="1"/>
                <w:color w:val="FFFFFF"/>
              </w:rPr>
              <w:t>Direct Compensation</w:t>
            </w:r>
          </w:p>
        </w:tc>
        <w:tc>
          <w:tcPr>
            <w:tcW w:w="0" w:type="dxa"/>
            <w:vAlign w:val="bottom"/>
          </w:tcPr>
          <w:p>
            <w:pPr>
              <w:spacing w:after="0"/>
              <w:rPr>
                <w:sz w:val="1"/>
                <w:szCs w:val="1"/>
                <w:color w:val="auto"/>
              </w:rPr>
            </w:pPr>
          </w:p>
        </w:tc>
      </w:tr>
      <w:tr>
        <w:trPr>
          <w:trHeight w:val="171"/>
        </w:trPr>
        <w:tc>
          <w:tcPr>
            <w:tcW w:w="2220" w:type="dxa"/>
            <w:vAlign w:val="bottom"/>
            <w:vMerge w:val="continue"/>
            <w:shd w:val="clear" w:color="auto" w:fill="BE0000"/>
          </w:tcPr>
          <w:p>
            <w:pPr>
              <w:spacing w:after="0"/>
              <w:rPr>
                <w:sz w:val="14"/>
                <w:szCs w:val="14"/>
                <w:color w:val="auto"/>
              </w:rPr>
            </w:pPr>
          </w:p>
        </w:tc>
        <w:tc>
          <w:tcPr>
            <w:tcW w:w="3400" w:type="dxa"/>
            <w:vAlign w:val="bottom"/>
            <w:shd w:val="clear" w:color="auto" w:fill="BE0000"/>
          </w:tcPr>
          <w:p>
            <w:pPr>
              <w:jc w:val="center"/>
              <w:ind w:left="622"/>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35"/>
        </w:trPr>
        <w:tc>
          <w:tcPr>
            <w:tcW w:w="2220" w:type="dxa"/>
            <w:vAlign w:val="bottom"/>
          </w:tcPr>
          <w:p>
            <w:pPr>
              <w:spacing w:after="0"/>
              <w:rPr>
                <w:sz w:val="20"/>
                <w:szCs w:val="20"/>
                <w:color w:val="auto"/>
              </w:rPr>
            </w:pPr>
            <w:r>
              <w:rPr>
                <w:rFonts w:ascii="Arial" w:cs="Arial" w:eastAsia="Arial" w:hAnsi="Arial"/>
                <w:sz w:val="16"/>
                <w:szCs w:val="16"/>
                <w:color w:val="auto"/>
              </w:rPr>
              <w:t>Mr. Olson</w:t>
            </w:r>
          </w:p>
        </w:tc>
        <w:tc>
          <w:tcPr>
            <w:tcW w:w="3400" w:type="dxa"/>
            <w:vAlign w:val="bottom"/>
          </w:tcPr>
          <w:p>
            <w:pPr>
              <w:jc w:val="right"/>
              <w:spacing w:after="0"/>
              <w:rPr>
                <w:sz w:val="20"/>
                <w:szCs w:val="20"/>
                <w:color w:val="auto"/>
              </w:rPr>
            </w:pPr>
            <w:r>
              <w:rPr>
                <w:rFonts w:ascii="Arial" w:cs="Arial" w:eastAsia="Arial" w:hAnsi="Arial"/>
                <w:sz w:val="16"/>
                <w:szCs w:val="16"/>
                <w:color w:val="auto"/>
              </w:rPr>
              <w:t>7,830,000</w:t>
            </w:r>
          </w:p>
        </w:tc>
        <w:tc>
          <w:tcPr>
            <w:tcW w:w="0" w:type="dxa"/>
            <w:vAlign w:val="bottom"/>
          </w:tcPr>
          <w:p>
            <w:pPr>
              <w:spacing w:after="0"/>
              <w:rPr>
                <w:sz w:val="1"/>
                <w:szCs w:val="1"/>
                <w:color w:val="auto"/>
              </w:rPr>
            </w:pPr>
          </w:p>
        </w:tc>
      </w:tr>
      <w:tr>
        <w:trPr>
          <w:trHeight w:val="251"/>
        </w:trPr>
        <w:tc>
          <w:tcPr>
            <w:tcW w:w="2220" w:type="dxa"/>
            <w:vAlign w:val="bottom"/>
            <w:shd w:val="clear" w:color="auto" w:fill="D9D9D9"/>
          </w:tcPr>
          <w:p>
            <w:pPr>
              <w:spacing w:after="0"/>
              <w:rPr>
                <w:sz w:val="20"/>
                <w:szCs w:val="20"/>
                <w:color w:val="auto"/>
              </w:rPr>
            </w:pPr>
            <w:r>
              <w:rPr>
                <w:rFonts w:ascii="Arial" w:cs="Arial" w:eastAsia="Arial" w:hAnsi="Arial"/>
                <w:sz w:val="16"/>
                <w:szCs w:val="16"/>
                <w:color w:val="auto"/>
              </w:rPr>
              <w:t>Ms. Peterson</w:t>
            </w:r>
          </w:p>
        </w:tc>
        <w:tc>
          <w:tcPr>
            <w:tcW w:w="34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2,489,000</w:t>
            </w:r>
          </w:p>
        </w:tc>
        <w:tc>
          <w:tcPr>
            <w:tcW w:w="0" w:type="dxa"/>
            <w:vAlign w:val="bottom"/>
          </w:tcPr>
          <w:p>
            <w:pPr>
              <w:spacing w:after="0"/>
              <w:rPr>
                <w:sz w:val="1"/>
                <w:szCs w:val="1"/>
                <w:color w:val="auto"/>
              </w:rPr>
            </w:pPr>
          </w:p>
        </w:tc>
      </w:tr>
      <w:tr>
        <w:trPr>
          <w:trHeight w:val="235"/>
        </w:trPr>
        <w:tc>
          <w:tcPr>
            <w:tcW w:w="2220" w:type="dxa"/>
            <w:vAlign w:val="bottom"/>
          </w:tcPr>
          <w:p>
            <w:pPr>
              <w:spacing w:after="0"/>
              <w:rPr>
                <w:sz w:val="20"/>
                <w:szCs w:val="20"/>
                <w:color w:val="auto"/>
              </w:rPr>
            </w:pPr>
            <w:r>
              <w:rPr>
                <w:rFonts w:ascii="Arial" w:cs="Arial" w:eastAsia="Arial" w:hAnsi="Arial"/>
                <w:sz w:val="16"/>
                <w:szCs w:val="16"/>
                <w:color w:val="auto"/>
              </w:rPr>
              <w:t>Mr. Carpenter</w:t>
            </w:r>
          </w:p>
        </w:tc>
        <w:tc>
          <w:tcPr>
            <w:tcW w:w="3400" w:type="dxa"/>
            <w:vAlign w:val="bottom"/>
          </w:tcPr>
          <w:p>
            <w:pPr>
              <w:jc w:val="right"/>
              <w:spacing w:after="0"/>
              <w:rPr>
                <w:sz w:val="20"/>
                <w:szCs w:val="20"/>
                <w:color w:val="auto"/>
              </w:rPr>
            </w:pPr>
            <w:r>
              <w:rPr>
                <w:rFonts w:ascii="Arial" w:cs="Arial" w:eastAsia="Arial" w:hAnsi="Arial"/>
                <w:sz w:val="16"/>
                <w:szCs w:val="16"/>
                <w:color w:val="auto"/>
              </w:rPr>
              <w:t>1,236,000</w:t>
            </w:r>
          </w:p>
        </w:tc>
        <w:tc>
          <w:tcPr>
            <w:tcW w:w="0" w:type="dxa"/>
            <w:vAlign w:val="bottom"/>
          </w:tcPr>
          <w:p>
            <w:pPr>
              <w:spacing w:after="0"/>
              <w:rPr>
                <w:sz w:val="1"/>
                <w:szCs w:val="1"/>
                <w:color w:val="auto"/>
              </w:rPr>
            </w:pPr>
          </w:p>
        </w:tc>
      </w:tr>
      <w:tr>
        <w:trPr>
          <w:trHeight w:val="251"/>
        </w:trPr>
        <w:tc>
          <w:tcPr>
            <w:tcW w:w="2220" w:type="dxa"/>
            <w:vAlign w:val="bottom"/>
            <w:shd w:val="clear" w:color="auto" w:fill="D9D9D9"/>
          </w:tcPr>
          <w:p>
            <w:pPr>
              <w:spacing w:after="0"/>
              <w:rPr>
                <w:sz w:val="20"/>
                <w:szCs w:val="20"/>
                <w:color w:val="auto"/>
              </w:rPr>
            </w:pPr>
            <w:r>
              <w:rPr>
                <w:rFonts w:ascii="Arial" w:cs="Arial" w:eastAsia="Arial" w:hAnsi="Arial"/>
                <w:sz w:val="16"/>
                <w:szCs w:val="16"/>
                <w:color w:val="auto"/>
              </w:rPr>
              <w:t>Mr. Rodier</w:t>
            </w:r>
          </w:p>
        </w:tc>
        <w:tc>
          <w:tcPr>
            <w:tcW w:w="34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1,950,250</w:t>
            </w:r>
          </w:p>
        </w:tc>
        <w:tc>
          <w:tcPr>
            <w:tcW w:w="0" w:type="dxa"/>
            <w:vAlign w:val="bottom"/>
          </w:tcPr>
          <w:p>
            <w:pPr>
              <w:spacing w:after="0"/>
              <w:rPr>
                <w:sz w:val="1"/>
                <w:szCs w:val="1"/>
                <w:color w:val="auto"/>
              </w:rPr>
            </w:pPr>
          </w:p>
        </w:tc>
      </w:tr>
      <w:tr>
        <w:trPr>
          <w:trHeight w:val="227"/>
        </w:trPr>
        <w:tc>
          <w:tcPr>
            <w:tcW w:w="2220" w:type="dxa"/>
            <w:vAlign w:val="bottom"/>
          </w:tcPr>
          <w:p>
            <w:pPr>
              <w:spacing w:after="0"/>
              <w:rPr>
                <w:sz w:val="20"/>
                <w:szCs w:val="20"/>
                <w:color w:val="auto"/>
              </w:rPr>
            </w:pPr>
            <w:r>
              <w:rPr>
                <w:rFonts w:ascii="Arial" w:cs="Arial" w:eastAsia="Arial" w:hAnsi="Arial"/>
                <w:sz w:val="16"/>
                <w:szCs w:val="16"/>
                <w:color w:val="auto"/>
              </w:rPr>
              <w:t>Ms. Dahl</w:t>
            </w:r>
          </w:p>
        </w:tc>
        <w:tc>
          <w:tcPr>
            <w:tcW w:w="3400" w:type="dxa"/>
            <w:vAlign w:val="bottom"/>
          </w:tcPr>
          <w:p>
            <w:pPr>
              <w:jc w:val="right"/>
              <w:spacing w:after="0"/>
              <w:rPr>
                <w:sz w:val="20"/>
                <w:szCs w:val="20"/>
                <w:color w:val="auto"/>
              </w:rPr>
            </w:pPr>
            <w:r>
              <w:rPr>
                <w:rFonts w:ascii="Arial" w:cs="Arial" w:eastAsia="Arial" w:hAnsi="Arial"/>
                <w:sz w:val="16"/>
                <w:szCs w:val="16"/>
                <w:color w:val="auto"/>
              </w:rPr>
              <w:t>1,661,500</w:t>
            </w: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Benefits and All Other Compensation</w:t>
      </w:r>
    </w:p>
    <w:p>
      <w:pPr>
        <w:spacing w:after="0" w:line="104" w:lineRule="exact"/>
        <w:rPr>
          <w:sz w:val="20"/>
          <w:szCs w:val="20"/>
          <w:color w:val="auto"/>
        </w:rPr>
      </w:pPr>
    </w:p>
    <w:p>
      <w:pPr>
        <w:ind w:firstLine="401"/>
        <w:spacing w:after="0" w:line="244" w:lineRule="auto"/>
        <w:rPr>
          <w:sz w:val="20"/>
          <w:szCs w:val="20"/>
          <w:color w:val="auto"/>
        </w:rPr>
      </w:pPr>
      <w:r>
        <w:rPr>
          <w:rFonts w:ascii="Arial" w:cs="Arial" w:eastAsia="Arial" w:hAnsi="Arial"/>
          <w:sz w:val="18"/>
          <w:szCs w:val="18"/>
          <w:i w:val="1"/>
          <w:iCs w:val="1"/>
          <w:color w:val="auto"/>
        </w:rPr>
        <w:t xml:space="preserve">Retirement Benefits. </w:t>
      </w:r>
      <w:r>
        <w:rPr>
          <w:rFonts w:ascii="Arial" w:cs="Arial" w:eastAsia="Arial" w:hAnsi="Arial"/>
          <w:sz w:val="18"/>
          <w:szCs w:val="18"/>
          <w:color w:val="auto"/>
        </w:rPr>
        <w:t>We believe that it is important to allow our employees, including our executive officers, the opportunity to save for</w:t>
      </w:r>
      <w:r>
        <w:rPr>
          <w:rFonts w:ascii="Arial" w:cs="Arial" w:eastAsia="Arial" w:hAnsi="Arial"/>
          <w:sz w:val="18"/>
          <w:szCs w:val="18"/>
          <w:i w:val="1"/>
          <w:iCs w:val="1"/>
          <w:color w:val="auto"/>
        </w:rPr>
        <w:t xml:space="preserve"> </w:t>
      </w:r>
      <w:r>
        <w:rPr>
          <w:rFonts w:ascii="Arial" w:cs="Arial" w:eastAsia="Arial" w:hAnsi="Arial"/>
          <w:sz w:val="18"/>
          <w:szCs w:val="18"/>
          <w:color w:val="auto"/>
        </w:rPr>
        <w:t>retirement through our Retirement Plan, which is our defined contribution plan. The majority of our U.S.-based employees participate in the Retirement Plan and certain of our subsidiaries participate in different retirement plans. For 2022, the Retirement Plan included a 401(k) plan with a Company match and an investment fund contribution that can be made at the discretion of the Company. Company contributions for fiscal 2022 to our Retirement Plan on behalf of our NEOs can be found under “All Other Compensation for Fiscal 2022.”</w:t>
      </w:r>
    </w:p>
    <w:p>
      <w:pPr>
        <w:spacing w:after="0" w:line="68" w:lineRule="exact"/>
        <w:rPr>
          <w:sz w:val="20"/>
          <w:szCs w:val="20"/>
          <w:color w:val="auto"/>
        </w:rPr>
      </w:pPr>
    </w:p>
    <w:p>
      <w:pPr>
        <w:ind w:right="60" w:firstLine="401"/>
        <w:spacing w:after="0" w:line="244" w:lineRule="auto"/>
        <w:rPr>
          <w:sz w:val="20"/>
          <w:szCs w:val="20"/>
          <w:color w:val="auto"/>
        </w:rPr>
      </w:pPr>
      <w:r>
        <w:rPr>
          <w:rFonts w:ascii="Arial" w:cs="Arial" w:eastAsia="Arial" w:hAnsi="Arial"/>
          <w:sz w:val="18"/>
          <w:szCs w:val="18"/>
          <w:color w:val="auto"/>
        </w:rPr>
        <w:t>To help ensure our executive officers’ ability to provide financial security and save for retirement, we maintain three nonqualified deferred compensation plans, which include: The Toro Company Deferred Compensation Plan, or Deferred Plan, The Toro Company Deferred Compensation Plan for Officers, or the Deferred Plan for Officers and The Toro Company Supplemental Benefit Plan, or Supplemental Benefit Plan. These plans, which are unsecured and unfunded, are described under “Nonqualified Deferred Compensation for Fiscal 2022.”</w:t>
      </w:r>
    </w:p>
    <w:p>
      <w:pPr>
        <w:spacing w:after="0" w:line="68" w:lineRule="exact"/>
        <w:rPr>
          <w:sz w:val="20"/>
          <w:szCs w:val="20"/>
          <w:color w:val="auto"/>
        </w:rPr>
      </w:pPr>
    </w:p>
    <w:p>
      <w:pPr>
        <w:ind w:right="100" w:firstLine="401"/>
        <w:spacing w:after="0" w:line="247" w:lineRule="auto"/>
        <w:rPr>
          <w:sz w:val="20"/>
          <w:szCs w:val="20"/>
          <w:color w:val="auto"/>
        </w:rPr>
      </w:pPr>
      <w:r>
        <w:rPr>
          <w:rFonts w:ascii="Arial" w:cs="Arial" w:eastAsia="Arial" w:hAnsi="Arial"/>
          <w:sz w:val="18"/>
          <w:szCs w:val="18"/>
          <w:i w:val="1"/>
          <w:iCs w:val="1"/>
          <w:color w:val="auto"/>
        </w:rPr>
        <w:t>Perquisites</w:t>
      </w:r>
      <w:r>
        <w:rPr>
          <w:rFonts w:ascii="Arial" w:cs="Arial" w:eastAsia="Arial" w:hAnsi="Arial"/>
          <w:sz w:val="18"/>
          <w:szCs w:val="18"/>
          <w:color w:val="auto"/>
        </w:rPr>
        <w:t>. The limited perquisites provided during fiscal 2022 to our executive officers are described in “All Other Compensation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2022.” We believe these perquisites are an important part of our overall compensation package and help us attract, retain and reward top executive talent. Specifically, we believe that these perquisites assist in promoting the financial security and health of our executive officers and encourage the use and promotion of our products.</w:t>
      </w:r>
    </w:p>
    <w:p>
      <w:pPr>
        <w:spacing w:after="0" w:line="66" w:lineRule="exact"/>
        <w:rPr>
          <w:sz w:val="20"/>
          <w:szCs w:val="20"/>
          <w:color w:val="auto"/>
        </w:rPr>
      </w:pPr>
    </w:p>
    <w:p>
      <w:pPr>
        <w:ind w:firstLine="401"/>
        <w:spacing w:after="0"/>
        <w:rPr>
          <w:sz w:val="20"/>
          <w:szCs w:val="20"/>
          <w:color w:val="auto"/>
        </w:rPr>
      </w:pPr>
      <w:r>
        <w:rPr>
          <w:rFonts w:ascii="Arial" w:cs="Arial" w:eastAsia="Arial" w:hAnsi="Arial"/>
          <w:sz w:val="18"/>
          <w:szCs w:val="18"/>
          <w:i w:val="1"/>
          <w:iCs w:val="1"/>
          <w:color w:val="auto"/>
        </w:rPr>
        <w:t>Relocation Benefits</w:t>
      </w:r>
      <w:r>
        <w:rPr>
          <w:rFonts w:ascii="Arial" w:cs="Arial" w:eastAsia="Arial" w:hAnsi="Arial"/>
          <w:sz w:val="18"/>
          <w:szCs w:val="18"/>
          <w:color w:val="auto"/>
        </w:rPr>
        <w:t>. We maintain a standard, market competitive relocation policy, which provides for reimbursements of and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for certain relocation expenses for new hires. During fiscal 2022, Mr. Carpenter was reimbursed for certain relocation expenses, as included within the “All Other Compensation” column of the “Summary Compensation Table” and quantified in the related footnote to that column. Certain of these relocation expenses are deemed to be taxable income to the recipient; therefore, in this limited instance and pursuant to our relocation policy, a flat supplemental tax “gross-up” was provided to Mr. Carpenter to help offset the incremental tax impact. All relocation expenses were subject to repayment by Mr. Carpenter if he voluntarily terminated his employment prior to the first anniversary of his start date, or November 30, 2022 and one-half of all relocation expenses are subject to repayment by Mr. Carpenter if he voluntarily terminates his employment prior to the second anniversary of his start date, or November 30, 2023.</w:t>
      </w:r>
    </w:p>
    <w:p>
      <w:pPr>
        <w:spacing w:after="0" w:line="72" w:lineRule="exact"/>
        <w:rPr>
          <w:sz w:val="20"/>
          <w:szCs w:val="20"/>
          <w:color w:val="auto"/>
        </w:rPr>
      </w:pPr>
    </w:p>
    <w:p>
      <w:pPr>
        <w:ind w:right="80" w:firstLine="401"/>
        <w:spacing w:after="0" w:line="247" w:lineRule="auto"/>
        <w:rPr>
          <w:sz w:val="20"/>
          <w:szCs w:val="20"/>
          <w:color w:val="auto"/>
        </w:rPr>
      </w:pPr>
      <w:r>
        <w:rPr>
          <w:rFonts w:ascii="Arial" w:cs="Arial" w:eastAsia="Arial" w:hAnsi="Arial"/>
          <w:sz w:val="18"/>
          <w:szCs w:val="18"/>
          <w:i w:val="1"/>
          <w:iCs w:val="1"/>
          <w:color w:val="auto"/>
        </w:rPr>
        <w:t>Sign-On Bonuses</w:t>
      </w:r>
      <w:r>
        <w:rPr>
          <w:rFonts w:ascii="Arial" w:cs="Arial" w:eastAsia="Arial" w:hAnsi="Arial"/>
          <w:sz w:val="18"/>
          <w:szCs w:val="18"/>
          <w:color w:val="auto"/>
        </w:rPr>
        <w:t>. We believe that the use of sign-on bonuses are appropriate when hiring certain new employees. In fiscal 2022, we</w:t>
      </w:r>
      <w:r>
        <w:rPr>
          <w:rFonts w:ascii="Arial" w:cs="Arial" w:eastAsia="Arial" w:hAnsi="Arial"/>
          <w:sz w:val="18"/>
          <w:szCs w:val="18"/>
          <w:i w:val="1"/>
          <w:iCs w:val="1"/>
          <w:color w:val="auto"/>
        </w:rPr>
        <w:t xml:space="preserve"> </w:t>
      </w:r>
      <w:r>
        <w:rPr>
          <w:rFonts w:ascii="Arial" w:cs="Arial" w:eastAsia="Arial" w:hAnsi="Arial"/>
          <w:sz w:val="18"/>
          <w:szCs w:val="18"/>
          <w:color w:val="auto"/>
        </w:rPr>
        <w:t>paid a cash sign-on bonus to Mr. Carpenter, which was intended to offset a portion of the annual cash incentive award that we estimated he would forfeit by terminating his employment with his former employer. The sign-on bonus was subject to repayment if Mr. Carpenter had voluntarily terminated his employment prior to the one-year anniversary of his start date, or November 30, 2022.</w:t>
      </w:r>
    </w:p>
    <w:p>
      <w:pPr>
        <w:spacing w:after="0" w:line="66" w:lineRule="exact"/>
        <w:rPr>
          <w:sz w:val="20"/>
          <w:szCs w:val="20"/>
          <w:color w:val="auto"/>
        </w:rPr>
      </w:pPr>
    </w:p>
    <w:p>
      <w:pPr>
        <w:ind w:right="360" w:firstLine="401"/>
        <w:spacing w:after="0" w:line="253" w:lineRule="auto"/>
        <w:rPr>
          <w:sz w:val="20"/>
          <w:szCs w:val="20"/>
          <w:color w:val="auto"/>
        </w:rPr>
      </w:pPr>
      <w:r>
        <w:rPr>
          <w:rFonts w:ascii="Arial" w:cs="Arial" w:eastAsia="Arial" w:hAnsi="Arial"/>
          <w:sz w:val="18"/>
          <w:szCs w:val="18"/>
          <w:i w:val="1"/>
          <w:iCs w:val="1"/>
          <w:color w:val="auto"/>
        </w:rPr>
        <w:t>Charitable Giving</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support charitable organizations for our employees through our matching gift program. The program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provides that a gift or gifts by an executive officer and his/her spouse to one or more tax exempt 501(c)(3) charitable organizations located in the United States will be matched by us in an aggregate amount of up to $3,000 per year.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Employment, Severance and Change in Control Arrangements</w:t>
      </w:r>
    </w:p>
    <w:p>
      <w:pPr>
        <w:spacing w:after="0" w:line="99" w:lineRule="exact"/>
        <w:rPr>
          <w:sz w:val="20"/>
          <w:szCs w:val="20"/>
          <w:color w:val="auto"/>
        </w:rPr>
      </w:pPr>
    </w:p>
    <w:p>
      <w:pPr>
        <w:ind w:firstLine="401"/>
        <w:spacing w:after="0" w:line="244" w:lineRule="auto"/>
        <w:rPr>
          <w:sz w:val="20"/>
          <w:szCs w:val="20"/>
          <w:color w:val="auto"/>
        </w:rPr>
      </w:pPr>
      <w:r>
        <w:rPr>
          <w:rFonts w:ascii="Arial" w:cs="Arial" w:eastAsia="Arial" w:hAnsi="Arial"/>
          <w:sz w:val="18"/>
          <w:szCs w:val="18"/>
          <w:color w:val="auto"/>
        </w:rPr>
        <w:t>None of our executive officers have any employment or severance agreements or arrangements other than as provided for in our Change-in-Control (CIC) policy and other than certain change in control provisions in our equity plans. Accordingly, our executive officers do not have the right to cash severance or additional benefits in connection with a termination of employment except in connection with a change in control of our Company as described under “Potential Payments Upon Termination or Change in Control—Change in Control.” Each executive officer is a party to our standard confidentiality, invention and non-compete agreement.</w:t>
      </w:r>
    </w:p>
    <w:p>
      <w:pPr>
        <w:spacing w:after="0" w:line="176" w:lineRule="exact"/>
        <w:rPr>
          <w:sz w:val="20"/>
          <w:szCs w:val="20"/>
          <w:color w:val="auto"/>
        </w:rPr>
      </w:pPr>
    </w:p>
    <w:p>
      <w:pPr>
        <w:ind w:right="100" w:firstLine="401"/>
        <w:spacing w:after="0" w:line="242" w:lineRule="auto"/>
        <w:rPr>
          <w:sz w:val="20"/>
          <w:szCs w:val="20"/>
          <w:color w:val="auto"/>
        </w:rPr>
      </w:pPr>
      <w:r>
        <w:rPr>
          <w:rFonts w:ascii="Arial" w:cs="Arial" w:eastAsia="Arial" w:hAnsi="Arial"/>
          <w:sz w:val="18"/>
          <w:szCs w:val="18"/>
          <w:color w:val="auto"/>
        </w:rPr>
        <w:t>We believe our CIC policy and other change in control arrangements are important because they provide retention incentives and additional monetary motivation to complete a transaction that the Board believes is in the best interests of our Company and shareholders. We believe it is in the best interests of our Company and our shareholders to assure that we will have the continued dedication of our executives, notwithstanding the possibility, threat or occurrence of a change in control. We also believe it is imperative to diminish any distraction of our executives by virtue of the personal uncertainties and risks, including personal financial risks, created by a pending or threatened change in control of the Company.</w:t>
      </w:r>
    </w:p>
    <w:p>
      <w:pPr>
        <w:spacing w:after="0" w:line="71" w:lineRule="exact"/>
        <w:rPr>
          <w:sz w:val="20"/>
          <w:szCs w:val="20"/>
          <w:color w:val="auto"/>
        </w:rPr>
      </w:pPr>
    </w:p>
    <w:p>
      <w:pPr>
        <w:ind w:right="40" w:firstLine="401"/>
        <w:spacing w:after="0" w:line="244" w:lineRule="auto"/>
        <w:rPr>
          <w:sz w:val="20"/>
          <w:szCs w:val="20"/>
          <w:color w:val="auto"/>
        </w:rPr>
      </w:pPr>
      <w:r>
        <w:rPr>
          <w:rFonts w:ascii="Arial" w:cs="Arial" w:eastAsia="Arial" w:hAnsi="Arial"/>
          <w:sz w:val="18"/>
          <w:szCs w:val="18"/>
          <w:color w:val="auto"/>
        </w:rPr>
        <w:t>Our CIC policy incorporates a “double trigger” mechanism and provides for a severance payment for an executive officer if within three years after a change in control an executive officer’s employment is terminated by us without just cause or the executive officer terminates his or her employment for good reason, or if such termination occurs at the request of a third party who had taken steps reasonably calculated to effect the change in control. Our CIC policy does not provide a “gross-up” for 280G excise taxes and, as a condition to the payment of any severance payment, the executive officer must execute a release of claims against us.</w:t>
      </w:r>
    </w:p>
    <w:p>
      <w:pPr>
        <w:spacing w:after="0" w:line="68" w:lineRule="exact"/>
        <w:rPr>
          <w:sz w:val="20"/>
          <w:szCs w:val="20"/>
          <w:color w:val="auto"/>
        </w:rPr>
      </w:pPr>
    </w:p>
    <w:p>
      <w:pPr>
        <w:ind w:right="20" w:firstLine="401"/>
        <w:spacing w:after="0" w:line="239" w:lineRule="auto"/>
        <w:rPr>
          <w:sz w:val="20"/>
          <w:szCs w:val="20"/>
          <w:color w:val="auto"/>
        </w:rPr>
      </w:pPr>
      <w:r>
        <w:rPr>
          <w:rFonts w:ascii="Arial" w:cs="Arial" w:eastAsia="Arial" w:hAnsi="Arial"/>
          <w:sz w:val="18"/>
          <w:szCs w:val="18"/>
          <w:color w:val="auto"/>
        </w:rPr>
        <w:t>In addition to our CIC policy, we also have change in control provisions in our 2022 Plan and prior equity plans and individual award agreements that apply to our executives, as well as other employees, that provide for immediate vesting acceleration upon a change in control. More information regarding these provisions is also provided under “Potential Payments Upon Termination or Change in Control—Change in Control.” Because the immediate vesting of stock options, restricted stock units and certain other awards is triggered by the change in control itself, and is not dependent upon a termination of employment within a certain protection period, these acceleration provisions are known as a “single trigger” change in control arrangements. We believe these “single trigger” change in control arrangements for equity awards granted provide important retention incentives during what can often be an uncertain time for employees and provide executives with additional monetary motivation to focus on and complete a transaction that our Board believes is in the best interests of our shareholders rather than seeking new employment opportunities. If an executive were to leave prior to the completion of the change in control, non-vested options or other awards held by the executive would terminate.</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Committee reviews our change of control arrangements periodically to ensure that they remain appropriate.</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Named Executive Officers Stock Ownership Guidelines</w:t>
      </w:r>
    </w:p>
    <w:p>
      <w:pPr>
        <w:spacing w:after="0" w:line="99" w:lineRule="exact"/>
        <w:rPr>
          <w:sz w:val="20"/>
          <w:szCs w:val="20"/>
          <w:color w:val="auto"/>
        </w:rPr>
      </w:pPr>
    </w:p>
    <w:p>
      <w:pPr>
        <w:ind w:right="220" w:firstLine="401"/>
        <w:spacing w:after="0" w:line="253" w:lineRule="auto"/>
        <w:rPr>
          <w:sz w:val="20"/>
          <w:szCs w:val="20"/>
          <w:color w:val="auto"/>
        </w:rPr>
      </w:pPr>
      <w:r>
        <w:rPr>
          <w:rFonts w:ascii="Arial" w:cs="Arial" w:eastAsia="Arial" w:hAnsi="Arial"/>
          <w:sz w:val="18"/>
          <w:szCs w:val="18"/>
          <w:color w:val="auto"/>
        </w:rPr>
        <w:t>We maintain stock ownership guidelines that enable us to meet our compensation objective of aligning the interests of our executive officers with those of our shareholders. Executive officers are expected to meet the guideline within five years of the date of hire or promotion. As of October 31, 2022, each of our NEOs required to meet a stock ownership guideline had met such guideline.</w:t>
      </w:r>
    </w:p>
    <w:p>
      <w:pPr>
        <w:spacing w:after="0" w:line="188" w:lineRule="exact"/>
        <w:rPr>
          <w:sz w:val="20"/>
          <w:szCs w:val="20"/>
          <w:color w:val="auto"/>
        </w:rPr>
      </w:pPr>
    </w:p>
    <w:tbl>
      <w:tblPr>
        <w:tblLayout w:type="fixed"/>
        <w:tblInd w:w="2260" w:type="dxa"/>
        <w:tblCellMar>
          <w:top w:w="0" w:type="dxa"/>
          <w:left w:w="0" w:type="dxa"/>
          <w:bottom w:w="0" w:type="dxa"/>
          <w:right w:w="0" w:type="dxa"/>
        </w:tblCellMar>
      </w:tblPr>
      <w:tr>
        <w:trPr>
          <w:trHeight w:val="166"/>
        </w:trPr>
        <w:tc>
          <w:tcPr>
            <w:tcW w:w="2540" w:type="dxa"/>
            <w:vAlign w:val="bottom"/>
            <w:shd w:val="clear" w:color="auto" w:fill="BE0000"/>
          </w:tcPr>
          <w:p>
            <w:pPr>
              <w:spacing w:after="0"/>
              <w:rPr>
                <w:sz w:val="14"/>
                <w:szCs w:val="14"/>
                <w:color w:val="auto"/>
              </w:rPr>
            </w:pPr>
          </w:p>
        </w:tc>
        <w:tc>
          <w:tcPr>
            <w:tcW w:w="2480" w:type="dxa"/>
            <w:vAlign w:val="bottom"/>
            <w:shd w:val="clear" w:color="auto" w:fill="BE0000"/>
          </w:tcPr>
          <w:p>
            <w:pPr>
              <w:jc w:val="center"/>
              <w:spacing w:after="0"/>
              <w:rPr>
                <w:sz w:val="20"/>
                <w:szCs w:val="20"/>
                <w:color w:val="auto"/>
              </w:rPr>
            </w:pPr>
            <w:r>
              <w:rPr>
                <w:rFonts w:ascii="Arial" w:cs="Arial" w:eastAsia="Arial" w:hAnsi="Arial"/>
                <w:sz w:val="14"/>
                <w:szCs w:val="14"/>
                <w:b w:val="1"/>
                <w:bCs w:val="1"/>
                <w:color w:val="FFFFFF"/>
              </w:rPr>
              <w:t>Target Stock</w:t>
            </w:r>
          </w:p>
        </w:tc>
        <w:tc>
          <w:tcPr>
            <w:tcW w:w="1720" w:type="dxa"/>
            <w:vAlign w:val="bottom"/>
            <w:shd w:val="clear" w:color="auto" w:fill="BE0000"/>
          </w:tcPr>
          <w:p>
            <w:pPr>
              <w:spacing w:after="0"/>
              <w:rPr>
                <w:sz w:val="14"/>
                <w:szCs w:val="14"/>
                <w:color w:val="auto"/>
              </w:rPr>
            </w:pPr>
          </w:p>
        </w:tc>
      </w:tr>
      <w:tr>
        <w:trPr>
          <w:trHeight w:val="162"/>
        </w:trPr>
        <w:tc>
          <w:tcPr>
            <w:tcW w:w="2540" w:type="dxa"/>
            <w:vAlign w:val="bottom"/>
            <w:shd w:val="clear" w:color="auto" w:fill="BE0000"/>
          </w:tcPr>
          <w:p>
            <w:pPr>
              <w:ind w:left="340"/>
              <w:spacing w:after="0"/>
              <w:rPr>
                <w:sz w:val="20"/>
                <w:szCs w:val="20"/>
                <w:color w:val="auto"/>
              </w:rPr>
            </w:pPr>
            <w:r>
              <w:rPr>
                <w:rFonts w:ascii="Arial" w:cs="Arial" w:eastAsia="Arial" w:hAnsi="Arial"/>
                <w:sz w:val="14"/>
                <w:szCs w:val="14"/>
                <w:b w:val="1"/>
                <w:bCs w:val="1"/>
                <w:color w:val="FFFFFF"/>
              </w:rPr>
              <w:t>Named Executive Officer</w:t>
            </w:r>
          </w:p>
        </w:tc>
        <w:tc>
          <w:tcPr>
            <w:tcW w:w="2480" w:type="dxa"/>
            <w:vAlign w:val="bottom"/>
            <w:shd w:val="clear" w:color="auto" w:fill="BE0000"/>
          </w:tcPr>
          <w:p>
            <w:pPr>
              <w:jc w:val="center"/>
              <w:spacing w:after="0"/>
              <w:rPr>
                <w:sz w:val="20"/>
                <w:szCs w:val="20"/>
                <w:color w:val="auto"/>
              </w:rPr>
            </w:pPr>
            <w:r>
              <w:rPr>
                <w:rFonts w:ascii="Arial" w:cs="Arial" w:eastAsia="Arial" w:hAnsi="Arial"/>
                <w:sz w:val="14"/>
                <w:szCs w:val="14"/>
                <w:b w:val="1"/>
                <w:bCs w:val="1"/>
                <w:color w:val="FFFFFF"/>
              </w:rPr>
              <w:t>Ownership as a</w:t>
            </w:r>
          </w:p>
        </w:tc>
        <w:tc>
          <w:tcPr>
            <w:tcW w:w="1720" w:type="dxa"/>
            <w:vAlign w:val="bottom"/>
            <w:shd w:val="clear" w:color="auto" w:fill="BE0000"/>
          </w:tcPr>
          <w:p>
            <w:pPr>
              <w:jc w:val="center"/>
              <w:ind w:left="121"/>
              <w:spacing w:after="0"/>
              <w:rPr>
                <w:sz w:val="20"/>
                <w:szCs w:val="20"/>
                <w:color w:val="auto"/>
              </w:rPr>
            </w:pPr>
            <w:r>
              <w:rPr>
                <w:rFonts w:ascii="Arial" w:cs="Arial" w:eastAsia="Arial" w:hAnsi="Arial"/>
                <w:sz w:val="14"/>
                <w:szCs w:val="14"/>
                <w:b w:val="1"/>
                <w:bCs w:val="1"/>
                <w:color w:val="FFFFFF"/>
              </w:rPr>
              <w:t>In Compliance?</w:t>
            </w:r>
          </w:p>
        </w:tc>
      </w:tr>
      <w:tr>
        <w:trPr>
          <w:trHeight w:val="198"/>
        </w:trPr>
        <w:tc>
          <w:tcPr>
            <w:tcW w:w="2540" w:type="dxa"/>
            <w:vAlign w:val="bottom"/>
            <w:shd w:val="clear" w:color="auto" w:fill="BE0000"/>
          </w:tcPr>
          <w:p>
            <w:pPr>
              <w:spacing w:after="0"/>
              <w:rPr>
                <w:sz w:val="17"/>
                <w:szCs w:val="17"/>
                <w:color w:val="auto"/>
              </w:rPr>
            </w:pPr>
          </w:p>
        </w:tc>
        <w:tc>
          <w:tcPr>
            <w:tcW w:w="2480" w:type="dxa"/>
            <w:vAlign w:val="bottom"/>
            <w:shd w:val="clear" w:color="auto" w:fill="BE0000"/>
          </w:tcPr>
          <w:p>
            <w:pPr>
              <w:jc w:val="center"/>
              <w:spacing w:after="0"/>
              <w:rPr>
                <w:sz w:val="20"/>
                <w:szCs w:val="20"/>
                <w:color w:val="auto"/>
              </w:rPr>
            </w:pPr>
            <w:r>
              <w:rPr>
                <w:rFonts w:ascii="Arial" w:cs="Arial" w:eastAsia="Arial" w:hAnsi="Arial"/>
                <w:sz w:val="14"/>
                <w:szCs w:val="14"/>
                <w:b w:val="1"/>
                <w:bCs w:val="1"/>
                <w:color w:val="FFFFFF"/>
              </w:rPr>
              <w:t>Multiple of Base Salary</w:t>
            </w:r>
          </w:p>
        </w:tc>
        <w:tc>
          <w:tcPr>
            <w:tcW w:w="1720" w:type="dxa"/>
            <w:vAlign w:val="bottom"/>
            <w:shd w:val="clear" w:color="auto" w:fill="BE0000"/>
          </w:tcPr>
          <w:p>
            <w:pPr>
              <w:spacing w:after="0"/>
              <w:rPr>
                <w:sz w:val="17"/>
                <w:szCs w:val="17"/>
                <w:color w:val="auto"/>
              </w:rPr>
            </w:pPr>
          </w:p>
        </w:tc>
      </w:tr>
      <w:tr>
        <w:trPr>
          <w:trHeight w:val="189"/>
        </w:trPr>
        <w:tc>
          <w:tcPr>
            <w:tcW w:w="2540" w:type="dxa"/>
            <w:vAlign w:val="bottom"/>
            <w:tcBorders>
              <w:bottom w:val="single" w:sz="8" w:color="BFBFBF"/>
            </w:tcBorders>
          </w:tcPr>
          <w:p>
            <w:pPr>
              <w:ind w:left="100"/>
              <w:spacing w:after="0"/>
              <w:rPr>
                <w:sz w:val="20"/>
                <w:szCs w:val="20"/>
                <w:color w:val="auto"/>
              </w:rPr>
            </w:pPr>
            <w:r>
              <w:rPr>
                <w:rFonts w:ascii="Arial" w:cs="Arial" w:eastAsia="Arial" w:hAnsi="Arial"/>
                <w:sz w:val="16"/>
                <w:szCs w:val="16"/>
                <w:color w:val="auto"/>
              </w:rPr>
              <w:t>Richard M. Olson</w:t>
            </w:r>
          </w:p>
        </w:tc>
        <w:tc>
          <w:tcPr>
            <w:tcW w:w="2480" w:type="dxa"/>
            <w:vAlign w:val="bottom"/>
            <w:tcBorders>
              <w:bottom w:val="single" w:sz="8" w:color="BFBFBF"/>
            </w:tcBorders>
          </w:tcPr>
          <w:p>
            <w:pPr>
              <w:jc w:val="center"/>
              <w:spacing w:after="0"/>
              <w:rPr>
                <w:sz w:val="20"/>
                <w:szCs w:val="20"/>
                <w:color w:val="auto"/>
              </w:rPr>
            </w:pPr>
            <w:r>
              <w:rPr>
                <w:rFonts w:ascii="Arial" w:cs="Arial" w:eastAsia="Arial" w:hAnsi="Arial"/>
                <w:sz w:val="16"/>
                <w:szCs w:val="16"/>
                <w:color w:val="auto"/>
              </w:rPr>
              <w:t>5x</w:t>
            </w:r>
          </w:p>
        </w:tc>
        <w:tc>
          <w:tcPr>
            <w:tcW w:w="1720" w:type="dxa"/>
            <w:vAlign w:val="bottom"/>
            <w:tcBorders>
              <w:bottom w:val="single" w:sz="8" w:color="BFBFBF"/>
            </w:tcBorders>
          </w:tcPr>
          <w:p>
            <w:pPr>
              <w:jc w:val="center"/>
              <w:ind w:left="101"/>
              <w:spacing w:after="0"/>
              <w:rPr>
                <w:sz w:val="20"/>
                <w:szCs w:val="20"/>
                <w:color w:val="auto"/>
              </w:rPr>
            </w:pPr>
            <w:r>
              <w:rPr>
                <w:rFonts w:ascii="Arial" w:cs="Arial" w:eastAsia="Arial" w:hAnsi="Arial"/>
                <w:sz w:val="16"/>
                <w:szCs w:val="16"/>
                <w:color w:val="auto"/>
                <w:w w:val="94"/>
              </w:rPr>
              <w:t>Yes</w:t>
            </w:r>
          </w:p>
        </w:tc>
      </w:tr>
      <w:tr>
        <w:trPr>
          <w:trHeight w:val="183"/>
        </w:trPr>
        <w:tc>
          <w:tcPr>
            <w:tcW w:w="2540" w:type="dxa"/>
            <w:vAlign w:val="bottom"/>
            <w:tcBorders>
              <w:bottom w:val="single" w:sz="8" w:color="BFBFBF"/>
            </w:tcBorders>
            <w:shd w:val="clear" w:color="auto" w:fill="D9D9D9"/>
          </w:tcPr>
          <w:p>
            <w:pPr>
              <w:ind w:left="100"/>
              <w:spacing w:after="0" w:line="183" w:lineRule="exact"/>
              <w:rPr>
                <w:sz w:val="20"/>
                <w:szCs w:val="20"/>
                <w:color w:val="auto"/>
              </w:rPr>
            </w:pPr>
            <w:r>
              <w:rPr>
                <w:rFonts w:ascii="Arial" w:cs="Arial" w:eastAsia="Arial" w:hAnsi="Arial"/>
                <w:sz w:val="16"/>
                <w:szCs w:val="16"/>
                <w:color w:val="auto"/>
              </w:rPr>
              <w:t>Renee J. Peterson</w:t>
            </w:r>
          </w:p>
        </w:tc>
        <w:tc>
          <w:tcPr>
            <w:tcW w:w="2480" w:type="dxa"/>
            <w:vAlign w:val="bottom"/>
            <w:tcBorders>
              <w:bottom w:val="single" w:sz="8" w:color="BFBFBF"/>
            </w:tcBorders>
            <w:shd w:val="clear" w:color="auto" w:fill="D9D9D9"/>
          </w:tcPr>
          <w:p>
            <w:pPr>
              <w:jc w:val="center"/>
              <w:spacing w:after="0" w:line="183" w:lineRule="exact"/>
              <w:rPr>
                <w:sz w:val="20"/>
                <w:szCs w:val="20"/>
                <w:color w:val="auto"/>
              </w:rPr>
            </w:pPr>
            <w:r>
              <w:rPr>
                <w:rFonts w:ascii="Arial" w:cs="Arial" w:eastAsia="Arial" w:hAnsi="Arial"/>
                <w:sz w:val="16"/>
                <w:szCs w:val="16"/>
                <w:color w:val="auto"/>
              </w:rPr>
              <w:t>3x</w:t>
            </w:r>
          </w:p>
        </w:tc>
        <w:tc>
          <w:tcPr>
            <w:tcW w:w="1720" w:type="dxa"/>
            <w:vAlign w:val="bottom"/>
            <w:tcBorders>
              <w:bottom w:val="single" w:sz="8" w:color="BFBFBF"/>
            </w:tcBorders>
            <w:shd w:val="clear" w:color="auto" w:fill="D9D9D9"/>
          </w:tcPr>
          <w:p>
            <w:pPr>
              <w:jc w:val="center"/>
              <w:ind w:left="101"/>
              <w:spacing w:after="0" w:line="183" w:lineRule="exact"/>
              <w:rPr>
                <w:sz w:val="20"/>
                <w:szCs w:val="20"/>
                <w:color w:val="auto"/>
              </w:rPr>
            </w:pPr>
            <w:r>
              <w:rPr>
                <w:rFonts w:ascii="Arial" w:cs="Arial" w:eastAsia="Arial" w:hAnsi="Arial"/>
                <w:sz w:val="16"/>
                <w:szCs w:val="16"/>
                <w:color w:val="auto"/>
                <w:w w:val="94"/>
              </w:rPr>
              <w:t>Yes</w:t>
            </w:r>
          </w:p>
        </w:tc>
      </w:tr>
      <w:tr>
        <w:trPr>
          <w:trHeight w:val="183"/>
        </w:trPr>
        <w:tc>
          <w:tcPr>
            <w:tcW w:w="2540" w:type="dxa"/>
            <w:vAlign w:val="bottom"/>
            <w:tcBorders>
              <w:bottom w:val="single" w:sz="8" w:color="BFBFBF"/>
            </w:tcBorders>
          </w:tcPr>
          <w:p>
            <w:pPr>
              <w:ind w:left="100"/>
              <w:spacing w:after="0" w:line="183" w:lineRule="exact"/>
              <w:rPr>
                <w:sz w:val="20"/>
                <w:szCs w:val="20"/>
                <w:color w:val="auto"/>
              </w:rPr>
            </w:pPr>
            <w:r>
              <w:rPr>
                <w:rFonts w:ascii="Arial" w:cs="Arial" w:eastAsia="Arial" w:hAnsi="Arial"/>
                <w:sz w:val="16"/>
                <w:szCs w:val="16"/>
                <w:color w:val="auto"/>
              </w:rPr>
              <w:t>Kevin N. Carpenter</w:t>
            </w:r>
          </w:p>
        </w:tc>
        <w:tc>
          <w:tcPr>
            <w:tcW w:w="2480" w:type="dxa"/>
            <w:vAlign w:val="bottom"/>
            <w:tcBorders>
              <w:bottom w:val="single" w:sz="8" w:color="BFBFBF"/>
            </w:tcBorders>
          </w:tcPr>
          <w:p>
            <w:pPr>
              <w:jc w:val="center"/>
              <w:spacing w:after="0" w:line="183" w:lineRule="exact"/>
              <w:rPr>
                <w:sz w:val="20"/>
                <w:szCs w:val="20"/>
                <w:color w:val="auto"/>
              </w:rPr>
            </w:pPr>
            <w:r>
              <w:rPr>
                <w:rFonts w:ascii="Arial" w:cs="Arial" w:eastAsia="Arial" w:hAnsi="Arial"/>
                <w:sz w:val="16"/>
                <w:szCs w:val="16"/>
                <w:color w:val="auto"/>
              </w:rPr>
              <w:t>3x</w:t>
            </w:r>
          </w:p>
        </w:tc>
        <w:tc>
          <w:tcPr>
            <w:tcW w:w="1720" w:type="dxa"/>
            <w:vAlign w:val="bottom"/>
            <w:tcBorders>
              <w:bottom w:val="single" w:sz="8" w:color="BFBFBF"/>
            </w:tcBorders>
          </w:tcPr>
          <w:p>
            <w:pPr>
              <w:jc w:val="center"/>
              <w:ind w:left="121"/>
              <w:spacing w:after="0" w:line="183" w:lineRule="exact"/>
              <w:rPr>
                <w:sz w:val="20"/>
                <w:szCs w:val="20"/>
                <w:color w:val="auto"/>
              </w:rPr>
            </w:pPr>
            <w:r>
              <w:rPr>
                <w:rFonts w:ascii="Arial" w:cs="Arial" w:eastAsia="Arial" w:hAnsi="Arial"/>
                <w:sz w:val="16"/>
                <w:szCs w:val="16"/>
                <w:color w:val="auto"/>
              </w:rPr>
              <w:t>N/A</w:t>
            </w:r>
          </w:p>
        </w:tc>
      </w:tr>
      <w:tr>
        <w:trPr>
          <w:trHeight w:val="183"/>
        </w:trPr>
        <w:tc>
          <w:tcPr>
            <w:tcW w:w="2540" w:type="dxa"/>
            <w:vAlign w:val="bottom"/>
            <w:shd w:val="clear" w:color="auto" w:fill="D9D9D9"/>
          </w:tcPr>
          <w:p>
            <w:pPr>
              <w:ind w:left="100"/>
              <w:spacing w:after="0" w:line="183" w:lineRule="exact"/>
              <w:rPr>
                <w:sz w:val="20"/>
                <w:szCs w:val="20"/>
                <w:color w:val="auto"/>
              </w:rPr>
            </w:pPr>
            <w:r>
              <w:rPr>
                <w:rFonts w:ascii="Arial" w:cs="Arial" w:eastAsia="Arial" w:hAnsi="Arial"/>
                <w:sz w:val="16"/>
                <w:szCs w:val="16"/>
                <w:color w:val="auto"/>
              </w:rPr>
              <w:t>Richard W. Rodier</w:t>
            </w:r>
          </w:p>
        </w:tc>
        <w:tc>
          <w:tcPr>
            <w:tcW w:w="2480" w:type="dxa"/>
            <w:vAlign w:val="bottom"/>
            <w:shd w:val="clear" w:color="auto" w:fill="D9D9D9"/>
          </w:tcPr>
          <w:p>
            <w:pPr>
              <w:jc w:val="center"/>
              <w:spacing w:after="0" w:line="183" w:lineRule="exact"/>
              <w:rPr>
                <w:sz w:val="20"/>
                <w:szCs w:val="20"/>
                <w:color w:val="auto"/>
              </w:rPr>
            </w:pPr>
            <w:r>
              <w:rPr>
                <w:rFonts w:ascii="Arial" w:cs="Arial" w:eastAsia="Arial" w:hAnsi="Arial"/>
                <w:sz w:val="16"/>
                <w:szCs w:val="16"/>
                <w:color w:val="auto"/>
              </w:rPr>
              <w:t>3x</w:t>
            </w:r>
          </w:p>
        </w:tc>
        <w:tc>
          <w:tcPr>
            <w:tcW w:w="1720" w:type="dxa"/>
            <w:vAlign w:val="bottom"/>
            <w:shd w:val="clear" w:color="auto" w:fill="D9D9D9"/>
          </w:tcPr>
          <w:p>
            <w:pPr>
              <w:jc w:val="center"/>
              <w:ind w:left="101"/>
              <w:spacing w:after="0" w:line="183" w:lineRule="exact"/>
              <w:rPr>
                <w:sz w:val="20"/>
                <w:szCs w:val="20"/>
                <w:color w:val="auto"/>
              </w:rPr>
            </w:pPr>
            <w:r>
              <w:rPr>
                <w:rFonts w:ascii="Arial" w:cs="Arial" w:eastAsia="Arial" w:hAnsi="Arial"/>
                <w:sz w:val="16"/>
                <w:szCs w:val="16"/>
                <w:color w:val="auto"/>
                <w:w w:val="94"/>
              </w:rPr>
              <w:t>Yes</w:t>
            </w:r>
          </w:p>
        </w:tc>
      </w:tr>
      <w:tr>
        <w:trPr>
          <w:trHeight w:val="215"/>
        </w:trPr>
        <w:tc>
          <w:tcPr>
            <w:tcW w:w="2540" w:type="dxa"/>
            <w:vAlign w:val="bottom"/>
          </w:tcPr>
          <w:p>
            <w:pPr>
              <w:ind w:left="100"/>
              <w:spacing w:after="0"/>
              <w:rPr>
                <w:sz w:val="20"/>
                <w:szCs w:val="20"/>
                <w:color w:val="auto"/>
              </w:rPr>
            </w:pPr>
            <w:r>
              <w:rPr>
                <w:rFonts w:ascii="Arial" w:cs="Arial" w:eastAsia="Arial" w:hAnsi="Arial"/>
                <w:sz w:val="16"/>
                <w:szCs w:val="16"/>
                <w:color w:val="auto"/>
              </w:rPr>
              <w:t>Amy E. Dahl</w:t>
            </w:r>
          </w:p>
        </w:tc>
        <w:tc>
          <w:tcPr>
            <w:tcW w:w="2480" w:type="dxa"/>
            <w:vAlign w:val="bottom"/>
          </w:tcPr>
          <w:p>
            <w:pPr>
              <w:jc w:val="center"/>
              <w:spacing w:after="0"/>
              <w:rPr>
                <w:sz w:val="20"/>
                <w:szCs w:val="20"/>
                <w:color w:val="auto"/>
              </w:rPr>
            </w:pPr>
            <w:r>
              <w:rPr>
                <w:rFonts w:ascii="Arial" w:cs="Arial" w:eastAsia="Arial" w:hAnsi="Arial"/>
                <w:sz w:val="16"/>
                <w:szCs w:val="16"/>
                <w:color w:val="auto"/>
              </w:rPr>
              <w:t>3x</w:t>
            </w:r>
          </w:p>
        </w:tc>
        <w:tc>
          <w:tcPr>
            <w:tcW w:w="1720" w:type="dxa"/>
            <w:vAlign w:val="bottom"/>
          </w:tcPr>
          <w:p>
            <w:pPr>
              <w:jc w:val="center"/>
              <w:ind w:left="101"/>
              <w:spacing w:after="0"/>
              <w:rPr>
                <w:sz w:val="20"/>
                <w:szCs w:val="20"/>
                <w:color w:val="auto"/>
              </w:rPr>
            </w:pPr>
            <w:r>
              <w:rPr>
                <w:rFonts w:ascii="Arial" w:cs="Arial" w:eastAsia="Arial" w:hAnsi="Arial"/>
                <w:sz w:val="16"/>
                <w:szCs w:val="16"/>
                <w:color w:val="auto"/>
                <w:w w:val="94"/>
              </w:rPr>
              <w:t>Yes</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Anti-Hedging and Anti-Pledging</w:t>
      </w:r>
    </w:p>
    <w:p>
      <w:pPr>
        <w:spacing w:after="0" w:line="99" w:lineRule="exact"/>
        <w:rPr>
          <w:sz w:val="20"/>
          <w:szCs w:val="20"/>
          <w:color w:val="auto"/>
        </w:rPr>
      </w:pPr>
    </w:p>
    <w:p>
      <w:pPr>
        <w:ind w:right="160" w:firstLine="401"/>
        <w:spacing w:after="0" w:line="271" w:lineRule="auto"/>
        <w:rPr>
          <w:sz w:val="20"/>
          <w:szCs w:val="20"/>
          <w:color w:val="auto"/>
        </w:rPr>
      </w:pPr>
      <w:r>
        <w:rPr>
          <w:rFonts w:ascii="Arial" w:cs="Arial" w:eastAsia="Arial" w:hAnsi="Arial"/>
          <w:sz w:val="18"/>
          <w:szCs w:val="18"/>
          <w:color w:val="auto"/>
        </w:rPr>
        <w:t>Our insider trading policy prohibits officers and directors from engaging in hedging or pledging of our securities, as described in more detail in “Executive Compensation—Anti-Hedging and Anti-Pledging Policies.”</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122" w:right="45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Tax Considerations</w:t>
      </w:r>
    </w:p>
    <w:p>
      <w:pPr>
        <w:spacing w:after="0" w:line="99" w:lineRule="exact"/>
        <w:rPr>
          <w:sz w:val="20"/>
          <w:szCs w:val="20"/>
          <w:color w:val="auto"/>
        </w:rPr>
      </w:pPr>
    </w:p>
    <w:p>
      <w:pPr>
        <w:ind w:right="40" w:firstLine="401"/>
        <w:spacing w:after="0" w:line="244" w:lineRule="auto"/>
        <w:rPr>
          <w:sz w:val="20"/>
          <w:szCs w:val="20"/>
          <w:color w:val="auto"/>
        </w:rPr>
      </w:pPr>
      <w:r>
        <w:rPr>
          <w:rFonts w:ascii="Arial" w:cs="Arial" w:eastAsia="Arial" w:hAnsi="Arial"/>
          <w:sz w:val="18"/>
          <w:szCs w:val="18"/>
          <w:color w:val="auto"/>
        </w:rPr>
        <w:t>Code Section 162(m) imposes an annual deduction limit of $1 million on the amount of compensation paid to each “covered employee,” which includes our NEOs and certain other former NEOs. Compensation paid to our NEOs over this limit is nondeductible. While the Compensation &amp; Human Resources Committee considers tax deductibility as one of many factors in determining executive compensation, we will continue to structure our executive compensation program so that a significant portion of total executive compensation is linked to the performance of our Company even though amounts in excess of the Code Section 162(m) limit are not deductible.</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Risk Assessment</w:t>
      </w:r>
    </w:p>
    <w:p>
      <w:pPr>
        <w:spacing w:after="0" w:line="99" w:lineRule="exact"/>
        <w:rPr>
          <w:sz w:val="20"/>
          <w:szCs w:val="20"/>
          <w:color w:val="auto"/>
        </w:rPr>
      </w:pPr>
    </w:p>
    <w:p>
      <w:pPr>
        <w:ind w:right="140" w:firstLine="401"/>
        <w:spacing w:after="0"/>
        <w:rPr>
          <w:sz w:val="20"/>
          <w:szCs w:val="20"/>
          <w:color w:val="auto"/>
        </w:rPr>
      </w:pPr>
      <w:r>
        <w:rPr>
          <w:rFonts w:ascii="Arial" w:cs="Arial" w:eastAsia="Arial" w:hAnsi="Arial"/>
          <w:sz w:val="18"/>
          <w:szCs w:val="18"/>
          <w:color w:val="auto"/>
        </w:rPr>
        <w:t>We determined that our compensation policies, practices and programs and related compensation governance structure work together to minimize exposure to excessive risk while appropriately pursuing growth, profitability and asset efficiency strategies and goals that emphasize shareholder value creation. In reaching such determination, we noted that (i) base salaries for all office salaried employees are targeted within a competitive range of the market 50</w:t>
      </w:r>
      <w:r>
        <w:rPr>
          <w:rFonts w:ascii="Arial" w:cs="Arial" w:eastAsia="Arial" w:hAnsi="Arial"/>
          <w:sz w:val="15"/>
          <w:szCs w:val="15"/>
          <w:color w:val="auto"/>
        </w:rPr>
        <w:t>th</w:t>
      </w:r>
      <w:r>
        <w:rPr>
          <w:rFonts w:ascii="Arial" w:cs="Arial" w:eastAsia="Arial" w:hAnsi="Arial"/>
          <w:sz w:val="18"/>
          <w:szCs w:val="18"/>
          <w:color w:val="auto"/>
        </w:rPr>
        <w:t xml:space="preserve"> percentile, are not subject to performance risk and, for non-executive employees, constitute the largest part of their total compensation; (ii) incentive or variable compensation awarded to our executive officers, which constitutes the largest part of their total compensation, is appropriately balanced between annual and long-term performance and cash and equity compensation, and utilizes performance measures and goals that are drivers of long-term success for our Company and our shareholders; and (iii) caps on performance-based awards are used.</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Clawback Policy and Provisions</w:t>
      </w:r>
    </w:p>
    <w:p>
      <w:pPr>
        <w:spacing w:after="0" w:line="99" w:lineRule="exact"/>
        <w:rPr>
          <w:sz w:val="20"/>
          <w:szCs w:val="20"/>
          <w:color w:val="auto"/>
        </w:rPr>
      </w:pPr>
    </w:p>
    <w:p>
      <w:pPr>
        <w:jc w:val="both"/>
        <w:ind w:right="500" w:firstLine="401"/>
        <w:spacing w:after="0" w:line="253" w:lineRule="auto"/>
        <w:rPr>
          <w:sz w:val="20"/>
          <w:szCs w:val="20"/>
          <w:color w:val="auto"/>
        </w:rPr>
      </w:pPr>
      <w:r>
        <w:rPr>
          <w:rFonts w:ascii="Arial" w:cs="Arial" w:eastAsia="Arial" w:hAnsi="Arial"/>
          <w:sz w:val="18"/>
          <w:szCs w:val="18"/>
          <w:color w:val="auto"/>
        </w:rPr>
        <w:t>In January 2022, we adopted a clawback policy pursuant to which we may recover certain incentive compensation from current or former officers in the event a financial metric used to determine the vesting or payment of incentive compensation to an executive was calculated incorrectly or the executive engaged in egregious conduct that is substantially detrimental to the Company.</w:t>
      </w:r>
    </w:p>
    <w:p>
      <w:pPr>
        <w:spacing w:after="0" w:line="61" w:lineRule="exact"/>
        <w:rPr>
          <w:sz w:val="20"/>
          <w:szCs w:val="20"/>
          <w:color w:val="auto"/>
        </w:rPr>
      </w:pPr>
    </w:p>
    <w:p>
      <w:pPr>
        <w:ind w:right="20" w:firstLine="401"/>
        <w:spacing w:after="0" w:line="239" w:lineRule="auto"/>
        <w:rPr>
          <w:sz w:val="20"/>
          <w:szCs w:val="20"/>
          <w:color w:val="auto"/>
        </w:rPr>
      </w:pPr>
      <w:r>
        <w:rPr>
          <w:rFonts w:ascii="Arial" w:cs="Arial" w:eastAsia="Arial" w:hAnsi="Arial"/>
          <w:sz w:val="18"/>
          <w:szCs w:val="18"/>
          <w:color w:val="auto"/>
        </w:rPr>
        <w:t>Our 2022 Plan, prior equity plan and the related award agreements contain a clawback provision which provides that if, within one year after the termination of employment the participant is employed or retained by or renders services to a competitor, violates any confidentiality agreement or agreement governing the ownership or assignment of intellectual property rights or engages in any other conduct or act determined to be injurious, detrimental or prejudicial to any interest of our Company, all rights of such participant under the plan and any agreements evidencing an award then held by the participant will terminate and be forfeited and the Committee may require the executive to surrender and return to our Company any shares received, and/or to disgorge any profits or any other economic value made or realized by the participant during the period beginning one year prior to the participant’s termination of employment or other service with our Company or any affiliate or subsidiary, in connection with any awards or any shares issued upon the exercise or vesting of any awards granted under such plan.</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Competitive Considerations and Use of Market Data</w:t>
      </w:r>
    </w:p>
    <w:p>
      <w:pPr>
        <w:spacing w:after="0" w:line="99" w:lineRule="exact"/>
        <w:rPr>
          <w:sz w:val="20"/>
          <w:szCs w:val="20"/>
          <w:color w:val="auto"/>
        </w:rPr>
      </w:pPr>
    </w:p>
    <w:p>
      <w:pPr>
        <w:ind w:firstLine="401"/>
        <w:spacing w:after="0"/>
        <w:rPr>
          <w:sz w:val="20"/>
          <w:szCs w:val="20"/>
          <w:color w:val="auto"/>
        </w:rPr>
      </w:pPr>
      <w:r>
        <w:rPr>
          <w:rFonts w:ascii="Arial" w:cs="Arial" w:eastAsia="Arial" w:hAnsi="Arial"/>
          <w:sz w:val="18"/>
          <w:szCs w:val="18"/>
          <w:color w:val="auto"/>
        </w:rPr>
        <w:t>Since one of the objectives of our executive compensation program is to provide market competitive compensation opportunities, the Committee uses market data provided by Willis Towers Watson to help evaluate and make compensation decisions. Market data, which is size-adjusted, is provided by Willis Towers Watson through its executive compensation database, which includes roughly 500 participating companies. We believe that the market for our executive officer talent is not limited to the manufacturing industry; therefore, we do not focus specifically on manufacturing companies within the database, nor do we identify a separate group of peer companies within the manufacturing industry for executive compensation purposes. The market data provided by Willis Towers Watson was in aggregate form and, therefore, individual data for participating companies in the survey was not considered when determining executive officer compensation in total or for any individual officer or element.</w:t>
      </w:r>
    </w:p>
    <w:p>
      <w:pPr>
        <w:spacing w:after="0" w:line="72" w:lineRule="exact"/>
        <w:rPr>
          <w:sz w:val="20"/>
          <w:szCs w:val="20"/>
          <w:color w:val="auto"/>
        </w:rPr>
      </w:pPr>
    </w:p>
    <w:p>
      <w:pPr>
        <w:ind w:right="20" w:firstLine="401"/>
        <w:spacing w:after="0" w:line="266" w:lineRule="auto"/>
        <w:rPr>
          <w:sz w:val="20"/>
          <w:szCs w:val="20"/>
          <w:color w:val="auto"/>
        </w:rPr>
      </w:pPr>
      <w:r>
        <w:rPr>
          <w:rFonts w:ascii="Arial" w:cs="Arial" w:eastAsia="Arial" w:hAnsi="Arial"/>
          <w:sz w:val="17"/>
          <w:szCs w:val="17"/>
          <w:color w:val="auto"/>
        </w:rPr>
        <w:t>We typically target pay opportunities within a competitive range of the market 50th percentile for each element of compensation and in total; however, variance around the market 50th percentile is dependent on a number of factors, including an executive’s level of professional experience, the executive’s duties and responsibilities, individual performance, future potential, tenure in the position, corporate and/or division performance, as applicable, internal pay comparisons, and outside market factors, including general economic and labor conditions.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3" w:name="page54"/>
    <w:bookmarkEnd w:id="53"/>
    <w:p>
      <w:pPr>
        <w:spacing w:after="0" w:line="199" w:lineRule="auto"/>
        <w:framePr w:w="280" w:h="163" w:wrap="auto" w:vAnchor="page" w:hAnchor="page" w:x="5800" w:y="9616"/>
        <w:rPr>
          <w:rFonts w:ascii="Arial" w:cs="Arial" w:eastAsia="Arial" w:hAnsi="Arial"/>
          <w:sz w:val="17"/>
          <w:szCs w:val="17"/>
          <w:color w:val="auto"/>
        </w:rPr>
      </w:pPr>
      <w:r>
        <w:rPr>
          <w:rFonts w:ascii="Arial" w:cs="Arial" w:eastAsia="Arial" w:hAnsi="Arial"/>
          <w:sz w:val="17"/>
          <w:szCs w:val="17"/>
          <w:color w:val="auto"/>
        </w:rPr>
        <w:t>41</w:t>
      </w:r>
    </w:p>
    <w:p>
      <w:pPr>
        <w:spacing w:after="0"/>
        <w:rPr>
          <w:sz w:val="20"/>
          <w:szCs w:val="20"/>
          <w:color w:val="auto"/>
        </w:rPr>
      </w:pPr>
      <w:r>
        <w:rPr>
          <w:rFonts w:ascii="Arial" w:cs="Arial" w:eastAsia="Arial" w:hAnsi="Arial"/>
          <w:sz w:val="18"/>
          <w:szCs w:val="18"/>
          <w:u w:val="single" w:color="auto"/>
          <w:color w:val="0000EE"/>
        </w:rPr>
        <w:t>Table of Contents</w:t>
      </w:r>
    </w:p>
    <w:p>
      <w:pPr>
        <w:spacing w:after="0" w:line="152"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20"/>
          <w:szCs w:val="20"/>
          <w:b w:val="1"/>
          <w:bCs w:val="1"/>
          <w:color w:val="C00000"/>
        </w:rPr>
        <w:t>How We Make Compensation Decisions</w:t>
      </w:r>
    </w:p>
    <w:p>
      <w:pPr>
        <w:spacing w:after="0" w:line="99" w:lineRule="exact"/>
        <w:rPr>
          <w:rFonts w:ascii="Arial" w:cs="Arial" w:eastAsia="Arial" w:hAnsi="Arial"/>
          <w:sz w:val="17"/>
          <w:szCs w:val="17"/>
          <w:color w:val="auto"/>
        </w:rPr>
      </w:pPr>
    </w:p>
    <w:p>
      <w:pPr>
        <w:jc w:val="both"/>
        <w:ind w:right="260" w:firstLine="401"/>
        <w:spacing w:after="0" w:line="253" w:lineRule="auto"/>
        <w:rPr>
          <w:sz w:val="20"/>
          <w:szCs w:val="20"/>
          <w:color w:val="auto"/>
        </w:rPr>
      </w:pPr>
      <w:r>
        <w:rPr>
          <w:rFonts w:ascii="Arial" w:cs="Arial" w:eastAsia="Arial" w:hAnsi="Arial"/>
          <w:sz w:val="18"/>
          <w:szCs w:val="18"/>
          <w:color w:val="auto"/>
        </w:rPr>
        <w:t>There are several elements to our executive compensation decision-making, which we believe allow us to most effectively implement our established compensation philosophy. The Committee, its independent external compensation consultant, and Management all have a role in decision-making for executive compensation. The following table summarizes their roles and responsibilities.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55" w:lineRule="exact"/>
        <w:rPr>
          <w:rFonts w:ascii="Arial" w:cs="Arial" w:eastAsia="Arial" w:hAnsi="Arial"/>
          <w:sz w:val="17"/>
          <w:szCs w:val="17"/>
          <w:color w:val="auto"/>
        </w:rPr>
      </w:pPr>
    </w:p>
    <w:tbl>
      <w:tblPr>
        <w:tblLayout w:type="fixed"/>
        <w:tblInd w:w="0" w:type="dxa"/>
        <w:tblCellMar>
          <w:top w:w="0" w:type="dxa"/>
          <w:left w:w="0" w:type="dxa"/>
          <w:bottom w:w="0" w:type="dxa"/>
          <w:right w:w="0" w:type="dxa"/>
        </w:tblCellMar>
      </w:tblPr>
      <w:tr>
        <w:trPr>
          <w:trHeight w:val="0"/>
        </w:trPr>
        <w:tc>
          <w:tcPr>
            <w:tcW w:w="3460" w:type="dxa"/>
            <w:vAlign w:val="bottom"/>
            <w:tcBorders>
              <w:right w:val="single" w:sz="8" w:color="C00000"/>
            </w:tcBorders>
            <w:shd w:val="clear" w:color="auto" w:fill="C00000"/>
          </w:tcPr>
          <w:p>
            <w:pPr>
              <w:spacing w:after="0"/>
              <w:rPr>
                <w:sz w:val="20"/>
                <w:szCs w:val="20"/>
                <w:color w:val="auto"/>
              </w:rPr>
            </w:pPr>
            <w:r>
              <w:rPr>
                <w:rFonts w:ascii="Arial" w:cs="Arial" w:eastAsia="Arial" w:hAnsi="Arial"/>
                <w:sz w:val="16"/>
                <w:szCs w:val="16"/>
                <w:b w:val="1"/>
                <w:bCs w:val="1"/>
                <w:color w:val="FFFFFF"/>
              </w:rPr>
              <w:t>Responsible Party</w:t>
            </w:r>
          </w:p>
        </w:tc>
        <w:tc>
          <w:tcPr>
            <w:tcW w:w="7780" w:type="dxa"/>
            <w:vAlign w:val="bottom"/>
            <w:gridSpan w:val="2"/>
            <w:shd w:val="clear" w:color="auto" w:fill="C00000"/>
          </w:tcPr>
          <w:p>
            <w:pPr>
              <w:spacing w:after="0"/>
              <w:rPr>
                <w:sz w:val="20"/>
                <w:szCs w:val="20"/>
                <w:color w:val="auto"/>
              </w:rPr>
            </w:pPr>
            <w:r>
              <w:rPr>
                <w:rFonts w:ascii="Arial" w:cs="Arial" w:eastAsia="Arial" w:hAnsi="Arial"/>
                <w:sz w:val="16"/>
                <w:szCs w:val="16"/>
                <w:b w:val="1"/>
                <w:bCs w:val="1"/>
                <w:color w:val="FFFFFF"/>
              </w:rPr>
              <w:t>Roles and Responsibilities</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3460" w:type="dxa"/>
            <w:vAlign w:val="bottom"/>
            <w:tcBorders>
              <w:right w:val="single" w:sz="8" w:color="BFBFBF"/>
            </w:tcBorders>
            <w:shd w:val="clear" w:color="auto" w:fill="BFBFBF"/>
          </w:tcPr>
          <w:p>
            <w:pPr>
              <w:spacing w:after="0"/>
              <w:rPr>
                <w:sz w:val="20"/>
                <w:szCs w:val="20"/>
                <w:color w:val="auto"/>
              </w:rPr>
            </w:pPr>
            <w:r>
              <w:rPr>
                <w:rFonts w:ascii="Arial" w:cs="Arial" w:eastAsia="Arial" w:hAnsi="Arial"/>
                <w:sz w:val="18"/>
                <w:szCs w:val="18"/>
                <w:color w:val="auto"/>
              </w:rPr>
              <w:t>Compensation &amp; Human Resources</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680" w:type="dxa"/>
            <w:vAlign w:val="bottom"/>
          </w:tcPr>
          <w:p>
            <w:pPr>
              <w:ind w:left="60"/>
              <w:spacing w:after="0"/>
              <w:rPr>
                <w:sz w:val="20"/>
                <w:szCs w:val="20"/>
                <w:color w:val="auto"/>
              </w:rPr>
            </w:pPr>
            <w:r>
              <w:rPr>
                <w:rFonts w:ascii="Arial" w:cs="Arial" w:eastAsia="Arial" w:hAnsi="Arial"/>
                <w:sz w:val="18"/>
                <w:szCs w:val="18"/>
                <w:color w:val="auto"/>
              </w:rPr>
              <w:t>Oversees all aspects of our executive compensation program.</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3460" w:type="dxa"/>
            <w:vAlign w:val="bottom"/>
          </w:tcPr>
          <w:p>
            <w:pPr>
              <w:spacing w:after="0"/>
              <w:rPr>
                <w:sz w:val="20"/>
                <w:szCs w:val="20"/>
                <w:color w:val="auto"/>
              </w:rPr>
            </w:pPr>
            <w:r>
              <w:rPr>
                <w:rFonts w:ascii="Arial" w:cs="Arial" w:eastAsia="Arial" w:hAnsi="Arial"/>
                <w:sz w:val="18"/>
                <w:szCs w:val="18"/>
                <w:color w:val="auto"/>
              </w:rPr>
              <w:t>Committee</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680" w:type="dxa"/>
            <w:vAlign w:val="bottom"/>
          </w:tcPr>
          <w:p>
            <w:pPr>
              <w:ind w:left="60"/>
              <w:spacing w:after="0"/>
              <w:rPr>
                <w:sz w:val="20"/>
                <w:szCs w:val="20"/>
                <w:color w:val="auto"/>
              </w:rPr>
            </w:pPr>
            <w:r>
              <w:rPr>
                <w:rFonts w:ascii="Arial" w:cs="Arial" w:eastAsia="Arial" w:hAnsi="Arial"/>
                <w:sz w:val="18"/>
                <w:szCs w:val="18"/>
                <w:color w:val="auto"/>
              </w:rPr>
              <w:t>Annually reviews and approves our corporate goals and objectives relevant to Chairman and</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3460" w:type="dxa"/>
            <w:vAlign w:val="bottom"/>
          </w:tcPr>
          <w:p>
            <w:pPr>
              <w:spacing w:after="0"/>
              <w:rPr>
                <w:sz w:val="20"/>
                <w:szCs w:val="20"/>
                <w:color w:val="auto"/>
              </w:rPr>
            </w:pPr>
            <w:r>
              <w:rPr>
                <w:rFonts w:ascii="Arial" w:cs="Arial" w:eastAsia="Arial" w:hAnsi="Arial"/>
                <w:sz w:val="18"/>
                <w:szCs w:val="18"/>
                <w:i w:val="1"/>
                <w:iCs w:val="1"/>
                <w:color w:val="auto"/>
                <w:w w:val="99"/>
              </w:rPr>
              <w:t>(Comprised solely of independent directors</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680" w:type="dxa"/>
            <w:vAlign w:val="bottom"/>
          </w:tcPr>
          <w:p>
            <w:pPr>
              <w:ind w:left="40"/>
              <w:spacing w:after="0"/>
              <w:rPr>
                <w:sz w:val="20"/>
                <w:szCs w:val="20"/>
                <w:color w:val="auto"/>
              </w:rPr>
            </w:pPr>
            <w:r>
              <w:rPr>
                <w:rFonts w:ascii="Arial" w:cs="Arial" w:eastAsia="Arial" w:hAnsi="Arial"/>
                <w:sz w:val="18"/>
                <w:szCs w:val="18"/>
                <w:color w:val="auto"/>
              </w:rPr>
              <w:t>CEO compensation.</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3460" w:type="dxa"/>
            <w:vAlign w:val="bottom"/>
          </w:tcPr>
          <w:p>
            <w:pPr>
              <w:spacing w:after="0"/>
              <w:rPr>
                <w:sz w:val="20"/>
                <w:szCs w:val="20"/>
                <w:color w:val="auto"/>
              </w:rPr>
            </w:pPr>
            <w:r>
              <w:rPr>
                <w:rFonts w:ascii="Arial" w:cs="Arial" w:eastAsia="Arial" w:hAnsi="Arial"/>
                <w:sz w:val="18"/>
                <w:szCs w:val="18"/>
                <w:i w:val="1"/>
                <w:iCs w:val="1"/>
                <w:color w:val="auto"/>
              </w:rPr>
              <w:t>and reports to the Board of Directors)</w:t>
            </w:r>
          </w:p>
        </w:tc>
        <w:tc>
          <w:tcPr>
            <w:tcW w:w="100" w:type="dxa"/>
            <w:vAlign w:val="bottom"/>
          </w:tcPr>
          <w:p>
            <w:pPr>
              <w:spacing w:after="0" w:line="20" w:lineRule="exact"/>
              <w:rPr>
                <w:sz w:val="1"/>
                <w:szCs w:val="1"/>
                <w:color w:val="auto"/>
              </w:rPr>
            </w:pPr>
          </w:p>
        </w:tc>
        <w:tc>
          <w:tcPr>
            <w:tcW w:w="7680" w:type="dxa"/>
            <w:vAlign w:val="bottom"/>
          </w:tcPr>
          <w:p>
            <w:pPr>
              <w:ind w:left="40"/>
              <w:spacing w:after="0"/>
              <w:rPr>
                <w:sz w:val="20"/>
                <w:szCs w:val="20"/>
                <w:color w:val="auto"/>
              </w:rPr>
            </w:pPr>
            <w:r>
              <w:rPr>
                <w:rFonts w:ascii="Arial" w:cs="Arial" w:eastAsia="Arial" w:hAnsi="Arial"/>
                <w:sz w:val="18"/>
                <w:szCs w:val="18"/>
                <w:color w:val="auto"/>
              </w:rPr>
              <w:t>determines and approves his compensation based on this evaluation, subject to ratification by</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80" w:type="dxa"/>
            <w:vAlign w:val="bottom"/>
          </w:tcPr>
          <w:p>
            <w:pPr>
              <w:ind w:left="40"/>
              <w:spacing w:after="0"/>
              <w:rPr>
                <w:sz w:val="20"/>
                <w:szCs w:val="20"/>
                <w:color w:val="auto"/>
              </w:rPr>
            </w:pPr>
            <w:r>
              <w:rPr>
                <w:rFonts w:ascii="Arial" w:cs="Arial" w:eastAsia="Arial" w:hAnsi="Arial"/>
                <w:sz w:val="18"/>
                <w:szCs w:val="18"/>
                <w:color w:val="auto"/>
              </w:rPr>
              <w:t>the Board of Directors.</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3460" w:type="dxa"/>
            <w:vAlign w:val="bottom"/>
          </w:tcPr>
          <w:p>
            <w:pPr>
              <w:spacing w:after="0" w:line="20" w:lineRule="exact"/>
              <w:rPr>
                <w:sz w:val="1"/>
                <w:szCs w:val="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680" w:type="dxa"/>
            <w:vAlign w:val="bottom"/>
          </w:tcPr>
          <w:p>
            <w:pPr>
              <w:ind w:left="60"/>
              <w:spacing w:after="0"/>
              <w:rPr>
                <w:sz w:val="20"/>
                <w:szCs w:val="20"/>
                <w:color w:val="auto"/>
              </w:rPr>
            </w:pPr>
            <w:r>
              <w:rPr>
                <w:rFonts w:ascii="Arial" w:cs="Arial" w:eastAsia="Arial" w:hAnsi="Arial"/>
                <w:sz w:val="18"/>
                <w:szCs w:val="18"/>
                <w:color w:val="auto"/>
              </w:rPr>
              <w:t>Reviews and approves all executive officer compensation, including base salary, annual cash</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80" w:type="dxa"/>
            <w:vAlign w:val="bottom"/>
          </w:tcPr>
          <w:p>
            <w:pPr>
              <w:ind w:left="40"/>
              <w:spacing w:after="0"/>
              <w:rPr>
                <w:sz w:val="20"/>
                <w:szCs w:val="20"/>
                <w:color w:val="auto"/>
              </w:rPr>
            </w:pPr>
            <w:r>
              <w:rPr>
                <w:rFonts w:ascii="Arial" w:cs="Arial" w:eastAsia="Arial" w:hAnsi="Arial"/>
                <w:sz w:val="18"/>
                <w:szCs w:val="18"/>
                <w:color w:val="auto"/>
              </w:rPr>
              <w:t>incentive awards, long-term incentive awards and their payouts.</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3460" w:type="dxa"/>
            <w:vAlign w:val="bottom"/>
          </w:tcPr>
          <w:p>
            <w:pPr>
              <w:spacing w:after="0" w:line="20" w:lineRule="exact"/>
              <w:rPr>
                <w:sz w:val="1"/>
                <w:szCs w:val="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680" w:type="dxa"/>
            <w:vAlign w:val="bottom"/>
          </w:tcPr>
          <w:p>
            <w:pPr>
              <w:ind w:left="60"/>
              <w:spacing w:after="0"/>
              <w:rPr>
                <w:sz w:val="20"/>
                <w:szCs w:val="20"/>
                <w:color w:val="auto"/>
              </w:rPr>
            </w:pPr>
            <w:r>
              <w:rPr>
                <w:rFonts w:ascii="Arial" w:cs="Arial" w:eastAsia="Arial" w:hAnsi="Arial"/>
                <w:sz w:val="18"/>
                <w:szCs w:val="18"/>
                <w:color w:val="auto"/>
              </w:rPr>
              <w:t>Oversees our equity and incentive compensation plans and reviews and approves equity</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80" w:type="dxa"/>
            <w:vAlign w:val="bottom"/>
          </w:tcPr>
          <w:p>
            <w:pPr>
              <w:ind w:left="40"/>
              <w:spacing w:after="0"/>
              <w:rPr>
                <w:sz w:val="20"/>
                <w:szCs w:val="20"/>
                <w:color w:val="auto"/>
              </w:rPr>
            </w:pPr>
            <w:r>
              <w:rPr>
                <w:rFonts w:ascii="Arial" w:cs="Arial" w:eastAsia="Arial" w:hAnsi="Arial"/>
                <w:sz w:val="18"/>
                <w:szCs w:val="18"/>
                <w:color w:val="auto"/>
              </w:rPr>
              <w:t>awards and executive incentive payouts.</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3460" w:type="dxa"/>
            <w:vAlign w:val="bottom"/>
          </w:tcPr>
          <w:p>
            <w:pPr>
              <w:spacing w:after="0" w:line="20" w:lineRule="exact"/>
              <w:rPr>
                <w:sz w:val="1"/>
                <w:szCs w:val="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680" w:type="dxa"/>
            <w:vAlign w:val="bottom"/>
          </w:tcPr>
          <w:p>
            <w:pPr>
              <w:ind w:left="60"/>
              <w:spacing w:after="0"/>
              <w:rPr>
                <w:sz w:val="20"/>
                <w:szCs w:val="20"/>
                <w:color w:val="auto"/>
              </w:rPr>
            </w:pPr>
            <w:r>
              <w:rPr>
                <w:rFonts w:ascii="Arial" w:cs="Arial" w:eastAsia="Arial" w:hAnsi="Arial"/>
                <w:sz w:val="18"/>
                <w:szCs w:val="18"/>
                <w:color w:val="auto"/>
              </w:rPr>
              <w:t>Ensures our incentive compensation arrangements are reviewed to confirm they do not</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80" w:type="dxa"/>
            <w:vAlign w:val="bottom"/>
          </w:tcPr>
          <w:p>
            <w:pPr>
              <w:ind w:left="40"/>
              <w:spacing w:after="0"/>
              <w:rPr>
                <w:sz w:val="20"/>
                <w:szCs w:val="20"/>
                <w:color w:val="auto"/>
              </w:rPr>
            </w:pPr>
            <w:r>
              <w:rPr>
                <w:rFonts w:ascii="Arial" w:cs="Arial" w:eastAsia="Arial" w:hAnsi="Arial"/>
                <w:sz w:val="18"/>
                <w:szCs w:val="18"/>
                <w:color w:val="auto"/>
              </w:rPr>
              <w:t>encourage unnecessary risk-taking.</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3460" w:type="dxa"/>
            <w:vAlign w:val="bottom"/>
          </w:tcPr>
          <w:p>
            <w:pPr>
              <w:spacing w:after="0" w:line="20" w:lineRule="exact"/>
              <w:rPr>
                <w:sz w:val="1"/>
                <w:szCs w:val="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680" w:type="dxa"/>
            <w:vAlign w:val="bottom"/>
          </w:tcPr>
          <w:p>
            <w:pPr>
              <w:ind w:left="60"/>
              <w:spacing w:after="0"/>
              <w:rPr>
                <w:sz w:val="20"/>
                <w:szCs w:val="20"/>
                <w:color w:val="auto"/>
              </w:rPr>
            </w:pPr>
            <w:r>
              <w:rPr>
                <w:rFonts w:ascii="Arial" w:cs="Arial" w:eastAsia="Arial" w:hAnsi="Arial"/>
                <w:sz w:val="18"/>
                <w:szCs w:val="18"/>
                <w:color w:val="auto"/>
              </w:rPr>
              <w:t>Evaluates market competitiveness reviews of each executive officer’s compensation (in total</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80" w:type="dxa"/>
            <w:vAlign w:val="bottom"/>
          </w:tcPr>
          <w:p>
            <w:pPr>
              <w:ind w:left="40"/>
              <w:spacing w:after="0"/>
              <w:rPr>
                <w:sz w:val="20"/>
                <w:szCs w:val="20"/>
                <w:color w:val="auto"/>
              </w:rPr>
            </w:pPr>
            <w:r>
              <w:rPr>
                <w:rFonts w:ascii="Arial" w:cs="Arial" w:eastAsia="Arial" w:hAnsi="Arial"/>
                <w:sz w:val="18"/>
                <w:szCs w:val="18"/>
                <w:color w:val="auto"/>
              </w:rPr>
              <w:t>and by each individual element).</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3460" w:type="dxa"/>
            <w:vAlign w:val="bottom"/>
          </w:tcPr>
          <w:p>
            <w:pPr>
              <w:spacing w:after="0" w:line="20" w:lineRule="exact"/>
              <w:rPr>
                <w:sz w:val="1"/>
                <w:szCs w:val="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680" w:type="dxa"/>
            <w:vAlign w:val="bottom"/>
          </w:tcPr>
          <w:p>
            <w:pPr>
              <w:ind w:left="60"/>
              <w:spacing w:after="0"/>
              <w:rPr>
                <w:sz w:val="20"/>
                <w:szCs w:val="20"/>
                <w:color w:val="auto"/>
              </w:rPr>
            </w:pPr>
            <w:r>
              <w:rPr>
                <w:rFonts w:ascii="Arial" w:cs="Arial" w:eastAsia="Arial" w:hAnsi="Arial"/>
                <w:sz w:val="18"/>
                <w:szCs w:val="18"/>
                <w:color w:val="auto"/>
              </w:rPr>
              <w:t>Evaluates proposed changes to our executive compensation program.</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3460" w:type="dxa"/>
            <w:vAlign w:val="bottom"/>
          </w:tcPr>
          <w:p>
            <w:pPr>
              <w:spacing w:after="0" w:line="20" w:lineRule="exact"/>
              <w:rPr>
                <w:sz w:val="1"/>
                <w:szCs w:val="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680" w:type="dxa"/>
            <w:vAlign w:val="bottom"/>
          </w:tcPr>
          <w:p>
            <w:pPr>
              <w:ind w:left="60"/>
              <w:spacing w:after="0"/>
              <w:rPr>
                <w:sz w:val="20"/>
                <w:szCs w:val="20"/>
                <w:color w:val="auto"/>
              </w:rPr>
            </w:pPr>
            <w:r>
              <w:rPr>
                <w:rFonts w:ascii="Arial" w:cs="Arial" w:eastAsia="Arial" w:hAnsi="Arial"/>
                <w:sz w:val="18"/>
                <w:szCs w:val="18"/>
                <w:color w:val="auto"/>
              </w:rPr>
              <w:t>Has sole authority to hire consultants, approve their fees and determine the nature and scope</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80" w:type="dxa"/>
            <w:vAlign w:val="bottom"/>
          </w:tcPr>
          <w:p>
            <w:pPr>
              <w:ind w:left="40"/>
              <w:spacing w:after="0"/>
              <w:rPr>
                <w:sz w:val="20"/>
                <w:szCs w:val="20"/>
                <w:color w:val="auto"/>
              </w:rPr>
            </w:pPr>
            <w:r>
              <w:rPr>
                <w:rFonts w:ascii="Arial" w:cs="Arial" w:eastAsia="Arial" w:hAnsi="Arial"/>
                <w:sz w:val="18"/>
                <w:szCs w:val="18"/>
                <w:color w:val="auto"/>
              </w:rPr>
              <w:t>of their work.</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3460" w:type="dxa"/>
            <w:vAlign w:val="bottom"/>
            <w:tcBorders>
              <w:right w:val="single" w:sz="8" w:color="D9D9D9"/>
            </w:tcBorders>
            <w:shd w:val="clear" w:color="auto" w:fill="D9D9D9"/>
          </w:tcPr>
          <w:p>
            <w:pPr>
              <w:spacing w:after="0"/>
              <w:rPr>
                <w:sz w:val="20"/>
                <w:szCs w:val="20"/>
                <w:color w:val="auto"/>
              </w:rPr>
            </w:pPr>
            <w:r>
              <w:rPr>
                <w:rFonts w:ascii="Arial" w:cs="Arial" w:eastAsia="Arial" w:hAnsi="Arial"/>
                <w:sz w:val="18"/>
                <w:szCs w:val="18"/>
                <w:color w:val="auto"/>
              </w:rPr>
              <w:t>Independent External Compensation</w:t>
            </w:r>
          </w:p>
        </w:tc>
        <w:tc>
          <w:tcPr>
            <w:tcW w:w="100" w:type="dxa"/>
            <w:vAlign w:val="bottom"/>
            <w:shd w:val="clear" w:color="auto" w:fill="D9D9D9"/>
          </w:tcPr>
          <w:p>
            <w:pPr>
              <w:spacing w:after="0"/>
              <w:rPr>
                <w:sz w:val="20"/>
                <w:szCs w:val="20"/>
                <w:color w:val="auto"/>
              </w:rPr>
            </w:pPr>
            <w:r>
              <w:rPr>
                <w:rFonts w:ascii="Times New Roman" w:cs="Times New Roman" w:eastAsia="Times New Roman" w:hAnsi="Times New Roman"/>
                <w:sz w:val="16"/>
                <w:szCs w:val="16"/>
                <w:color w:val="auto"/>
              </w:rPr>
              <w:t>•</w:t>
            </w:r>
          </w:p>
        </w:tc>
        <w:tc>
          <w:tcPr>
            <w:tcW w:w="7680" w:type="dxa"/>
            <w:vAlign w:val="bottom"/>
            <w:shd w:val="clear" w:color="auto" w:fill="D9D9D9"/>
          </w:tcPr>
          <w:p>
            <w:pPr>
              <w:ind w:left="40"/>
              <w:spacing w:after="0"/>
              <w:rPr>
                <w:sz w:val="20"/>
                <w:szCs w:val="20"/>
                <w:color w:val="auto"/>
              </w:rPr>
            </w:pPr>
            <w:r>
              <w:rPr>
                <w:rFonts w:ascii="Arial" w:cs="Arial" w:eastAsia="Arial" w:hAnsi="Arial"/>
                <w:sz w:val="18"/>
                <w:szCs w:val="18"/>
                <w:color w:val="auto"/>
              </w:rPr>
              <w:t>Provides advice and guidance on the appropriateness and competitiveness of our executive</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3460" w:type="dxa"/>
            <w:vAlign w:val="bottom"/>
            <w:tcBorders>
              <w:right w:val="single" w:sz="8" w:color="D9D9D9"/>
            </w:tcBorders>
            <w:shd w:val="clear" w:color="auto" w:fill="D9D9D9"/>
          </w:tcPr>
          <w:p>
            <w:pPr>
              <w:spacing w:after="0"/>
              <w:rPr>
                <w:sz w:val="20"/>
                <w:szCs w:val="20"/>
                <w:color w:val="auto"/>
              </w:rPr>
            </w:pPr>
            <w:r>
              <w:rPr>
                <w:rFonts w:ascii="Arial" w:cs="Arial" w:eastAsia="Arial" w:hAnsi="Arial"/>
                <w:sz w:val="18"/>
                <w:szCs w:val="18"/>
                <w:color w:val="auto"/>
              </w:rPr>
              <w:t>Consultant</w:t>
            </w:r>
          </w:p>
        </w:tc>
        <w:tc>
          <w:tcPr>
            <w:tcW w:w="100" w:type="dxa"/>
            <w:vAlign w:val="bottom"/>
            <w:shd w:val="clear" w:color="auto" w:fill="D9D9D9"/>
          </w:tcPr>
          <w:p>
            <w:pPr>
              <w:spacing w:after="0" w:line="20" w:lineRule="exact"/>
              <w:rPr>
                <w:sz w:val="1"/>
                <w:szCs w:val="1"/>
                <w:color w:val="auto"/>
              </w:rPr>
            </w:pPr>
          </w:p>
        </w:tc>
        <w:tc>
          <w:tcPr>
            <w:tcW w:w="7680" w:type="dxa"/>
            <w:vAlign w:val="bottom"/>
            <w:shd w:val="clear" w:color="auto" w:fill="D9D9D9"/>
          </w:tcPr>
          <w:p>
            <w:pPr>
              <w:ind w:left="40"/>
              <w:spacing w:after="0"/>
              <w:rPr>
                <w:sz w:val="20"/>
                <w:szCs w:val="20"/>
                <w:color w:val="auto"/>
              </w:rPr>
            </w:pPr>
            <w:r>
              <w:rPr>
                <w:rFonts w:ascii="Arial" w:cs="Arial" w:eastAsia="Arial" w:hAnsi="Arial"/>
                <w:sz w:val="18"/>
                <w:szCs w:val="18"/>
                <w:color w:val="auto"/>
              </w:rPr>
              <w:t>compensation program relative to our performance and market practice.</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3460" w:type="dxa"/>
            <w:vAlign w:val="bottom"/>
            <w:tcBorders>
              <w:right w:val="single" w:sz="8" w:color="D9D9D9"/>
            </w:tcBorders>
            <w:shd w:val="clear" w:color="auto" w:fill="D9D9D9"/>
          </w:tcPr>
          <w:p>
            <w:pPr>
              <w:spacing w:after="0"/>
              <w:rPr>
                <w:sz w:val="20"/>
                <w:szCs w:val="20"/>
                <w:color w:val="auto"/>
              </w:rPr>
            </w:pPr>
            <w:r>
              <w:rPr>
                <w:rFonts w:ascii="Arial" w:cs="Arial" w:eastAsia="Arial" w:hAnsi="Arial"/>
                <w:sz w:val="18"/>
                <w:szCs w:val="18"/>
                <w:i w:val="1"/>
                <w:iCs w:val="1"/>
                <w:color w:val="auto"/>
              </w:rPr>
              <w:t>(Willis Towers Watson)</w:t>
            </w:r>
          </w:p>
        </w:tc>
        <w:tc>
          <w:tcPr>
            <w:tcW w:w="100" w:type="dxa"/>
            <w:vAlign w:val="bottom"/>
            <w:shd w:val="clear" w:color="auto" w:fill="D9D9D9"/>
          </w:tcPr>
          <w:p>
            <w:pPr>
              <w:spacing w:after="0"/>
              <w:rPr>
                <w:sz w:val="20"/>
                <w:szCs w:val="20"/>
                <w:color w:val="auto"/>
              </w:rPr>
            </w:pPr>
            <w:r>
              <w:rPr>
                <w:rFonts w:ascii="Times New Roman" w:cs="Times New Roman" w:eastAsia="Times New Roman" w:hAnsi="Times New Roman"/>
                <w:sz w:val="16"/>
                <w:szCs w:val="16"/>
                <w:color w:val="auto"/>
              </w:rPr>
              <w:t>•</w:t>
            </w:r>
          </w:p>
        </w:tc>
        <w:tc>
          <w:tcPr>
            <w:tcW w:w="7680" w:type="dxa"/>
            <w:vAlign w:val="bottom"/>
            <w:shd w:val="clear" w:color="auto" w:fill="D9D9D9"/>
          </w:tcPr>
          <w:p>
            <w:pPr>
              <w:ind w:left="40"/>
              <w:spacing w:after="0"/>
              <w:rPr>
                <w:sz w:val="20"/>
                <w:szCs w:val="20"/>
                <w:color w:val="auto"/>
              </w:rPr>
            </w:pPr>
            <w:r>
              <w:rPr>
                <w:rFonts w:ascii="Arial" w:cs="Arial" w:eastAsia="Arial" w:hAnsi="Arial"/>
                <w:sz w:val="18"/>
                <w:szCs w:val="18"/>
                <w:color w:val="auto"/>
              </w:rPr>
              <w:t>Reviews total compensation strategy and pay levels for executives.</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3460" w:type="dxa"/>
            <w:vAlign w:val="bottom"/>
            <w:tcBorders>
              <w:right w:val="single" w:sz="8" w:color="D9D9D9"/>
            </w:tcBorders>
            <w:vMerge w:val="restart"/>
            <w:shd w:val="clear" w:color="auto" w:fill="D9D9D9"/>
          </w:tcPr>
          <w:p>
            <w:pPr>
              <w:spacing w:after="0"/>
              <w:rPr>
                <w:sz w:val="20"/>
                <w:szCs w:val="20"/>
                <w:color w:val="auto"/>
              </w:rPr>
            </w:pPr>
            <w:r>
              <w:rPr>
                <w:rFonts w:ascii="Arial" w:cs="Arial" w:eastAsia="Arial" w:hAnsi="Arial"/>
                <w:sz w:val="18"/>
                <w:szCs w:val="18"/>
                <w:i w:val="1"/>
                <w:iCs w:val="1"/>
                <w:color w:val="auto"/>
              </w:rPr>
              <w:t>(Independent under NYSE listing</w:t>
            </w:r>
          </w:p>
        </w:tc>
        <w:tc>
          <w:tcPr>
            <w:tcW w:w="100" w:type="dxa"/>
            <w:vAlign w:val="bottom"/>
            <w:shd w:val="clear" w:color="auto" w:fill="D9D9D9"/>
          </w:tcPr>
          <w:p>
            <w:pPr>
              <w:spacing w:after="0"/>
              <w:rPr>
                <w:sz w:val="20"/>
                <w:szCs w:val="20"/>
                <w:color w:val="auto"/>
              </w:rPr>
            </w:pPr>
            <w:r>
              <w:rPr>
                <w:rFonts w:ascii="Times New Roman" w:cs="Times New Roman" w:eastAsia="Times New Roman" w:hAnsi="Times New Roman"/>
                <w:sz w:val="16"/>
                <w:szCs w:val="16"/>
                <w:color w:val="auto"/>
              </w:rPr>
              <w:t>•</w:t>
            </w:r>
          </w:p>
        </w:tc>
        <w:tc>
          <w:tcPr>
            <w:tcW w:w="7680" w:type="dxa"/>
            <w:vAlign w:val="bottom"/>
            <w:shd w:val="clear" w:color="auto" w:fill="D9D9D9"/>
          </w:tcPr>
          <w:p>
            <w:pPr>
              <w:ind w:left="40"/>
              <w:spacing w:after="0"/>
              <w:rPr>
                <w:sz w:val="20"/>
                <w:szCs w:val="20"/>
                <w:color w:val="auto"/>
              </w:rPr>
            </w:pPr>
            <w:r>
              <w:rPr>
                <w:rFonts w:ascii="Arial" w:cs="Arial" w:eastAsia="Arial" w:hAnsi="Arial"/>
                <w:sz w:val="18"/>
                <w:szCs w:val="18"/>
                <w:color w:val="auto"/>
              </w:rPr>
              <w:t>Examines our executive compensation program to ensure that each element supports our</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3460" w:type="dxa"/>
            <w:vAlign w:val="bottom"/>
            <w:tcBorders>
              <w:right w:val="single" w:sz="8" w:color="D9D9D9"/>
            </w:tcBorders>
            <w:vMerge w:val="continue"/>
            <w:shd w:val="clear" w:color="auto" w:fill="D9D9D9"/>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7680" w:type="dxa"/>
            <w:vAlign w:val="bottom"/>
            <w:shd w:val="clear" w:color="auto" w:fill="D9D9D9"/>
          </w:tcPr>
          <w:p>
            <w:pPr>
              <w:ind w:left="40"/>
              <w:spacing w:after="0"/>
              <w:rPr>
                <w:sz w:val="20"/>
                <w:szCs w:val="20"/>
                <w:color w:val="auto"/>
              </w:rPr>
            </w:pPr>
            <w:r>
              <w:rPr>
                <w:rFonts w:ascii="Arial" w:cs="Arial" w:eastAsia="Arial" w:hAnsi="Arial"/>
                <w:sz w:val="18"/>
                <w:szCs w:val="18"/>
                <w:color w:val="auto"/>
              </w:rPr>
              <w:t>business strategy.</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3460" w:type="dxa"/>
            <w:vAlign w:val="bottom"/>
            <w:tcBorders>
              <w:right w:val="single" w:sz="8" w:color="D9D9D9"/>
            </w:tcBorders>
            <w:shd w:val="clear" w:color="auto" w:fill="D9D9D9"/>
          </w:tcPr>
          <w:p>
            <w:pPr>
              <w:spacing w:after="0"/>
              <w:rPr>
                <w:sz w:val="20"/>
                <w:szCs w:val="20"/>
                <w:color w:val="auto"/>
              </w:rPr>
            </w:pPr>
            <w:r>
              <w:rPr>
                <w:rFonts w:ascii="Arial" w:cs="Arial" w:eastAsia="Arial" w:hAnsi="Arial"/>
                <w:sz w:val="18"/>
                <w:szCs w:val="18"/>
                <w:i w:val="1"/>
                <w:iCs w:val="1"/>
                <w:color w:val="auto"/>
              </w:rPr>
              <w:t>standards and reports to the</w:t>
            </w:r>
          </w:p>
        </w:tc>
        <w:tc>
          <w:tcPr>
            <w:tcW w:w="100" w:type="dxa"/>
            <w:vAlign w:val="bottom"/>
            <w:shd w:val="clear" w:color="auto" w:fill="D9D9D9"/>
          </w:tcPr>
          <w:p>
            <w:pPr>
              <w:spacing w:after="0"/>
              <w:rPr>
                <w:sz w:val="20"/>
                <w:szCs w:val="20"/>
                <w:color w:val="auto"/>
              </w:rPr>
            </w:pPr>
            <w:r>
              <w:rPr>
                <w:rFonts w:ascii="Times New Roman" w:cs="Times New Roman" w:eastAsia="Times New Roman" w:hAnsi="Times New Roman"/>
                <w:sz w:val="16"/>
                <w:szCs w:val="16"/>
                <w:color w:val="auto"/>
              </w:rPr>
              <w:t>•</w:t>
            </w:r>
          </w:p>
        </w:tc>
        <w:tc>
          <w:tcPr>
            <w:tcW w:w="7680" w:type="dxa"/>
            <w:vAlign w:val="bottom"/>
            <w:shd w:val="clear" w:color="auto" w:fill="D9D9D9"/>
          </w:tcPr>
          <w:p>
            <w:pPr>
              <w:ind w:left="40"/>
              <w:spacing w:after="0"/>
              <w:rPr>
                <w:sz w:val="20"/>
                <w:szCs w:val="20"/>
                <w:color w:val="auto"/>
              </w:rPr>
            </w:pPr>
            <w:r>
              <w:rPr>
                <w:rFonts w:ascii="Arial" w:cs="Arial" w:eastAsia="Arial" w:hAnsi="Arial"/>
                <w:sz w:val="18"/>
                <w:szCs w:val="18"/>
                <w:color w:val="auto"/>
              </w:rPr>
              <w:t>Assists in gathering competitive market data.</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3460" w:type="dxa"/>
            <w:vAlign w:val="bottom"/>
            <w:tcBorders>
              <w:right w:val="single" w:sz="8" w:color="D9D9D9"/>
            </w:tcBorders>
            <w:shd w:val="clear" w:color="auto" w:fill="D9D9D9"/>
          </w:tcPr>
          <w:p>
            <w:pPr>
              <w:spacing w:after="0"/>
              <w:rPr>
                <w:sz w:val="20"/>
                <w:szCs w:val="20"/>
                <w:color w:val="auto"/>
              </w:rPr>
            </w:pPr>
            <w:r>
              <w:rPr>
                <w:rFonts w:ascii="Arial" w:cs="Arial" w:eastAsia="Arial" w:hAnsi="Arial"/>
                <w:sz w:val="18"/>
                <w:szCs w:val="18"/>
                <w:i w:val="1"/>
                <w:iCs w:val="1"/>
                <w:color w:val="auto"/>
              </w:rPr>
              <w:t>Compensation &amp; Human Resources</w:t>
            </w:r>
          </w:p>
        </w:tc>
        <w:tc>
          <w:tcPr>
            <w:tcW w:w="100" w:type="dxa"/>
            <w:vAlign w:val="bottom"/>
            <w:shd w:val="clear" w:color="auto" w:fill="D9D9D9"/>
          </w:tcPr>
          <w:p>
            <w:pPr>
              <w:spacing w:after="0"/>
              <w:rPr>
                <w:sz w:val="20"/>
                <w:szCs w:val="20"/>
                <w:color w:val="auto"/>
              </w:rPr>
            </w:pPr>
            <w:r>
              <w:rPr>
                <w:rFonts w:ascii="Times New Roman" w:cs="Times New Roman" w:eastAsia="Times New Roman" w:hAnsi="Times New Roman"/>
                <w:sz w:val="16"/>
                <w:szCs w:val="16"/>
                <w:color w:val="auto"/>
              </w:rPr>
              <w:t>•</w:t>
            </w:r>
          </w:p>
        </w:tc>
        <w:tc>
          <w:tcPr>
            <w:tcW w:w="7680" w:type="dxa"/>
            <w:vAlign w:val="bottom"/>
            <w:shd w:val="clear" w:color="auto" w:fill="D9D9D9"/>
          </w:tcPr>
          <w:p>
            <w:pPr>
              <w:ind w:left="40"/>
              <w:spacing w:after="0"/>
              <w:rPr>
                <w:sz w:val="20"/>
                <w:szCs w:val="20"/>
                <w:color w:val="auto"/>
              </w:rPr>
            </w:pPr>
            <w:r>
              <w:rPr>
                <w:rFonts w:ascii="Arial" w:cs="Arial" w:eastAsia="Arial" w:hAnsi="Arial"/>
                <w:sz w:val="18"/>
                <w:szCs w:val="18"/>
                <w:color w:val="auto"/>
              </w:rPr>
              <w:t>Provides advice with respect to our incentive plans, performance measures and equity</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3460" w:type="dxa"/>
            <w:vAlign w:val="bottom"/>
            <w:tcBorders>
              <w:right w:val="single" w:sz="8" w:color="D9D9D9"/>
            </w:tcBorders>
            <w:shd w:val="clear" w:color="auto" w:fill="D9D9D9"/>
          </w:tcPr>
          <w:p>
            <w:pPr>
              <w:spacing w:after="0"/>
              <w:rPr>
                <w:sz w:val="20"/>
                <w:szCs w:val="20"/>
                <w:color w:val="auto"/>
              </w:rPr>
            </w:pPr>
            <w:r>
              <w:rPr>
                <w:rFonts w:ascii="Arial" w:cs="Arial" w:eastAsia="Arial" w:hAnsi="Arial"/>
                <w:sz w:val="18"/>
                <w:szCs w:val="18"/>
                <w:i w:val="1"/>
                <w:iCs w:val="1"/>
                <w:color w:val="auto"/>
              </w:rPr>
              <w:t>Committee)</w:t>
            </w:r>
          </w:p>
        </w:tc>
        <w:tc>
          <w:tcPr>
            <w:tcW w:w="100" w:type="dxa"/>
            <w:vAlign w:val="bottom"/>
            <w:shd w:val="clear" w:color="auto" w:fill="D9D9D9"/>
          </w:tcPr>
          <w:p>
            <w:pPr>
              <w:spacing w:after="0" w:line="20" w:lineRule="exact"/>
              <w:rPr>
                <w:sz w:val="1"/>
                <w:szCs w:val="1"/>
                <w:color w:val="auto"/>
              </w:rPr>
            </w:pPr>
          </w:p>
        </w:tc>
        <w:tc>
          <w:tcPr>
            <w:tcW w:w="7680" w:type="dxa"/>
            <w:vAlign w:val="bottom"/>
            <w:shd w:val="clear" w:color="auto" w:fill="D9D9D9"/>
          </w:tcPr>
          <w:p>
            <w:pPr>
              <w:ind w:left="40"/>
              <w:spacing w:after="0"/>
              <w:rPr>
                <w:sz w:val="20"/>
                <w:szCs w:val="20"/>
                <w:color w:val="auto"/>
              </w:rPr>
            </w:pPr>
            <w:r>
              <w:rPr>
                <w:rFonts w:ascii="Arial" w:cs="Arial" w:eastAsia="Arial" w:hAnsi="Arial"/>
                <w:sz w:val="18"/>
                <w:szCs w:val="18"/>
                <w:color w:val="auto"/>
              </w:rPr>
              <w:t>compensation mix.</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3460" w:type="dxa"/>
            <w:vAlign w:val="bottom"/>
            <w:tcBorders>
              <w:right w:val="single" w:sz="8" w:color="D9D9D9"/>
            </w:tcBorders>
            <w:shd w:val="clear" w:color="auto" w:fill="D9D9D9"/>
          </w:tcPr>
          <w:p>
            <w:pPr>
              <w:spacing w:after="0" w:line="20" w:lineRule="exact"/>
              <w:rPr>
                <w:sz w:val="1"/>
                <w:szCs w:val="1"/>
                <w:color w:val="auto"/>
              </w:rPr>
            </w:pPr>
          </w:p>
        </w:tc>
        <w:tc>
          <w:tcPr>
            <w:tcW w:w="100" w:type="dxa"/>
            <w:vAlign w:val="bottom"/>
            <w:shd w:val="clear" w:color="auto" w:fill="D9D9D9"/>
          </w:tcPr>
          <w:p>
            <w:pPr>
              <w:spacing w:after="0"/>
              <w:rPr>
                <w:sz w:val="20"/>
                <w:szCs w:val="20"/>
                <w:color w:val="auto"/>
              </w:rPr>
            </w:pPr>
            <w:r>
              <w:rPr>
                <w:rFonts w:ascii="Times New Roman" w:cs="Times New Roman" w:eastAsia="Times New Roman" w:hAnsi="Times New Roman"/>
                <w:sz w:val="16"/>
                <w:szCs w:val="16"/>
                <w:color w:val="auto"/>
              </w:rPr>
              <w:t>•</w:t>
            </w:r>
          </w:p>
        </w:tc>
        <w:tc>
          <w:tcPr>
            <w:tcW w:w="7680" w:type="dxa"/>
            <w:vAlign w:val="bottom"/>
            <w:shd w:val="clear" w:color="auto" w:fill="D9D9D9"/>
          </w:tcPr>
          <w:p>
            <w:pPr>
              <w:ind w:left="40"/>
              <w:spacing w:after="0"/>
              <w:rPr>
                <w:sz w:val="20"/>
                <w:szCs w:val="20"/>
                <w:color w:val="auto"/>
              </w:rPr>
            </w:pPr>
            <w:r>
              <w:rPr>
                <w:rFonts w:ascii="Arial" w:cs="Arial" w:eastAsia="Arial" w:hAnsi="Arial"/>
                <w:sz w:val="18"/>
                <w:szCs w:val="18"/>
                <w:color w:val="auto"/>
              </w:rPr>
              <w:t>Periodically assesses risk as it related to our incentive plans.</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3460" w:type="dxa"/>
            <w:vAlign w:val="bottom"/>
            <w:tcBorders>
              <w:right w:val="single" w:sz="8" w:color="D9D9D9"/>
            </w:tcBorders>
            <w:shd w:val="clear" w:color="auto" w:fill="D9D9D9"/>
          </w:tcPr>
          <w:p>
            <w:pPr>
              <w:spacing w:after="0" w:line="20" w:lineRule="exact"/>
              <w:rPr>
                <w:sz w:val="1"/>
                <w:szCs w:val="1"/>
                <w:color w:val="auto"/>
              </w:rPr>
            </w:pPr>
          </w:p>
        </w:tc>
        <w:tc>
          <w:tcPr>
            <w:tcW w:w="100" w:type="dxa"/>
            <w:vAlign w:val="bottom"/>
            <w:shd w:val="clear" w:color="auto" w:fill="D9D9D9"/>
          </w:tcPr>
          <w:p>
            <w:pPr>
              <w:spacing w:after="0"/>
              <w:rPr>
                <w:sz w:val="20"/>
                <w:szCs w:val="20"/>
                <w:color w:val="auto"/>
              </w:rPr>
            </w:pPr>
            <w:r>
              <w:rPr>
                <w:rFonts w:ascii="Times New Roman" w:cs="Times New Roman" w:eastAsia="Times New Roman" w:hAnsi="Times New Roman"/>
                <w:sz w:val="16"/>
                <w:szCs w:val="16"/>
                <w:color w:val="auto"/>
              </w:rPr>
              <w:t>•</w:t>
            </w:r>
          </w:p>
        </w:tc>
        <w:tc>
          <w:tcPr>
            <w:tcW w:w="7680" w:type="dxa"/>
            <w:vAlign w:val="bottom"/>
            <w:shd w:val="clear" w:color="auto" w:fill="D9D9D9"/>
          </w:tcPr>
          <w:p>
            <w:pPr>
              <w:ind w:left="40"/>
              <w:spacing w:after="0"/>
              <w:rPr>
                <w:sz w:val="20"/>
                <w:szCs w:val="20"/>
                <w:color w:val="auto"/>
              </w:rPr>
            </w:pPr>
            <w:r>
              <w:rPr>
                <w:rFonts w:ascii="Arial" w:cs="Arial" w:eastAsia="Arial" w:hAnsi="Arial"/>
                <w:sz w:val="18"/>
                <w:szCs w:val="18"/>
                <w:color w:val="auto"/>
              </w:rPr>
              <w:t>Reviews structure and competitiveness of our non-employee director compensation program.</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3460" w:type="dxa"/>
            <w:vAlign w:val="bottom"/>
            <w:tcBorders>
              <w:right w:val="single" w:sz="8" w:color="D9D9D9"/>
            </w:tcBorders>
            <w:shd w:val="clear" w:color="auto" w:fill="D9D9D9"/>
          </w:tcPr>
          <w:p>
            <w:pPr>
              <w:spacing w:after="0" w:line="20" w:lineRule="exact"/>
              <w:rPr>
                <w:sz w:val="1"/>
                <w:szCs w:val="1"/>
                <w:color w:val="auto"/>
              </w:rPr>
            </w:pPr>
          </w:p>
        </w:tc>
        <w:tc>
          <w:tcPr>
            <w:tcW w:w="100" w:type="dxa"/>
            <w:vAlign w:val="bottom"/>
            <w:shd w:val="clear" w:color="auto" w:fill="D9D9D9"/>
          </w:tcPr>
          <w:p>
            <w:pPr>
              <w:spacing w:after="0"/>
              <w:rPr>
                <w:sz w:val="20"/>
                <w:szCs w:val="20"/>
                <w:color w:val="auto"/>
              </w:rPr>
            </w:pPr>
            <w:r>
              <w:rPr>
                <w:rFonts w:ascii="Times New Roman" w:cs="Times New Roman" w:eastAsia="Times New Roman" w:hAnsi="Times New Roman"/>
                <w:sz w:val="16"/>
                <w:szCs w:val="16"/>
                <w:color w:val="auto"/>
              </w:rPr>
              <w:t>•</w:t>
            </w:r>
          </w:p>
        </w:tc>
        <w:tc>
          <w:tcPr>
            <w:tcW w:w="7680" w:type="dxa"/>
            <w:vAlign w:val="bottom"/>
            <w:shd w:val="clear" w:color="auto" w:fill="D9D9D9"/>
          </w:tcPr>
          <w:p>
            <w:pPr>
              <w:ind w:left="40"/>
              <w:spacing w:after="0"/>
              <w:rPr>
                <w:sz w:val="20"/>
                <w:szCs w:val="20"/>
                <w:color w:val="auto"/>
              </w:rPr>
            </w:pPr>
            <w:r>
              <w:rPr>
                <w:rFonts w:ascii="Arial" w:cs="Arial" w:eastAsia="Arial" w:hAnsi="Arial"/>
                <w:sz w:val="18"/>
                <w:szCs w:val="18"/>
                <w:color w:val="auto"/>
              </w:rPr>
              <w:t>Regularly attends Compensation &amp; Human Resources Committee meetings.</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3460" w:type="dxa"/>
            <w:vAlign w:val="bottom"/>
          </w:tcPr>
          <w:p>
            <w:pPr>
              <w:spacing w:after="0"/>
              <w:rPr>
                <w:sz w:val="20"/>
                <w:szCs w:val="20"/>
                <w:color w:val="auto"/>
              </w:rPr>
            </w:pPr>
            <w:r>
              <w:rPr>
                <w:rFonts w:ascii="Arial" w:cs="Arial" w:eastAsia="Arial" w:hAnsi="Arial"/>
                <w:sz w:val="18"/>
                <w:szCs w:val="18"/>
                <w:color w:val="auto"/>
              </w:rPr>
              <w:t>Management</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680" w:type="dxa"/>
            <w:vAlign w:val="bottom"/>
          </w:tcPr>
          <w:p>
            <w:pPr>
              <w:ind w:left="40"/>
              <w:spacing w:after="0"/>
              <w:rPr>
                <w:sz w:val="20"/>
                <w:szCs w:val="20"/>
                <w:color w:val="auto"/>
              </w:rPr>
            </w:pPr>
            <w:r>
              <w:rPr>
                <w:rFonts w:ascii="Arial" w:cs="Arial" w:eastAsia="Arial" w:hAnsi="Arial"/>
                <w:sz w:val="18"/>
                <w:szCs w:val="18"/>
                <w:color w:val="auto"/>
              </w:rPr>
              <w:t>Provides compensation information to Compensation &amp; Human Resources Committee and</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3460" w:type="dxa"/>
            <w:vAlign w:val="bottom"/>
          </w:tcPr>
          <w:p>
            <w:pPr>
              <w:spacing w:after="0"/>
              <w:rPr>
                <w:sz w:val="20"/>
                <w:szCs w:val="20"/>
                <w:color w:val="auto"/>
              </w:rPr>
            </w:pPr>
            <w:r>
              <w:rPr>
                <w:rFonts w:ascii="Arial" w:cs="Arial" w:eastAsia="Arial" w:hAnsi="Arial"/>
                <w:sz w:val="18"/>
                <w:szCs w:val="18"/>
                <w:i w:val="1"/>
                <w:iCs w:val="1"/>
                <w:color w:val="auto"/>
              </w:rPr>
              <w:t>(Chairman and CEO, former Vice</w:t>
            </w:r>
          </w:p>
        </w:tc>
        <w:tc>
          <w:tcPr>
            <w:tcW w:w="100" w:type="dxa"/>
            <w:vAlign w:val="bottom"/>
          </w:tcPr>
          <w:p>
            <w:pPr>
              <w:spacing w:after="0" w:line="20" w:lineRule="exact"/>
              <w:rPr>
                <w:sz w:val="1"/>
                <w:szCs w:val="1"/>
                <w:color w:val="auto"/>
              </w:rPr>
            </w:pPr>
          </w:p>
        </w:tc>
        <w:tc>
          <w:tcPr>
            <w:tcW w:w="7680" w:type="dxa"/>
            <w:vAlign w:val="bottom"/>
          </w:tcPr>
          <w:p>
            <w:pPr>
              <w:ind w:left="40"/>
              <w:spacing w:after="0"/>
              <w:rPr>
                <w:sz w:val="20"/>
                <w:szCs w:val="20"/>
                <w:color w:val="auto"/>
              </w:rPr>
            </w:pPr>
            <w:r>
              <w:rPr>
                <w:rFonts w:ascii="Arial" w:cs="Arial" w:eastAsia="Arial" w:hAnsi="Arial"/>
                <w:sz w:val="18"/>
                <w:szCs w:val="18"/>
                <w:color w:val="auto"/>
              </w:rPr>
              <w:t>external compensation consultant to assist them in making and recommending compensation.</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3460" w:type="dxa"/>
            <w:vAlign w:val="bottom"/>
          </w:tcPr>
          <w:p>
            <w:pPr>
              <w:spacing w:after="0"/>
              <w:rPr>
                <w:sz w:val="20"/>
                <w:szCs w:val="20"/>
                <w:color w:val="auto"/>
              </w:rPr>
            </w:pPr>
            <w:r>
              <w:rPr>
                <w:rFonts w:ascii="Arial" w:cs="Arial" w:eastAsia="Arial" w:hAnsi="Arial"/>
                <w:sz w:val="18"/>
                <w:szCs w:val="18"/>
                <w:i w:val="1"/>
                <w:iCs w:val="1"/>
                <w:color w:val="auto"/>
              </w:rPr>
              <w:t>President, Human Resources and General</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680" w:type="dxa"/>
            <w:vAlign w:val="bottom"/>
          </w:tcPr>
          <w:p>
            <w:pPr>
              <w:ind w:left="40"/>
              <w:spacing w:after="0"/>
              <w:rPr>
                <w:sz w:val="20"/>
                <w:szCs w:val="20"/>
                <w:color w:val="auto"/>
              </w:rPr>
            </w:pPr>
            <w:r>
              <w:rPr>
                <w:rFonts w:ascii="Arial" w:cs="Arial" w:eastAsia="Arial" w:hAnsi="Arial"/>
                <w:sz w:val="18"/>
                <w:szCs w:val="18"/>
                <w:color w:val="auto"/>
              </w:rPr>
              <w:t>Confers with the Compensation &amp; Human Resources Committee and external compensation</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3460" w:type="dxa"/>
            <w:vAlign w:val="bottom"/>
          </w:tcPr>
          <w:p>
            <w:pPr>
              <w:spacing w:after="0"/>
              <w:rPr>
                <w:sz w:val="20"/>
                <w:szCs w:val="20"/>
                <w:color w:val="auto"/>
              </w:rPr>
            </w:pPr>
            <w:r>
              <w:rPr>
                <w:rFonts w:ascii="Arial" w:cs="Arial" w:eastAsia="Arial" w:hAnsi="Arial"/>
                <w:sz w:val="18"/>
                <w:szCs w:val="18"/>
                <w:i w:val="1"/>
                <w:iCs w:val="1"/>
                <w:color w:val="auto"/>
              </w:rPr>
              <w:t>Counsel, current Vice President, Human</w:t>
            </w:r>
          </w:p>
        </w:tc>
        <w:tc>
          <w:tcPr>
            <w:tcW w:w="100" w:type="dxa"/>
            <w:vAlign w:val="bottom"/>
          </w:tcPr>
          <w:p>
            <w:pPr>
              <w:spacing w:after="0" w:line="20" w:lineRule="exact"/>
              <w:rPr>
                <w:sz w:val="1"/>
                <w:szCs w:val="1"/>
                <w:color w:val="auto"/>
              </w:rPr>
            </w:pPr>
          </w:p>
        </w:tc>
        <w:tc>
          <w:tcPr>
            <w:tcW w:w="7680" w:type="dxa"/>
            <w:vAlign w:val="bottom"/>
          </w:tcPr>
          <w:p>
            <w:pPr>
              <w:ind w:left="40"/>
              <w:spacing w:after="0"/>
              <w:rPr>
                <w:sz w:val="20"/>
                <w:szCs w:val="20"/>
                <w:color w:val="auto"/>
              </w:rPr>
            </w:pPr>
            <w:r>
              <w:rPr>
                <w:rFonts w:ascii="Arial" w:cs="Arial" w:eastAsia="Arial" w:hAnsi="Arial"/>
                <w:sz w:val="18"/>
                <w:szCs w:val="18"/>
                <w:color w:val="auto"/>
              </w:rPr>
              <w:t>consultant concerning design and development of compensation and benefit plans.</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3460" w:type="dxa"/>
            <w:vAlign w:val="bottom"/>
          </w:tcPr>
          <w:p>
            <w:pPr>
              <w:spacing w:after="0"/>
              <w:rPr>
                <w:sz w:val="20"/>
                <w:szCs w:val="20"/>
                <w:color w:val="auto"/>
              </w:rPr>
            </w:pPr>
            <w:r>
              <w:rPr>
                <w:rFonts w:ascii="Arial" w:cs="Arial" w:eastAsia="Arial" w:hAnsi="Arial"/>
                <w:sz w:val="18"/>
                <w:szCs w:val="18"/>
                <w:i w:val="1"/>
                <w:iCs w:val="1"/>
                <w:color w:val="auto"/>
              </w:rPr>
              <w:t>Resources and Managing Director, Total</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680" w:type="dxa"/>
            <w:vAlign w:val="bottom"/>
          </w:tcPr>
          <w:p>
            <w:pPr>
              <w:ind w:left="40"/>
              <w:spacing w:after="0"/>
              <w:rPr>
                <w:sz w:val="20"/>
                <w:szCs w:val="20"/>
                <w:color w:val="auto"/>
              </w:rPr>
            </w:pPr>
            <w:r>
              <w:rPr>
                <w:rFonts w:ascii="Arial" w:cs="Arial" w:eastAsia="Arial" w:hAnsi="Arial"/>
                <w:sz w:val="18"/>
                <w:szCs w:val="18"/>
                <w:color w:val="auto"/>
              </w:rPr>
              <w:t>Provides analysis and recommendations on executive officer compensation to the</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3460" w:type="dxa"/>
            <w:vAlign w:val="bottom"/>
          </w:tcPr>
          <w:p>
            <w:pPr>
              <w:spacing w:after="0"/>
              <w:rPr>
                <w:sz w:val="20"/>
                <w:szCs w:val="20"/>
                <w:color w:val="auto"/>
              </w:rPr>
            </w:pPr>
            <w:r>
              <w:rPr>
                <w:rFonts w:ascii="Arial" w:cs="Arial" w:eastAsia="Arial" w:hAnsi="Arial"/>
                <w:sz w:val="18"/>
                <w:szCs w:val="18"/>
                <w:i w:val="1"/>
                <w:iCs w:val="1"/>
                <w:color w:val="auto"/>
              </w:rPr>
              <w:t>Rewards and Employee Services)</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7680" w:type="dxa"/>
            <w:vAlign w:val="bottom"/>
          </w:tcPr>
          <w:p>
            <w:pPr>
              <w:ind w:left="40"/>
              <w:spacing w:after="0"/>
              <w:rPr>
                <w:sz w:val="20"/>
                <w:szCs w:val="20"/>
                <w:color w:val="auto"/>
              </w:rPr>
            </w:pPr>
            <w:r>
              <w:rPr>
                <w:rFonts w:ascii="Arial" w:cs="Arial" w:eastAsia="Arial" w:hAnsi="Arial"/>
                <w:sz w:val="18"/>
                <w:szCs w:val="18"/>
                <w:color w:val="auto"/>
              </w:rPr>
              <w:t>Compensation &amp; Human Resources Committee.</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346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7680" w:type="dxa"/>
            <w:vAlign w:val="bottom"/>
          </w:tcPr>
          <w:p>
            <w:pPr>
              <w:ind w:left="40"/>
              <w:spacing w:after="0"/>
              <w:rPr>
                <w:sz w:val="20"/>
                <w:szCs w:val="20"/>
                <w:color w:val="auto"/>
              </w:rPr>
            </w:pPr>
            <w:r>
              <w:rPr>
                <w:rFonts w:ascii="Arial" w:cs="Arial" w:eastAsia="Arial" w:hAnsi="Arial"/>
                <w:sz w:val="18"/>
                <w:szCs w:val="18"/>
                <w:color w:val="auto"/>
              </w:rPr>
              <w:t>Reviews performance of executive officers.</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3460" w:type="dxa"/>
            <w:vAlign w:val="bottom"/>
            <w:tcBorders>
              <w:right w:val="single" w:sz="8" w:color="BFBFBF"/>
            </w:tcBorders>
            <w:shd w:val="clear" w:color="auto" w:fill="BFBFBF"/>
          </w:tcPr>
          <w:p>
            <w:pPr>
              <w:spacing w:after="0" w:line="20" w:lineRule="exact"/>
              <w:rPr>
                <w:sz w:val="1"/>
                <w:szCs w:val="1"/>
                <w:color w:val="auto"/>
              </w:rPr>
            </w:pPr>
          </w:p>
        </w:tc>
        <w:tc>
          <w:tcPr>
            <w:tcW w:w="100" w:type="dxa"/>
            <w:vAlign w:val="bottom"/>
            <w:shd w:val="clear" w:color="auto" w:fill="BFBFBF"/>
          </w:tcPr>
          <w:p>
            <w:pPr>
              <w:spacing w:after="0"/>
              <w:rPr>
                <w:sz w:val="20"/>
                <w:szCs w:val="20"/>
                <w:color w:val="auto"/>
              </w:rPr>
            </w:pPr>
            <w:r>
              <w:rPr>
                <w:rFonts w:ascii="Times New Roman" w:cs="Times New Roman" w:eastAsia="Times New Roman" w:hAnsi="Times New Roman"/>
                <w:sz w:val="16"/>
                <w:szCs w:val="16"/>
                <w:color w:val="auto"/>
              </w:rPr>
              <w:t>•</w:t>
            </w:r>
          </w:p>
        </w:tc>
        <w:tc>
          <w:tcPr>
            <w:tcW w:w="7680" w:type="dxa"/>
            <w:vAlign w:val="bottom"/>
            <w:shd w:val="clear" w:color="auto" w:fill="BFBFBF"/>
          </w:tcPr>
          <w:p>
            <w:pPr>
              <w:ind w:left="40"/>
              <w:spacing w:after="0"/>
              <w:rPr>
                <w:sz w:val="20"/>
                <w:szCs w:val="20"/>
                <w:color w:val="auto"/>
              </w:rPr>
            </w:pPr>
            <w:r>
              <w:rPr>
                <w:rFonts w:ascii="Arial" w:cs="Arial" w:eastAsia="Arial" w:hAnsi="Arial"/>
                <w:sz w:val="18"/>
                <w:szCs w:val="18"/>
                <w:color w:val="auto"/>
              </w:rPr>
              <w:t>Provides no input or recommendations with respect to their own compensation.</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Compensation and Human Resources Committee Report</w:t>
      </w:r>
    </w:p>
    <w:p>
      <w:pPr>
        <w:spacing w:after="0" w:line="99" w:lineRule="exact"/>
        <w:rPr>
          <w:sz w:val="20"/>
          <w:szCs w:val="20"/>
          <w:color w:val="auto"/>
        </w:rPr>
      </w:pPr>
    </w:p>
    <w:p>
      <w:pPr>
        <w:ind w:firstLine="401"/>
        <w:spacing w:after="0" w:line="253" w:lineRule="auto"/>
        <w:rPr>
          <w:sz w:val="20"/>
          <w:szCs w:val="20"/>
          <w:color w:val="auto"/>
        </w:rPr>
      </w:pPr>
      <w:r>
        <w:rPr>
          <w:rFonts w:ascii="Arial" w:cs="Arial" w:eastAsia="Arial" w:hAnsi="Arial"/>
          <w:sz w:val="18"/>
          <w:szCs w:val="18"/>
          <w:color w:val="auto"/>
        </w:rPr>
        <w:t>The Compensation &amp; Human Resources Committee has reviewed and discussed the foregoing “Compensation Discussion and Analysis” with Management and, based on such review and discussions, recommended to the Board that the “Compensation Discussion and Analysis” be included in this proxy statement and in our Annual Report on Form 10-K for the fiscal year ended October 31, 2022.</w:t>
      </w: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C00000"/>
        </w:rPr>
        <w:t>Compensation &amp; Human Resources Committee: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James C. O‘Rourke (Chair)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Jeffrey M. Ettinger</w:t>
      </w:r>
    </w:p>
    <w:p>
      <w:pPr>
        <w:jc w:val="center"/>
        <w:ind w:right="-39"/>
        <w:spacing w:after="0" w:line="234" w:lineRule="auto"/>
        <w:rPr>
          <w:sz w:val="20"/>
          <w:szCs w:val="20"/>
          <w:color w:val="auto"/>
        </w:rPr>
      </w:pPr>
      <w:r>
        <w:rPr>
          <w:rFonts w:ascii="Arial" w:cs="Arial" w:eastAsia="Arial" w:hAnsi="Arial"/>
          <w:sz w:val="18"/>
          <w:szCs w:val="18"/>
          <w:color w:val="auto"/>
        </w:rPr>
        <w:t>Eric P. Hansotia</w:t>
      </w:r>
    </w:p>
    <w:p>
      <w:pPr>
        <w:jc w:val="center"/>
        <w:ind w:right="-39"/>
        <w:spacing w:after="0" w:line="235" w:lineRule="auto"/>
        <w:rPr>
          <w:sz w:val="20"/>
          <w:szCs w:val="20"/>
          <w:color w:val="auto"/>
        </w:rPr>
      </w:pPr>
      <w:r>
        <w:rPr>
          <w:rFonts w:ascii="Arial" w:cs="Arial" w:eastAsia="Arial" w:hAnsi="Arial"/>
          <w:sz w:val="18"/>
          <w:szCs w:val="18"/>
          <w:color w:val="auto"/>
        </w:rPr>
        <w:t>D. Christian Koch</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Joyce A. Mullen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2057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EXECUTIVE COMPENSATION</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Summary Compensation Table</w:t>
      </w:r>
    </w:p>
    <w:p>
      <w:pPr>
        <w:spacing w:after="0" w:line="99" w:lineRule="exact"/>
        <w:rPr>
          <w:sz w:val="20"/>
          <w:szCs w:val="20"/>
          <w:color w:val="auto"/>
        </w:rPr>
      </w:pPr>
    </w:p>
    <w:p>
      <w:pPr>
        <w:ind w:right="20" w:firstLine="401"/>
        <w:spacing w:after="0"/>
        <w:rPr>
          <w:sz w:val="20"/>
          <w:szCs w:val="20"/>
          <w:color w:val="auto"/>
        </w:rPr>
      </w:pPr>
      <w:r>
        <w:rPr>
          <w:rFonts w:ascii="Arial" w:cs="Arial" w:eastAsia="Arial" w:hAnsi="Arial"/>
          <w:sz w:val="18"/>
          <w:szCs w:val="18"/>
          <w:color w:val="auto"/>
        </w:rPr>
        <w:t>The following table summarizes compensation for each of the last three fiscal years awarded to, earned by or paid to individuals who served as our principal executive officer and principal financial officer and each of the other three most highly compensated executive officers during fiscal 2022. We collectively refer to these as our “named executive officers,” or NEOs. The “Compensation Discussion and Analysis” provides additional information about compensation paid to our NEOs. Amounts in this Summary Compensation Table are not reduced to reflect any elections to defer receipt of base salary, annual cash incentive award payouts or performance share award payouts. Elections to defer these forms of compensation are described in more detail under “Nonqualified Deferred Compensation for Fiscal 2022.” Earnings on nonqualified deferred compensation are not on a basis that is considered to be above-market or preferential.</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180" w:type="dxa"/>
            <w:vAlign w:val="bottom"/>
            <w:shd w:val="clear" w:color="auto" w:fill="C00000"/>
          </w:tcPr>
          <w:p>
            <w:pPr>
              <w:spacing w:after="0"/>
              <w:rPr>
                <w:sz w:val="14"/>
                <w:szCs w:val="14"/>
                <w:color w:val="auto"/>
              </w:rPr>
            </w:pPr>
          </w:p>
        </w:tc>
        <w:tc>
          <w:tcPr>
            <w:tcW w:w="120" w:type="dxa"/>
            <w:vAlign w:val="bottom"/>
            <w:shd w:val="clear" w:color="auto" w:fill="C00000"/>
          </w:tcPr>
          <w:p>
            <w:pPr>
              <w:spacing w:after="0"/>
              <w:rPr>
                <w:sz w:val="14"/>
                <w:szCs w:val="14"/>
                <w:color w:val="auto"/>
              </w:rPr>
            </w:pPr>
          </w:p>
        </w:tc>
        <w:tc>
          <w:tcPr>
            <w:tcW w:w="600" w:type="dxa"/>
            <w:vAlign w:val="bottom"/>
            <w:shd w:val="clear" w:color="auto" w:fill="C00000"/>
          </w:tcPr>
          <w:p>
            <w:pPr>
              <w:spacing w:after="0"/>
              <w:rPr>
                <w:sz w:val="14"/>
                <w:szCs w:val="14"/>
                <w:color w:val="auto"/>
              </w:rPr>
            </w:pPr>
          </w:p>
        </w:tc>
        <w:tc>
          <w:tcPr>
            <w:tcW w:w="900" w:type="dxa"/>
            <w:vAlign w:val="bottom"/>
            <w:shd w:val="clear" w:color="auto" w:fill="C00000"/>
          </w:tcPr>
          <w:p>
            <w:pPr>
              <w:spacing w:after="0"/>
              <w:rPr>
                <w:sz w:val="14"/>
                <w:szCs w:val="14"/>
                <w:color w:val="auto"/>
              </w:rPr>
            </w:pPr>
          </w:p>
        </w:tc>
        <w:tc>
          <w:tcPr>
            <w:tcW w:w="820" w:type="dxa"/>
            <w:vAlign w:val="bottom"/>
            <w:shd w:val="clear" w:color="auto" w:fill="C00000"/>
          </w:tcPr>
          <w:p>
            <w:pPr>
              <w:spacing w:after="0"/>
              <w:rPr>
                <w:sz w:val="14"/>
                <w:szCs w:val="14"/>
                <w:color w:val="auto"/>
              </w:rPr>
            </w:pPr>
          </w:p>
        </w:tc>
        <w:tc>
          <w:tcPr>
            <w:tcW w:w="940" w:type="dxa"/>
            <w:vAlign w:val="bottom"/>
            <w:shd w:val="clear" w:color="auto" w:fill="C00000"/>
          </w:tcPr>
          <w:p>
            <w:pPr>
              <w:spacing w:after="0"/>
              <w:rPr>
                <w:sz w:val="14"/>
                <w:szCs w:val="14"/>
                <w:color w:val="auto"/>
              </w:rPr>
            </w:pPr>
          </w:p>
        </w:tc>
        <w:tc>
          <w:tcPr>
            <w:tcW w:w="920" w:type="dxa"/>
            <w:vAlign w:val="bottom"/>
            <w:shd w:val="clear" w:color="auto" w:fill="C00000"/>
          </w:tcPr>
          <w:p>
            <w:pPr>
              <w:spacing w:after="0"/>
              <w:rPr>
                <w:sz w:val="14"/>
                <w:szCs w:val="14"/>
                <w:color w:val="auto"/>
              </w:rPr>
            </w:pPr>
          </w:p>
        </w:tc>
        <w:tc>
          <w:tcPr>
            <w:tcW w:w="1500" w:type="dxa"/>
            <w:vAlign w:val="bottom"/>
            <w:shd w:val="clear" w:color="auto" w:fill="C00000"/>
          </w:tcPr>
          <w:p>
            <w:pPr>
              <w:jc w:val="center"/>
              <w:ind w:right="32"/>
              <w:spacing w:after="0"/>
              <w:rPr>
                <w:sz w:val="20"/>
                <w:szCs w:val="20"/>
                <w:color w:val="auto"/>
              </w:rPr>
            </w:pPr>
            <w:r>
              <w:rPr>
                <w:rFonts w:ascii="Arial" w:cs="Arial" w:eastAsia="Arial" w:hAnsi="Arial"/>
                <w:sz w:val="14"/>
                <w:szCs w:val="14"/>
                <w:b w:val="1"/>
                <w:bCs w:val="1"/>
                <w:color w:val="FFFFFF"/>
              </w:rPr>
              <w:t>Non-Equity</w:t>
            </w:r>
          </w:p>
        </w:tc>
        <w:tc>
          <w:tcPr>
            <w:tcW w:w="1520" w:type="dxa"/>
            <w:vAlign w:val="bottom"/>
            <w:shd w:val="clear" w:color="auto" w:fill="C00000"/>
          </w:tcPr>
          <w:p>
            <w:pPr>
              <w:spacing w:after="0"/>
              <w:rPr>
                <w:sz w:val="14"/>
                <w:szCs w:val="14"/>
                <w:color w:val="auto"/>
              </w:rPr>
            </w:pPr>
          </w:p>
        </w:tc>
        <w:tc>
          <w:tcPr>
            <w:tcW w:w="740" w:type="dxa"/>
            <w:vAlign w:val="bottom"/>
            <w:shd w:val="clear" w:color="auto" w:fill="C00000"/>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180" w:type="dxa"/>
            <w:vAlign w:val="bottom"/>
            <w:shd w:val="clear" w:color="auto" w:fill="C00000"/>
          </w:tcPr>
          <w:p>
            <w:pPr>
              <w:spacing w:after="0"/>
              <w:rPr>
                <w:sz w:val="13"/>
                <w:szCs w:val="13"/>
                <w:color w:val="auto"/>
              </w:rPr>
            </w:pPr>
          </w:p>
        </w:tc>
        <w:tc>
          <w:tcPr>
            <w:tcW w:w="120" w:type="dxa"/>
            <w:vAlign w:val="bottom"/>
            <w:shd w:val="clear" w:color="auto" w:fill="C00000"/>
          </w:tcPr>
          <w:p>
            <w:pPr>
              <w:spacing w:after="0"/>
              <w:rPr>
                <w:sz w:val="13"/>
                <w:szCs w:val="13"/>
                <w:color w:val="auto"/>
              </w:rPr>
            </w:pPr>
          </w:p>
        </w:tc>
        <w:tc>
          <w:tcPr>
            <w:tcW w:w="600" w:type="dxa"/>
            <w:vAlign w:val="bottom"/>
            <w:shd w:val="clear" w:color="auto" w:fill="C00000"/>
          </w:tcPr>
          <w:p>
            <w:pPr>
              <w:spacing w:after="0"/>
              <w:rPr>
                <w:sz w:val="13"/>
                <w:szCs w:val="13"/>
                <w:color w:val="auto"/>
              </w:rPr>
            </w:pPr>
          </w:p>
        </w:tc>
        <w:tc>
          <w:tcPr>
            <w:tcW w:w="900" w:type="dxa"/>
            <w:vAlign w:val="bottom"/>
            <w:shd w:val="clear" w:color="auto" w:fill="C00000"/>
          </w:tcPr>
          <w:p>
            <w:pPr>
              <w:spacing w:after="0"/>
              <w:rPr>
                <w:sz w:val="13"/>
                <w:szCs w:val="13"/>
                <w:color w:val="auto"/>
              </w:rPr>
            </w:pPr>
          </w:p>
        </w:tc>
        <w:tc>
          <w:tcPr>
            <w:tcW w:w="820" w:type="dxa"/>
            <w:vAlign w:val="bottom"/>
            <w:shd w:val="clear" w:color="auto" w:fill="C00000"/>
          </w:tcPr>
          <w:p>
            <w:pPr>
              <w:spacing w:after="0"/>
              <w:rPr>
                <w:sz w:val="13"/>
                <w:szCs w:val="13"/>
                <w:color w:val="auto"/>
              </w:rPr>
            </w:pPr>
          </w:p>
        </w:tc>
        <w:tc>
          <w:tcPr>
            <w:tcW w:w="940" w:type="dxa"/>
            <w:vAlign w:val="bottom"/>
            <w:shd w:val="clear" w:color="auto" w:fill="C00000"/>
          </w:tcPr>
          <w:p>
            <w:pPr>
              <w:jc w:val="center"/>
              <w:spacing w:after="0" w:line="157" w:lineRule="exact"/>
              <w:rPr>
                <w:sz w:val="20"/>
                <w:szCs w:val="20"/>
                <w:color w:val="auto"/>
              </w:rPr>
            </w:pPr>
            <w:r>
              <w:rPr>
                <w:rFonts w:ascii="Arial" w:cs="Arial" w:eastAsia="Arial" w:hAnsi="Arial"/>
                <w:sz w:val="14"/>
                <w:szCs w:val="14"/>
                <w:b w:val="1"/>
                <w:bCs w:val="1"/>
                <w:color w:val="FFFFFF"/>
                <w:w w:val="99"/>
              </w:rPr>
              <w:t>Stock</w:t>
            </w:r>
          </w:p>
        </w:tc>
        <w:tc>
          <w:tcPr>
            <w:tcW w:w="920" w:type="dxa"/>
            <w:vAlign w:val="bottom"/>
            <w:shd w:val="clear" w:color="auto" w:fill="C00000"/>
          </w:tcPr>
          <w:p>
            <w:pPr>
              <w:jc w:val="center"/>
              <w:ind w:right="32"/>
              <w:spacing w:after="0" w:line="157" w:lineRule="exact"/>
              <w:rPr>
                <w:sz w:val="20"/>
                <w:szCs w:val="20"/>
                <w:color w:val="auto"/>
              </w:rPr>
            </w:pPr>
            <w:r>
              <w:rPr>
                <w:rFonts w:ascii="Arial" w:cs="Arial" w:eastAsia="Arial" w:hAnsi="Arial"/>
                <w:sz w:val="14"/>
                <w:szCs w:val="14"/>
                <w:b w:val="1"/>
                <w:bCs w:val="1"/>
                <w:color w:val="FFFFFF"/>
              </w:rPr>
              <w:t>Option</w:t>
            </w:r>
          </w:p>
        </w:tc>
        <w:tc>
          <w:tcPr>
            <w:tcW w:w="1500" w:type="dxa"/>
            <w:vAlign w:val="bottom"/>
            <w:shd w:val="clear" w:color="auto" w:fill="C00000"/>
          </w:tcPr>
          <w:p>
            <w:pPr>
              <w:jc w:val="center"/>
              <w:ind w:right="32"/>
              <w:spacing w:after="0" w:line="157" w:lineRule="exact"/>
              <w:rPr>
                <w:sz w:val="20"/>
                <w:szCs w:val="20"/>
                <w:color w:val="auto"/>
              </w:rPr>
            </w:pPr>
            <w:r>
              <w:rPr>
                <w:rFonts w:ascii="Arial" w:cs="Arial" w:eastAsia="Arial" w:hAnsi="Arial"/>
                <w:sz w:val="14"/>
                <w:szCs w:val="14"/>
                <w:b w:val="1"/>
                <w:bCs w:val="1"/>
                <w:color w:val="FFFFFF"/>
              </w:rPr>
              <w:t>Incentive Plan</w:t>
            </w:r>
          </w:p>
        </w:tc>
        <w:tc>
          <w:tcPr>
            <w:tcW w:w="1520" w:type="dxa"/>
            <w:vAlign w:val="bottom"/>
            <w:shd w:val="clear" w:color="auto" w:fill="C00000"/>
          </w:tcPr>
          <w:p>
            <w:pPr>
              <w:jc w:val="center"/>
              <w:ind w:right="52"/>
              <w:spacing w:after="0" w:line="157" w:lineRule="exact"/>
              <w:rPr>
                <w:sz w:val="20"/>
                <w:szCs w:val="20"/>
                <w:color w:val="auto"/>
              </w:rPr>
            </w:pPr>
            <w:r>
              <w:rPr>
                <w:rFonts w:ascii="Arial" w:cs="Arial" w:eastAsia="Arial" w:hAnsi="Arial"/>
                <w:sz w:val="14"/>
                <w:szCs w:val="14"/>
                <w:b w:val="1"/>
                <w:bCs w:val="1"/>
                <w:color w:val="FFFFFF"/>
              </w:rPr>
              <w:t>All Other</w:t>
            </w:r>
          </w:p>
        </w:tc>
        <w:tc>
          <w:tcPr>
            <w:tcW w:w="740" w:type="dxa"/>
            <w:vAlign w:val="bottom"/>
            <w:shd w:val="clear" w:color="auto" w:fill="C00000"/>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18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Name and</w:t>
            </w:r>
          </w:p>
        </w:tc>
        <w:tc>
          <w:tcPr>
            <w:tcW w:w="120" w:type="dxa"/>
            <w:vAlign w:val="bottom"/>
            <w:shd w:val="clear" w:color="auto" w:fill="C00000"/>
          </w:tcPr>
          <w:p>
            <w:pPr>
              <w:spacing w:after="0"/>
              <w:rPr>
                <w:sz w:val="14"/>
                <w:szCs w:val="14"/>
                <w:color w:val="auto"/>
              </w:rPr>
            </w:pPr>
          </w:p>
        </w:tc>
        <w:tc>
          <w:tcPr>
            <w:tcW w:w="600" w:type="dxa"/>
            <w:vAlign w:val="bottom"/>
            <w:shd w:val="clear" w:color="auto" w:fill="C00000"/>
          </w:tcPr>
          <w:p>
            <w:pPr>
              <w:jc w:val="center"/>
              <w:ind w:right="11"/>
              <w:spacing w:after="0"/>
              <w:rPr>
                <w:sz w:val="20"/>
                <w:szCs w:val="20"/>
                <w:color w:val="auto"/>
              </w:rPr>
            </w:pPr>
            <w:r>
              <w:rPr>
                <w:rFonts w:ascii="Arial" w:cs="Arial" w:eastAsia="Arial" w:hAnsi="Arial"/>
                <w:sz w:val="14"/>
                <w:szCs w:val="14"/>
                <w:b w:val="1"/>
                <w:bCs w:val="1"/>
                <w:color w:val="FFFFFF"/>
              </w:rPr>
              <w:t>Fiscal</w:t>
            </w:r>
          </w:p>
        </w:tc>
        <w:tc>
          <w:tcPr>
            <w:tcW w:w="900" w:type="dxa"/>
            <w:vAlign w:val="bottom"/>
            <w:shd w:val="clear" w:color="auto" w:fill="C00000"/>
          </w:tcPr>
          <w:p>
            <w:pPr>
              <w:jc w:val="right"/>
              <w:ind w:right="113"/>
              <w:spacing w:after="0" w:line="167" w:lineRule="exact"/>
              <w:rPr>
                <w:sz w:val="20"/>
                <w:szCs w:val="20"/>
                <w:color w:val="auto"/>
              </w:rPr>
            </w:pPr>
            <w:r>
              <w:rPr>
                <w:rFonts w:ascii="Arial" w:cs="Arial" w:eastAsia="Arial" w:hAnsi="Arial"/>
                <w:sz w:val="12"/>
                <w:szCs w:val="12"/>
                <w:b w:val="1"/>
                <w:bCs w:val="1"/>
                <w:color w:val="FFFFFF"/>
              </w:rPr>
              <w:t>Salary</w:t>
            </w:r>
            <w:r>
              <w:rPr>
                <w:rFonts w:ascii="Arial" w:cs="Arial" w:eastAsia="Arial" w:hAnsi="Arial"/>
                <w:sz w:val="19"/>
                <w:szCs w:val="19"/>
                <w:b w:val="1"/>
                <w:bCs w:val="1"/>
                <w:color w:val="FFFFFF"/>
                <w:vertAlign w:val="superscript"/>
              </w:rPr>
              <w:t>(1)</w:t>
            </w:r>
          </w:p>
        </w:tc>
        <w:tc>
          <w:tcPr>
            <w:tcW w:w="820" w:type="dxa"/>
            <w:vAlign w:val="bottom"/>
            <w:shd w:val="clear" w:color="auto" w:fill="C00000"/>
          </w:tcPr>
          <w:p>
            <w:pPr>
              <w:ind w:left="100"/>
              <w:spacing w:after="0" w:line="167" w:lineRule="exact"/>
              <w:rPr>
                <w:sz w:val="20"/>
                <w:szCs w:val="20"/>
                <w:color w:val="auto"/>
              </w:rPr>
            </w:pPr>
            <w:r>
              <w:rPr>
                <w:rFonts w:ascii="Arial" w:cs="Arial" w:eastAsia="Arial" w:hAnsi="Arial"/>
                <w:sz w:val="12"/>
                <w:szCs w:val="12"/>
                <w:b w:val="1"/>
                <w:bCs w:val="1"/>
                <w:color w:val="FFFFFF"/>
              </w:rPr>
              <w:t>Bonus</w:t>
            </w:r>
            <w:r>
              <w:rPr>
                <w:rFonts w:ascii="Arial" w:cs="Arial" w:eastAsia="Arial" w:hAnsi="Arial"/>
                <w:sz w:val="19"/>
                <w:szCs w:val="19"/>
                <w:b w:val="1"/>
                <w:bCs w:val="1"/>
                <w:color w:val="FFFFFF"/>
                <w:vertAlign w:val="superscript"/>
              </w:rPr>
              <w:t>(2)</w:t>
            </w:r>
          </w:p>
        </w:tc>
        <w:tc>
          <w:tcPr>
            <w:tcW w:w="940" w:type="dxa"/>
            <w:vAlign w:val="bottom"/>
            <w:shd w:val="clear" w:color="auto" w:fill="C00000"/>
          </w:tcPr>
          <w:p>
            <w:pPr>
              <w:jc w:val="center"/>
              <w:spacing w:after="0" w:line="167" w:lineRule="exact"/>
              <w:rPr>
                <w:sz w:val="20"/>
                <w:szCs w:val="20"/>
                <w:color w:val="auto"/>
              </w:rPr>
            </w:pPr>
            <w:r>
              <w:rPr>
                <w:rFonts w:ascii="Arial" w:cs="Arial" w:eastAsia="Arial" w:hAnsi="Arial"/>
                <w:sz w:val="12"/>
                <w:szCs w:val="12"/>
                <w:b w:val="1"/>
                <w:bCs w:val="1"/>
                <w:color w:val="FFFFFF"/>
              </w:rPr>
              <w:t>Awards</w:t>
            </w:r>
            <w:r>
              <w:rPr>
                <w:rFonts w:ascii="Arial" w:cs="Arial" w:eastAsia="Arial" w:hAnsi="Arial"/>
                <w:sz w:val="19"/>
                <w:szCs w:val="19"/>
                <w:b w:val="1"/>
                <w:bCs w:val="1"/>
                <w:color w:val="FFFFFF"/>
                <w:vertAlign w:val="superscript"/>
              </w:rPr>
              <w:t>(3)</w:t>
            </w:r>
          </w:p>
        </w:tc>
        <w:tc>
          <w:tcPr>
            <w:tcW w:w="920" w:type="dxa"/>
            <w:vAlign w:val="bottom"/>
            <w:shd w:val="clear" w:color="auto" w:fill="C00000"/>
          </w:tcPr>
          <w:p>
            <w:pPr>
              <w:jc w:val="center"/>
              <w:ind w:right="32"/>
              <w:spacing w:after="0" w:line="167" w:lineRule="exact"/>
              <w:rPr>
                <w:sz w:val="20"/>
                <w:szCs w:val="20"/>
                <w:color w:val="auto"/>
              </w:rPr>
            </w:pPr>
            <w:r>
              <w:rPr>
                <w:rFonts w:ascii="Arial" w:cs="Arial" w:eastAsia="Arial" w:hAnsi="Arial"/>
                <w:sz w:val="12"/>
                <w:szCs w:val="12"/>
                <w:b w:val="1"/>
                <w:bCs w:val="1"/>
                <w:color w:val="FFFFFF"/>
              </w:rPr>
              <w:t>Awards</w:t>
            </w:r>
            <w:r>
              <w:rPr>
                <w:rFonts w:ascii="Arial" w:cs="Arial" w:eastAsia="Arial" w:hAnsi="Arial"/>
                <w:sz w:val="19"/>
                <w:szCs w:val="19"/>
                <w:b w:val="1"/>
                <w:bCs w:val="1"/>
                <w:color w:val="FFFFFF"/>
                <w:vertAlign w:val="superscript"/>
              </w:rPr>
              <w:t>(4)</w:t>
            </w:r>
          </w:p>
        </w:tc>
        <w:tc>
          <w:tcPr>
            <w:tcW w:w="1500" w:type="dxa"/>
            <w:vAlign w:val="bottom"/>
            <w:shd w:val="clear" w:color="auto" w:fill="C00000"/>
          </w:tcPr>
          <w:p>
            <w:pPr>
              <w:jc w:val="center"/>
              <w:ind w:right="52"/>
              <w:spacing w:after="0" w:line="167" w:lineRule="exact"/>
              <w:rPr>
                <w:sz w:val="20"/>
                <w:szCs w:val="20"/>
                <w:color w:val="auto"/>
              </w:rPr>
            </w:pPr>
            <w:r>
              <w:rPr>
                <w:rFonts w:ascii="Arial" w:cs="Arial" w:eastAsia="Arial" w:hAnsi="Arial"/>
                <w:sz w:val="12"/>
                <w:szCs w:val="12"/>
                <w:b w:val="1"/>
                <w:bCs w:val="1"/>
                <w:color w:val="FFFFFF"/>
              </w:rPr>
              <w:t>Compensation</w:t>
            </w:r>
            <w:r>
              <w:rPr>
                <w:rFonts w:ascii="Arial" w:cs="Arial" w:eastAsia="Arial" w:hAnsi="Arial"/>
                <w:sz w:val="19"/>
                <w:szCs w:val="19"/>
                <w:b w:val="1"/>
                <w:bCs w:val="1"/>
                <w:color w:val="FFFFFF"/>
                <w:vertAlign w:val="superscript"/>
              </w:rPr>
              <w:t>(5)</w:t>
            </w:r>
          </w:p>
        </w:tc>
        <w:tc>
          <w:tcPr>
            <w:tcW w:w="1520" w:type="dxa"/>
            <w:vAlign w:val="bottom"/>
            <w:shd w:val="clear" w:color="auto" w:fill="C00000"/>
          </w:tcPr>
          <w:p>
            <w:pPr>
              <w:jc w:val="center"/>
              <w:ind w:right="72"/>
              <w:spacing w:after="0" w:line="167" w:lineRule="exact"/>
              <w:rPr>
                <w:sz w:val="20"/>
                <w:szCs w:val="20"/>
                <w:color w:val="auto"/>
              </w:rPr>
            </w:pPr>
            <w:r>
              <w:rPr>
                <w:rFonts w:ascii="Arial" w:cs="Arial" w:eastAsia="Arial" w:hAnsi="Arial"/>
                <w:sz w:val="12"/>
                <w:szCs w:val="12"/>
                <w:b w:val="1"/>
                <w:bCs w:val="1"/>
                <w:color w:val="FFFFFF"/>
              </w:rPr>
              <w:t>Compensation</w:t>
            </w:r>
            <w:r>
              <w:rPr>
                <w:rFonts w:ascii="Arial" w:cs="Arial" w:eastAsia="Arial" w:hAnsi="Arial"/>
                <w:sz w:val="19"/>
                <w:szCs w:val="19"/>
                <w:b w:val="1"/>
                <w:bCs w:val="1"/>
                <w:color w:val="FFFFFF"/>
                <w:vertAlign w:val="superscript"/>
              </w:rPr>
              <w:t>(6)</w:t>
            </w:r>
          </w:p>
        </w:tc>
        <w:tc>
          <w:tcPr>
            <w:tcW w:w="740" w:type="dxa"/>
            <w:vAlign w:val="bottom"/>
            <w:shd w:val="clear" w:color="auto" w:fill="C00000"/>
          </w:tcPr>
          <w:p>
            <w:pPr>
              <w:jc w:val="right"/>
              <w:ind w:right="152"/>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71"/>
        </w:trPr>
        <w:tc>
          <w:tcPr>
            <w:tcW w:w="318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Principal Position</w:t>
            </w:r>
          </w:p>
        </w:tc>
        <w:tc>
          <w:tcPr>
            <w:tcW w:w="120" w:type="dxa"/>
            <w:vAlign w:val="bottom"/>
            <w:shd w:val="clear" w:color="auto" w:fill="C00000"/>
          </w:tcPr>
          <w:p>
            <w:pPr>
              <w:spacing w:after="0"/>
              <w:rPr>
                <w:sz w:val="14"/>
                <w:szCs w:val="14"/>
                <w:color w:val="auto"/>
              </w:rPr>
            </w:pPr>
          </w:p>
        </w:tc>
        <w:tc>
          <w:tcPr>
            <w:tcW w:w="600" w:type="dxa"/>
            <w:vAlign w:val="bottom"/>
            <w:shd w:val="clear" w:color="auto" w:fill="C00000"/>
          </w:tcPr>
          <w:p>
            <w:pPr>
              <w:jc w:val="center"/>
              <w:ind w:right="11"/>
              <w:spacing w:after="0"/>
              <w:rPr>
                <w:sz w:val="20"/>
                <w:szCs w:val="20"/>
                <w:color w:val="auto"/>
              </w:rPr>
            </w:pPr>
            <w:r>
              <w:rPr>
                <w:rFonts w:ascii="Arial" w:cs="Arial" w:eastAsia="Arial" w:hAnsi="Arial"/>
                <w:sz w:val="14"/>
                <w:szCs w:val="14"/>
                <w:b w:val="1"/>
                <w:bCs w:val="1"/>
                <w:color w:val="FFFFFF"/>
              </w:rPr>
              <w:t>Year</w:t>
            </w:r>
          </w:p>
        </w:tc>
        <w:tc>
          <w:tcPr>
            <w:tcW w:w="900" w:type="dxa"/>
            <w:vAlign w:val="bottom"/>
            <w:shd w:val="clear" w:color="auto" w:fill="C00000"/>
          </w:tcPr>
          <w:p>
            <w:pPr>
              <w:jc w:val="right"/>
              <w:ind w:right="313"/>
              <w:spacing w:after="0"/>
              <w:rPr>
                <w:sz w:val="20"/>
                <w:szCs w:val="20"/>
                <w:color w:val="auto"/>
              </w:rPr>
            </w:pPr>
            <w:r>
              <w:rPr>
                <w:rFonts w:ascii="Arial" w:cs="Arial" w:eastAsia="Arial" w:hAnsi="Arial"/>
                <w:sz w:val="14"/>
                <w:szCs w:val="14"/>
                <w:b w:val="1"/>
                <w:bCs w:val="1"/>
                <w:color w:val="FFFFFF"/>
              </w:rPr>
              <w:t>($)</w:t>
            </w:r>
          </w:p>
        </w:tc>
        <w:tc>
          <w:tcPr>
            <w:tcW w:w="8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w:t>
            </w:r>
          </w:p>
        </w:tc>
        <w:tc>
          <w:tcPr>
            <w:tcW w:w="9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w:t>
            </w:r>
          </w:p>
        </w:tc>
        <w:tc>
          <w:tcPr>
            <w:tcW w:w="920" w:type="dxa"/>
            <w:vAlign w:val="bottom"/>
            <w:shd w:val="clear" w:color="auto" w:fill="C00000"/>
          </w:tcPr>
          <w:p>
            <w:pPr>
              <w:jc w:val="center"/>
              <w:ind w:right="32"/>
              <w:spacing w:after="0"/>
              <w:rPr>
                <w:sz w:val="20"/>
                <w:szCs w:val="20"/>
                <w:color w:val="auto"/>
              </w:rPr>
            </w:pPr>
            <w:r>
              <w:rPr>
                <w:rFonts w:ascii="Arial" w:cs="Arial" w:eastAsia="Arial" w:hAnsi="Arial"/>
                <w:sz w:val="14"/>
                <w:szCs w:val="14"/>
                <w:b w:val="1"/>
                <w:bCs w:val="1"/>
                <w:color w:val="FFFFFF"/>
              </w:rPr>
              <w:t>($)</w:t>
            </w:r>
          </w:p>
        </w:tc>
        <w:tc>
          <w:tcPr>
            <w:tcW w:w="1500" w:type="dxa"/>
            <w:vAlign w:val="bottom"/>
            <w:shd w:val="clear" w:color="auto" w:fill="C00000"/>
          </w:tcPr>
          <w:p>
            <w:pPr>
              <w:jc w:val="center"/>
              <w:ind w:right="52"/>
              <w:spacing w:after="0"/>
              <w:rPr>
                <w:sz w:val="20"/>
                <w:szCs w:val="20"/>
                <w:color w:val="auto"/>
              </w:rPr>
            </w:pPr>
            <w:r>
              <w:rPr>
                <w:rFonts w:ascii="Arial" w:cs="Arial" w:eastAsia="Arial" w:hAnsi="Arial"/>
                <w:sz w:val="14"/>
                <w:szCs w:val="14"/>
                <w:b w:val="1"/>
                <w:bCs w:val="1"/>
                <w:color w:val="FFFFFF"/>
              </w:rPr>
              <w:t>($)</w:t>
            </w:r>
          </w:p>
        </w:tc>
        <w:tc>
          <w:tcPr>
            <w:tcW w:w="1520" w:type="dxa"/>
            <w:vAlign w:val="bottom"/>
            <w:shd w:val="clear" w:color="auto" w:fill="C00000"/>
          </w:tcPr>
          <w:p>
            <w:pPr>
              <w:jc w:val="center"/>
              <w:ind w:right="72"/>
              <w:spacing w:after="0"/>
              <w:rPr>
                <w:sz w:val="20"/>
                <w:szCs w:val="20"/>
                <w:color w:val="auto"/>
              </w:rPr>
            </w:pPr>
            <w:r>
              <w:rPr>
                <w:rFonts w:ascii="Arial" w:cs="Arial" w:eastAsia="Arial" w:hAnsi="Arial"/>
                <w:sz w:val="14"/>
                <w:szCs w:val="14"/>
                <w:b w:val="1"/>
                <w:bCs w:val="1"/>
                <w:color w:val="FFFFFF"/>
              </w:rPr>
              <w:t>($)</w:t>
            </w:r>
          </w:p>
        </w:tc>
        <w:tc>
          <w:tcPr>
            <w:tcW w:w="740" w:type="dxa"/>
            <w:vAlign w:val="bottom"/>
            <w:shd w:val="clear" w:color="auto" w:fill="C00000"/>
          </w:tcPr>
          <w:p>
            <w:pPr>
              <w:jc w:val="right"/>
              <w:ind w:right="232"/>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03"/>
        </w:trPr>
        <w:tc>
          <w:tcPr>
            <w:tcW w:w="3180" w:type="dxa"/>
            <w:vAlign w:val="bottom"/>
          </w:tcPr>
          <w:p>
            <w:pPr>
              <w:spacing w:after="0"/>
              <w:rPr>
                <w:sz w:val="20"/>
                <w:szCs w:val="20"/>
                <w:color w:val="auto"/>
              </w:rPr>
            </w:pPr>
            <w:r>
              <w:rPr>
                <w:rFonts w:ascii="Arial" w:cs="Arial" w:eastAsia="Arial" w:hAnsi="Arial"/>
                <w:sz w:val="13"/>
                <w:szCs w:val="13"/>
                <w:color w:val="auto"/>
              </w:rPr>
              <w:t>Richard M. Olson,</w:t>
            </w:r>
          </w:p>
        </w:tc>
        <w:tc>
          <w:tcPr>
            <w:tcW w:w="720" w:type="dxa"/>
            <w:vAlign w:val="bottom"/>
            <w:gridSpan w:val="2"/>
          </w:tcPr>
          <w:p>
            <w:pPr>
              <w:jc w:val="center"/>
              <w:spacing w:after="0"/>
              <w:rPr>
                <w:sz w:val="20"/>
                <w:szCs w:val="20"/>
                <w:color w:val="auto"/>
              </w:rPr>
            </w:pPr>
            <w:r>
              <w:rPr>
                <w:rFonts w:ascii="Arial" w:cs="Arial" w:eastAsia="Arial" w:hAnsi="Arial"/>
                <w:sz w:val="13"/>
                <w:szCs w:val="13"/>
                <w:color w:val="auto"/>
              </w:rPr>
              <w:t>2022</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1,086,778</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940" w:type="dxa"/>
            <w:vAlign w:val="bottom"/>
          </w:tcPr>
          <w:p>
            <w:pPr>
              <w:jc w:val="right"/>
              <w:ind w:right="32"/>
              <w:spacing w:after="0"/>
              <w:rPr>
                <w:sz w:val="20"/>
                <w:szCs w:val="20"/>
                <w:color w:val="auto"/>
              </w:rPr>
            </w:pPr>
            <w:r>
              <w:rPr>
                <w:rFonts w:ascii="Arial" w:cs="Arial" w:eastAsia="Arial" w:hAnsi="Arial"/>
                <w:sz w:val="13"/>
                <w:szCs w:val="13"/>
                <w:color w:val="auto"/>
              </w:rPr>
              <w:t>2,489,773</w:t>
            </w:r>
          </w:p>
        </w:tc>
        <w:tc>
          <w:tcPr>
            <w:tcW w:w="920" w:type="dxa"/>
            <w:vAlign w:val="bottom"/>
          </w:tcPr>
          <w:p>
            <w:pPr>
              <w:jc w:val="right"/>
              <w:ind w:right="52"/>
              <w:spacing w:after="0"/>
              <w:rPr>
                <w:sz w:val="20"/>
                <w:szCs w:val="20"/>
                <w:color w:val="auto"/>
              </w:rPr>
            </w:pPr>
            <w:r>
              <w:rPr>
                <w:rFonts w:ascii="Arial" w:cs="Arial" w:eastAsia="Arial" w:hAnsi="Arial"/>
                <w:sz w:val="13"/>
                <w:szCs w:val="13"/>
                <w:color w:val="auto"/>
              </w:rPr>
              <w:t>2,507,118</w:t>
            </w:r>
          </w:p>
        </w:tc>
        <w:tc>
          <w:tcPr>
            <w:tcW w:w="1500" w:type="dxa"/>
            <w:vAlign w:val="bottom"/>
          </w:tcPr>
          <w:p>
            <w:pPr>
              <w:jc w:val="right"/>
              <w:ind w:right="52"/>
              <w:spacing w:after="0"/>
              <w:rPr>
                <w:sz w:val="20"/>
                <w:szCs w:val="20"/>
                <w:color w:val="auto"/>
              </w:rPr>
            </w:pPr>
            <w:r>
              <w:rPr>
                <w:rFonts w:ascii="Arial" w:cs="Arial" w:eastAsia="Arial" w:hAnsi="Arial"/>
                <w:sz w:val="13"/>
                <w:szCs w:val="13"/>
                <w:color w:val="auto"/>
              </w:rPr>
              <w:t>974,698</w:t>
            </w:r>
          </w:p>
        </w:tc>
        <w:tc>
          <w:tcPr>
            <w:tcW w:w="1520" w:type="dxa"/>
            <w:vAlign w:val="bottom"/>
          </w:tcPr>
          <w:p>
            <w:pPr>
              <w:jc w:val="right"/>
              <w:ind w:right="72"/>
              <w:spacing w:after="0"/>
              <w:rPr>
                <w:sz w:val="20"/>
                <w:szCs w:val="20"/>
                <w:color w:val="auto"/>
              </w:rPr>
            </w:pPr>
            <w:r>
              <w:rPr>
                <w:rFonts w:ascii="Arial" w:cs="Arial" w:eastAsia="Arial" w:hAnsi="Arial"/>
                <w:sz w:val="13"/>
                <w:szCs w:val="13"/>
                <w:color w:val="auto"/>
              </w:rPr>
              <w:t>253,586</w:t>
            </w:r>
          </w:p>
        </w:tc>
        <w:tc>
          <w:tcPr>
            <w:tcW w:w="740" w:type="dxa"/>
            <w:vAlign w:val="bottom"/>
          </w:tcPr>
          <w:p>
            <w:pPr>
              <w:jc w:val="right"/>
              <w:spacing w:after="0"/>
              <w:rPr>
                <w:sz w:val="20"/>
                <w:szCs w:val="20"/>
                <w:color w:val="auto"/>
              </w:rPr>
            </w:pPr>
            <w:r>
              <w:rPr>
                <w:rFonts w:ascii="Arial" w:cs="Arial" w:eastAsia="Arial" w:hAnsi="Arial"/>
                <w:sz w:val="13"/>
                <w:szCs w:val="13"/>
                <w:color w:val="auto"/>
              </w:rPr>
              <w:t>7,311,953</w:t>
            </w:r>
          </w:p>
        </w:tc>
        <w:tc>
          <w:tcPr>
            <w:tcW w:w="0" w:type="dxa"/>
            <w:vAlign w:val="bottom"/>
          </w:tcPr>
          <w:p>
            <w:pPr>
              <w:spacing w:after="0"/>
              <w:rPr>
                <w:sz w:val="1"/>
                <w:szCs w:val="1"/>
                <w:color w:val="auto"/>
              </w:rPr>
            </w:pPr>
          </w:p>
        </w:tc>
      </w:tr>
      <w:tr>
        <w:trPr>
          <w:trHeight w:val="175"/>
        </w:trPr>
        <w:tc>
          <w:tcPr>
            <w:tcW w:w="3180" w:type="dxa"/>
            <w:vAlign w:val="bottom"/>
          </w:tcPr>
          <w:p>
            <w:pPr>
              <w:ind w:left="140"/>
              <w:spacing w:after="0"/>
              <w:rPr>
                <w:sz w:val="20"/>
                <w:szCs w:val="20"/>
                <w:color w:val="auto"/>
              </w:rPr>
            </w:pPr>
            <w:r>
              <w:rPr>
                <w:rFonts w:ascii="Arial" w:cs="Arial" w:eastAsia="Arial" w:hAnsi="Arial"/>
                <w:sz w:val="13"/>
                <w:szCs w:val="13"/>
                <w:color w:val="auto"/>
              </w:rPr>
              <w:t>Chairman of the Board, President</w:t>
            </w:r>
          </w:p>
        </w:tc>
        <w:tc>
          <w:tcPr>
            <w:tcW w:w="720" w:type="dxa"/>
            <w:vAlign w:val="bottom"/>
            <w:gridSpan w:val="2"/>
          </w:tcPr>
          <w:p>
            <w:pPr>
              <w:jc w:val="center"/>
              <w:spacing w:after="0"/>
              <w:rPr>
                <w:sz w:val="20"/>
                <w:szCs w:val="20"/>
                <w:color w:val="auto"/>
              </w:rPr>
            </w:pPr>
            <w:r>
              <w:rPr>
                <w:rFonts w:ascii="Arial" w:cs="Arial" w:eastAsia="Arial" w:hAnsi="Arial"/>
                <w:sz w:val="13"/>
                <w:szCs w:val="13"/>
                <w:color w:val="auto"/>
              </w:rPr>
              <w:t>2021</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1,045,930</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940" w:type="dxa"/>
            <w:vAlign w:val="bottom"/>
          </w:tcPr>
          <w:p>
            <w:pPr>
              <w:jc w:val="right"/>
              <w:ind w:right="32"/>
              <w:spacing w:after="0"/>
              <w:rPr>
                <w:sz w:val="20"/>
                <w:szCs w:val="20"/>
                <w:color w:val="auto"/>
              </w:rPr>
            </w:pPr>
            <w:r>
              <w:rPr>
                <w:rFonts w:ascii="Arial" w:cs="Arial" w:eastAsia="Arial" w:hAnsi="Arial"/>
                <w:sz w:val="13"/>
                <w:szCs w:val="13"/>
                <w:color w:val="auto"/>
              </w:rPr>
              <w:t>2,536,520</w:t>
            </w:r>
          </w:p>
        </w:tc>
        <w:tc>
          <w:tcPr>
            <w:tcW w:w="920" w:type="dxa"/>
            <w:vAlign w:val="bottom"/>
          </w:tcPr>
          <w:p>
            <w:pPr>
              <w:jc w:val="right"/>
              <w:ind w:right="52"/>
              <w:spacing w:after="0"/>
              <w:rPr>
                <w:sz w:val="20"/>
                <w:szCs w:val="20"/>
                <w:color w:val="auto"/>
              </w:rPr>
            </w:pPr>
            <w:r>
              <w:rPr>
                <w:rFonts w:ascii="Arial" w:cs="Arial" w:eastAsia="Arial" w:hAnsi="Arial"/>
                <w:sz w:val="13"/>
                <w:szCs w:val="13"/>
                <w:color w:val="auto"/>
              </w:rPr>
              <w:t>2,651,082</w:t>
            </w:r>
          </w:p>
        </w:tc>
        <w:tc>
          <w:tcPr>
            <w:tcW w:w="1500" w:type="dxa"/>
            <w:vAlign w:val="bottom"/>
          </w:tcPr>
          <w:p>
            <w:pPr>
              <w:jc w:val="right"/>
              <w:ind w:right="52"/>
              <w:spacing w:after="0"/>
              <w:rPr>
                <w:sz w:val="20"/>
                <w:szCs w:val="20"/>
                <w:color w:val="auto"/>
              </w:rPr>
            </w:pPr>
            <w:r>
              <w:rPr>
                <w:rFonts w:ascii="Arial" w:cs="Arial" w:eastAsia="Arial" w:hAnsi="Arial"/>
                <w:sz w:val="13"/>
                <w:szCs w:val="13"/>
                <w:color w:val="auto"/>
              </w:rPr>
              <w:t>2,095,541</w:t>
            </w:r>
          </w:p>
        </w:tc>
        <w:tc>
          <w:tcPr>
            <w:tcW w:w="1520" w:type="dxa"/>
            <w:vAlign w:val="bottom"/>
          </w:tcPr>
          <w:p>
            <w:pPr>
              <w:jc w:val="right"/>
              <w:ind w:right="72"/>
              <w:spacing w:after="0"/>
              <w:rPr>
                <w:sz w:val="20"/>
                <w:szCs w:val="20"/>
                <w:color w:val="auto"/>
              </w:rPr>
            </w:pPr>
            <w:r>
              <w:rPr>
                <w:rFonts w:ascii="Arial" w:cs="Arial" w:eastAsia="Arial" w:hAnsi="Arial"/>
                <w:sz w:val="13"/>
                <w:szCs w:val="13"/>
                <w:color w:val="auto"/>
              </w:rPr>
              <w:t>300,778</w:t>
            </w:r>
          </w:p>
        </w:tc>
        <w:tc>
          <w:tcPr>
            <w:tcW w:w="740" w:type="dxa"/>
            <w:vAlign w:val="bottom"/>
          </w:tcPr>
          <w:p>
            <w:pPr>
              <w:jc w:val="right"/>
              <w:spacing w:after="0"/>
              <w:rPr>
                <w:sz w:val="20"/>
                <w:szCs w:val="20"/>
                <w:color w:val="auto"/>
              </w:rPr>
            </w:pPr>
            <w:r>
              <w:rPr>
                <w:rFonts w:ascii="Arial" w:cs="Arial" w:eastAsia="Arial" w:hAnsi="Arial"/>
                <w:sz w:val="13"/>
                <w:szCs w:val="13"/>
                <w:color w:val="auto"/>
              </w:rPr>
              <w:t>8,629,851</w:t>
            </w:r>
          </w:p>
        </w:tc>
        <w:tc>
          <w:tcPr>
            <w:tcW w:w="0" w:type="dxa"/>
            <w:vAlign w:val="bottom"/>
          </w:tcPr>
          <w:p>
            <w:pPr>
              <w:spacing w:after="0"/>
              <w:rPr>
                <w:sz w:val="1"/>
                <w:szCs w:val="1"/>
                <w:color w:val="auto"/>
              </w:rPr>
            </w:pPr>
          </w:p>
        </w:tc>
      </w:tr>
      <w:tr>
        <w:trPr>
          <w:trHeight w:val="176"/>
        </w:trPr>
        <w:tc>
          <w:tcPr>
            <w:tcW w:w="3180" w:type="dxa"/>
            <w:vAlign w:val="bottom"/>
          </w:tcPr>
          <w:p>
            <w:pPr>
              <w:ind w:left="140"/>
              <w:spacing w:after="0"/>
              <w:rPr>
                <w:sz w:val="20"/>
                <w:szCs w:val="20"/>
                <w:color w:val="auto"/>
              </w:rPr>
            </w:pPr>
            <w:r>
              <w:rPr>
                <w:rFonts w:ascii="Arial" w:cs="Arial" w:eastAsia="Arial" w:hAnsi="Arial"/>
                <w:sz w:val="13"/>
                <w:szCs w:val="13"/>
                <w:color w:val="auto"/>
              </w:rPr>
              <w:t>and Chief Executive Officer</w:t>
            </w:r>
          </w:p>
        </w:tc>
        <w:tc>
          <w:tcPr>
            <w:tcW w:w="720" w:type="dxa"/>
            <w:vAlign w:val="bottom"/>
            <w:gridSpan w:val="2"/>
            <w:vMerge w:val="restart"/>
          </w:tcPr>
          <w:p>
            <w:pPr>
              <w:jc w:val="center"/>
              <w:spacing w:after="0"/>
              <w:rPr>
                <w:sz w:val="20"/>
                <w:szCs w:val="20"/>
                <w:color w:val="auto"/>
              </w:rPr>
            </w:pPr>
            <w:r>
              <w:rPr>
                <w:rFonts w:ascii="Arial" w:cs="Arial" w:eastAsia="Arial" w:hAnsi="Arial"/>
                <w:sz w:val="13"/>
                <w:szCs w:val="13"/>
                <w:color w:val="auto"/>
              </w:rPr>
              <w:t>2020</w:t>
            </w:r>
          </w:p>
        </w:tc>
        <w:tc>
          <w:tcPr>
            <w:tcW w:w="900" w:type="dxa"/>
            <w:vAlign w:val="bottom"/>
            <w:vMerge w:val="restart"/>
          </w:tcPr>
          <w:p>
            <w:pPr>
              <w:jc w:val="right"/>
              <w:ind w:right="33"/>
              <w:spacing w:after="0"/>
              <w:rPr>
                <w:sz w:val="20"/>
                <w:szCs w:val="20"/>
                <w:color w:val="auto"/>
              </w:rPr>
            </w:pPr>
            <w:r>
              <w:rPr>
                <w:rFonts w:ascii="Arial" w:cs="Arial" w:eastAsia="Arial" w:hAnsi="Arial"/>
                <w:sz w:val="13"/>
                <w:szCs w:val="13"/>
                <w:color w:val="auto"/>
              </w:rPr>
              <w:t>871,250</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940" w:type="dxa"/>
            <w:vAlign w:val="bottom"/>
            <w:vMerge w:val="restart"/>
          </w:tcPr>
          <w:p>
            <w:pPr>
              <w:jc w:val="right"/>
              <w:ind w:right="32"/>
              <w:spacing w:after="0"/>
              <w:rPr>
                <w:sz w:val="20"/>
                <w:szCs w:val="20"/>
                <w:color w:val="auto"/>
              </w:rPr>
            </w:pPr>
            <w:r>
              <w:rPr>
                <w:rFonts w:ascii="Arial" w:cs="Arial" w:eastAsia="Arial" w:hAnsi="Arial"/>
                <w:sz w:val="13"/>
                <w:szCs w:val="13"/>
                <w:color w:val="auto"/>
              </w:rPr>
              <w:t>2,335,366</w:t>
            </w:r>
          </w:p>
        </w:tc>
        <w:tc>
          <w:tcPr>
            <w:tcW w:w="920" w:type="dxa"/>
            <w:vAlign w:val="bottom"/>
            <w:vMerge w:val="restart"/>
          </w:tcPr>
          <w:p>
            <w:pPr>
              <w:jc w:val="right"/>
              <w:ind w:right="52"/>
              <w:spacing w:after="0"/>
              <w:rPr>
                <w:sz w:val="20"/>
                <w:szCs w:val="20"/>
                <w:color w:val="auto"/>
              </w:rPr>
            </w:pPr>
            <w:r>
              <w:rPr>
                <w:rFonts w:ascii="Arial" w:cs="Arial" w:eastAsia="Arial" w:hAnsi="Arial"/>
                <w:sz w:val="13"/>
                <w:szCs w:val="13"/>
                <w:color w:val="auto"/>
              </w:rPr>
              <w:t>2,388,298</w:t>
            </w:r>
          </w:p>
        </w:tc>
        <w:tc>
          <w:tcPr>
            <w:tcW w:w="1500" w:type="dxa"/>
            <w:vAlign w:val="bottom"/>
            <w:vMerge w:val="restart"/>
          </w:tcPr>
          <w:p>
            <w:pPr>
              <w:jc w:val="right"/>
              <w:ind w:right="52"/>
              <w:spacing w:after="0"/>
              <w:rPr>
                <w:sz w:val="20"/>
                <w:szCs w:val="20"/>
                <w:color w:val="auto"/>
              </w:rPr>
            </w:pPr>
            <w:r>
              <w:rPr>
                <w:rFonts w:ascii="Arial" w:cs="Arial" w:eastAsia="Arial" w:hAnsi="Arial"/>
                <w:sz w:val="13"/>
                <w:szCs w:val="13"/>
                <w:color w:val="auto"/>
              </w:rPr>
              <w:t>307,094</w:t>
            </w:r>
          </w:p>
        </w:tc>
        <w:tc>
          <w:tcPr>
            <w:tcW w:w="1520" w:type="dxa"/>
            <w:vAlign w:val="bottom"/>
            <w:vMerge w:val="restart"/>
          </w:tcPr>
          <w:p>
            <w:pPr>
              <w:jc w:val="right"/>
              <w:ind w:right="72"/>
              <w:spacing w:after="0"/>
              <w:rPr>
                <w:sz w:val="20"/>
                <w:szCs w:val="20"/>
                <w:color w:val="auto"/>
              </w:rPr>
            </w:pPr>
            <w:r>
              <w:rPr>
                <w:rFonts w:ascii="Arial" w:cs="Arial" w:eastAsia="Arial" w:hAnsi="Arial"/>
                <w:sz w:val="13"/>
                <w:szCs w:val="13"/>
                <w:color w:val="auto"/>
              </w:rPr>
              <w:t>95,349</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5,997,357</w:t>
            </w:r>
          </w:p>
        </w:tc>
        <w:tc>
          <w:tcPr>
            <w:tcW w:w="0" w:type="dxa"/>
            <w:vAlign w:val="bottom"/>
          </w:tcPr>
          <w:p>
            <w:pPr>
              <w:spacing w:after="0"/>
              <w:rPr>
                <w:sz w:val="1"/>
                <w:szCs w:val="1"/>
                <w:color w:val="auto"/>
              </w:rPr>
            </w:pPr>
          </w:p>
        </w:tc>
      </w:tr>
      <w:tr>
        <w:trPr>
          <w:trHeight w:val="53"/>
        </w:trPr>
        <w:tc>
          <w:tcPr>
            <w:tcW w:w="318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180" w:type="dxa"/>
            <w:vAlign w:val="bottom"/>
            <w:shd w:val="clear" w:color="auto" w:fill="D9D9D9"/>
          </w:tcPr>
          <w:p>
            <w:pPr>
              <w:spacing w:after="0"/>
              <w:rPr>
                <w:sz w:val="20"/>
                <w:szCs w:val="20"/>
                <w:color w:val="auto"/>
              </w:rPr>
            </w:pPr>
            <w:r>
              <w:rPr>
                <w:rFonts w:ascii="Arial" w:cs="Arial" w:eastAsia="Arial" w:hAnsi="Arial"/>
                <w:sz w:val="13"/>
                <w:szCs w:val="13"/>
                <w:color w:val="auto"/>
              </w:rPr>
              <w:t>Renee J. Peterson,</w:t>
            </w:r>
          </w:p>
        </w:tc>
        <w:tc>
          <w:tcPr>
            <w:tcW w:w="720" w:type="dxa"/>
            <w:vAlign w:val="bottom"/>
            <w:gridSpan w:val="2"/>
            <w:shd w:val="clear" w:color="auto" w:fill="D9D9D9"/>
          </w:tcPr>
          <w:p>
            <w:pPr>
              <w:jc w:val="center"/>
              <w:spacing w:after="0"/>
              <w:rPr>
                <w:sz w:val="20"/>
                <w:szCs w:val="20"/>
                <w:color w:val="auto"/>
              </w:rPr>
            </w:pPr>
            <w:r>
              <w:rPr>
                <w:rFonts w:ascii="Arial" w:cs="Arial" w:eastAsia="Arial" w:hAnsi="Arial"/>
                <w:sz w:val="13"/>
                <w:szCs w:val="13"/>
                <w:color w:val="auto"/>
              </w:rPr>
              <w:t>2022</w:t>
            </w:r>
          </w:p>
        </w:tc>
        <w:tc>
          <w:tcPr>
            <w:tcW w:w="900" w:type="dxa"/>
            <w:vAlign w:val="bottom"/>
            <w:shd w:val="clear" w:color="auto" w:fill="D9D9D9"/>
          </w:tcPr>
          <w:p>
            <w:pPr>
              <w:jc w:val="right"/>
              <w:ind w:right="33"/>
              <w:spacing w:after="0"/>
              <w:rPr>
                <w:sz w:val="20"/>
                <w:szCs w:val="20"/>
                <w:color w:val="auto"/>
              </w:rPr>
            </w:pPr>
            <w:r>
              <w:rPr>
                <w:rFonts w:ascii="Arial" w:cs="Arial" w:eastAsia="Arial" w:hAnsi="Arial"/>
                <w:sz w:val="13"/>
                <w:szCs w:val="13"/>
                <w:color w:val="auto"/>
              </w:rPr>
              <w:t>595,089</w:t>
            </w:r>
          </w:p>
        </w:tc>
        <w:tc>
          <w:tcPr>
            <w:tcW w:w="820" w:type="dxa"/>
            <w:vAlign w:val="bottom"/>
            <w:shd w:val="clear" w:color="auto" w:fill="D9D9D9"/>
          </w:tcPr>
          <w:p>
            <w:pPr>
              <w:jc w:val="center"/>
              <w:spacing w:after="0"/>
              <w:rPr>
                <w:sz w:val="20"/>
                <w:szCs w:val="20"/>
                <w:color w:val="auto"/>
              </w:rPr>
            </w:pPr>
            <w:r>
              <w:rPr>
                <w:rFonts w:ascii="Arial" w:cs="Arial" w:eastAsia="Arial" w:hAnsi="Arial"/>
                <w:sz w:val="13"/>
                <w:szCs w:val="13"/>
                <w:color w:val="auto"/>
                <w:w w:val="82"/>
              </w:rPr>
              <w:t>0</w:t>
            </w:r>
          </w:p>
        </w:tc>
        <w:tc>
          <w:tcPr>
            <w:tcW w:w="940" w:type="dxa"/>
            <w:vAlign w:val="bottom"/>
            <w:shd w:val="clear" w:color="auto" w:fill="D9D9D9"/>
          </w:tcPr>
          <w:p>
            <w:pPr>
              <w:jc w:val="right"/>
              <w:ind w:right="32"/>
              <w:spacing w:after="0"/>
              <w:rPr>
                <w:sz w:val="20"/>
                <w:szCs w:val="20"/>
                <w:color w:val="auto"/>
              </w:rPr>
            </w:pPr>
            <w:r>
              <w:rPr>
                <w:rFonts w:ascii="Arial" w:cs="Arial" w:eastAsia="Arial" w:hAnsi="Arial"/>
                <w:sz w:val="13"/>
                <w:szCs w:val="13"/>
                <w:color w:val="auto"/>
              </w:rPr>
              <w:t>659,347</w:t>
            </w:r>
          </w:p>
        </w:tc>
        <w:tc>
          <w:tcPr>
            <w:tcW w:w="920" w:type="dxa"/>
            <w:vAlign w:val="bottom"/>
            <w:shd w:val="clear" w:color="auto" w:fill="D9D9D9"/>
          </w:tcPr>
          <w:p>
            <w:pPr>
              <w:jc w:val="right"/>
              <w:ind w:right="52"/>
              <w:spacing w:after="0"/>
              <w:rPr>
                <w:sz w:val="20"/>
                <w:szCs w:val="20"/>
                <w:color w:val="auto"/>
              </w:rPr>
            </w:pPr>
            <w:r>
              <w:rPr>
                <w:rFonts w:ascii="Arial" w:cs="Arial" w:eastAsia="Arial" w:hAnsi="Arial"/>
                <w:sz w:val="13"/>
                <w:szCs w:val="13"/>
                <w:color w:val="auto"/>
              </w:rPr>
              <w:t>661,824</w:t>
            </w:r>
          </w:p>
        </w:tc>
        <w:tc>
          <w:tcPr>
            <w:tcW w:w="1500" w:type="dxa"/>
            <w:vAlign w:val="bottom"/>
            <w:shd w:val="clear" w:color="auto" w:fill="D9D9D9"/>
          </w:tcPr>
          <w:p>
            <w:pPr>
              <w:jc w:val="right"/>
              <w:ind w:right="52"/>
              <w:spacing w:after="0"/>
              <w:rPr>
                <w:sz w:val="20"/>
                <w:szCs w:val="20"/>
                <w:color w:val="auto"/>
              </w:rPr>
            </w:pPr>
            <w:r>
              <w:rPr>
                <w:rFonts w:ascii="Arial" w:cs="Arial" w:eastAsia="Arial" w:hAnsi="Arial"/>
                <w:sz w:val="13"/>
                <w:szCs w:val="13"/>
                <w:color w:val="auto"/>
              </w:rPr>
              <w:t>328,441</w:t>
            </w:r>
          </w:p>
        </w:tc>
        <w:tc>
          <w:tcPr>
            <w:tcW w:w="1520" w:type="dxa"/>
            <w:vAlign w:val="bottom"/>
            <w:shd w:val="clear" w:color="auto" w:fill="D9D9D9"/>
          </w:tcPr>
          <w:p>
            <w:pPr>
              <w:jc w:val="right"/>
              <w:ind w:right="72"/>
              <w:spacing w:after="0"/>
              <w:rPr>
                <w:sz w:val="20"/>
                <w:szCs w:val="20"/>
                <w:color w:val="auto"/>
              </w:rPr>
            </w:pPr>
            <w:r>
              <w:rPr>
                <w:rFonts w:ascii="Arial" w:cs="Arial" w:eastAsia="Arial" w:hAnsi="Arial"/>
                <w:sz w:val="13"/>
                <w:szCs w:val="13"/>
                <w:color w:val="auto"/>
              </w:rPr>
              <w:t>148,911</w:t>
            </w:r>
          </w:p>
        </w:tc>
        <w:tc>
          <w:tcPr>
            <w:tcW w:w="7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2,393,612</w:t>
            </w:r>
          </w:p>
        </w:tc>
        <w:tc>
          <w:tcPr>
            <w:tcW w:w="0" w:type="dxa"/>
            <w:vAlign w:val="bottom"/>
          </w:tcPr>
          <w:p>
            <w:pPr>
              <w:spacing w:after="0"/>
              <w:rPr>
                <w:sz w:val="1"/>
                <w:szCs w:val="1"/>
                <w:color w:val="auto"/>
              </w:rPr>
            </w:pPr>
          </w:p>
        </w:tc>
      </w:tr>
      <w:tr>
        <w:trPr>
          <w:trHeight w:val="175"/>
        </w:trPr>
        <w:tc>
          <w:tcPr>
            <w:tcW w:w="3180" w:type="dxa"/>
            <w:vAlign w:val="bottom"/>
            <w:shd w:val="clear" w:color="auto" w:fill="D9D9D9"/>
          </w:tcPr>
          <w:p>
            <w:pPr>
              <w:ind w:left="140"/>
              <w:spacing w:after="0"/>
              <w:rPr>
                <w:sz w:val="20"/>
                <w:szCs w:val="20"/>
                <w:color w:val="auto"/>
              </w:rPr>
            </w:pPr>
            <w:r>
              <w:rPr>
                <w:rFonts w:ascii="Arial" w:cs="Arial" w:eastAsia="Arial" w:hAnsi="Arial"/>
                <w:sz w:val="13"/>
                <w:szCs w:val="13"/>
                <w:color w:val="auto"/>
              </w:rPr>
              <w:t>Vice President</w:t>
            </w:r>
          </w:p>
        </w:tc>
        <w:tc>
          <w:tcPr>
            <w:tcW w:w="120" w:type="dxa"/>
            <w:vAlign w:val="bottom"/>
            <w:shd w:val="clear" w:color="auto" w:fill="D9D9D9"/>
          </w:tcPr>
          <w:p>
            <w:pPr>
              <w:spacing w:after="0"/>
              <w:rPr>
                <w:sz w:val="15"/>
                <w:szCs w:val="15"/>
                <w:color w:val="auto"/>
              </w:rPr>
            </w:pPr>
          </w:p>
        </w:tc>
        <w:tc>
          <w:tcPr>
            <w:tcW w:w="600" w:type="dxa"/>
            <w:vAlign w:val="bottom"/>
            <w:shd w:val="clear" w:color="auto" w:fill="D9D9D9"/>
          </w:tcPr>
          <w:p>
            <w:pPr>
              <w:jc w:val="center"/>
              <w:ind w:right="31"/>
              <w:spacing w:after="0"/>
              <w:rPr>
                <w:sz w:val="20"/>
                <w:szCs w:val="20"/>
                <w:color w:val="auto"/>
              </w:rPr>
            </w:pPr>
            <w:r>
              <w:rPr>
                <w:rFonts w:ascii="Arial" w:cs="Arial" w:eastAsia="Arial" w:hAnsi="Arial"/>
                <w:sz w:val="13"/>
                <w:szCs w:val="13"/>
                <w:color w:val="auto"/>
              </w:rPr>
              <w:t>2021</w:t>
            </w:r>
          </w:p>
        </w:tc>
        <w:tc>
          <w:tcPr>
            <w:tcW w:w="900" w:type="dxa"/>
            <w:vAlign w:val="bottom"/>
            <w:shd w:val="clear" w:color="auto" w:fill="D9D9D9"/>
          </w:tcPr>
          <w:p>
            <w:pPr>
              <w:jc w:val="right"/>
              <w:ind w:right="33"/>
              <w:spacing w:after="0"/>
              <w:rPr>
                <w:sz w:val="20"/>
                <w:szCs w:val="20"/>
                <w:color w:val="auto"/>
              </w:rPr>
            </w:pPr>
            <w:r>
              <w:rPr>
                <w:rFonts w:ascii="Arial" w:cs="Arial" w:eastAsia="Arial" w:hAnsi="Arial"/>
                <w:sz w:val="13"/>
                <w:szCs w:val="13"/>
                <w:color w:val="auto"/>
              </w:rPr>
              <w:t>566,066</w:t>
            </w:r>
          </w:p>
        </w:tc>
        <w:tc>
          <w:tcPr>
            <w:tcW w:w="820" w:type="dxa"/>
            <w:vAlign w:val="bottom"/>
            <w:shd w:val="clear" w:color="auto" w:fill="D9D9D9"/>
          </w:tcPr>
          <w:p>
            <w:pPr>
              <w:jc w:val="center"/>
              <w:spacing w:after="0"/>
              <w:rPr>
                <w:sz w:val="20"/>
                <w:szCs w:val="20"/>
                <w:color w:val="auto"/>
              </w:rPr>
            </w:pPr>
            <w:r>
              <w:rPr>
                <w:rFonts w:ascii="Arial" w:cs="Arial" w:eastAsia="Arial" w:hAnsi="Arial"/>
                <w:sz w:val="13"/>
                <w:szCs w:val="13"/>
                <w:color w:val="auto"/>
                <w:w w:val="82"/>
              </w:rPr>
              <w:t>0</w:t>
            </w:r>
          </w:p>
        </w:tc>
        <w:tc>
          <w:tcPr>
            <w:tcW w:w="940" w:type="dxa"/>
            <w:vAlign w:val="bottom"/>
            <w:shd w:val="clear" w:color="auto" w:fill="D9D9D9"/>
          </w:tcPr>
          <w:p>
            <w:pPr>
              <w:jc w:val="right"/>
              <w:ind w:right="32"/>
              <w:spacing w:after="0"/>
              <w:rPr>
                <w:sz w:val="20"/>
                <w:szCs w:val="20"/>
                <w:color w:val="auto"/>
              </w:rPr>
            </w:pPr>
            <w:r>
              <w:rPr>
                <w:rFonts w:ascii="Arial" w:cs="Arial" w:eastAsia="Arial" w:hAnsi="Arial"/>
                <w:sz w:val="13"/>
                <w:szCs w:val="13"/>
                <w:color w:val="auto"/>
              </w:rPr>
              <w:t>634,130</w:t>
            </w:r>
          </w:p>
        </w:tc>
        <w:tc>
          <w:tcPr>
            <w:tcW w:w="920" w:type="dxa"/>
            <w:vAlign w:val="bottom"/>
            <w:shd w:val="clear" w:color="auto" w:fill="D9D9D9"/>
          </w:tcPr>
          <w:p>
            <w:pPr>
              <w:jc w:val="right"/>
              <w:ind w:right="52"/>
              <w:spacing w:after="0"/>
              <w:rPr>
                <w:sz w:val="20"/>
                <w:szCs w:val="20"/>
                <w:color w:val="auto"/>
              </w:rPr>
            </w:pPr>
            <w:r>
              <w:rPr>
                <w:rFonts w:ascii="Arial" w:cs="Arial" w:eastAsia="Arial" w:hAnsi="Arial"/>
                <w:sz w:val="13"/>
                <w:szCs w:val="13"/>
                <w:color w:val="auto"/>
              </w:rPr>
              <w:t>663,264</w:t>
            </w:r>
          </w:p>
        </w:tc>
        <w:tc>
          <w:tcPr>
            <w:tcW w:w="1500" w:type="dxa"/>
            <w:vAlign w:val="bottom"/>
            <w:shd w:val="clear" w:color="auto" w:fill="D9D9D9"/>
          </w:tcPr>
          <w:p>
            <w:pPr>
              <w:jc w:val="right"/>
              <w:ind w:right="52"/>
              <w:spacing w:after="0"/>
              <w:rPr>
                <w:sz w:val="20"/>
                <w:szCs w:val="20"/>
                <w:color w:val="auto"/>
              </w:rPr>
            </w:pPr>
            <w:r>
              <w:rPr>
                <w:rFonts w:ascii="Arial" w:cs="Arial" w:eastAsia="Arial" w:hAnsi="Arial"/>
                <w:sz w:val="13"/>
                <w:szCs w:val="13"/>
                <w:color w:val="auto"/>
              </w:rPr>
              <w:t>756,083</w:t>
            </w:r>
          </w:p>
        </w:tc>
        <w:tc>
          <w:tcPr>
            <w:tcW w:w="1520" w:type="dxa"/>
            <w:vAlign w:val="bottom"/>
            <w:shd w:val="clear" w:color="auto" w:fill="D9D9D9"/>
          </w:tcPr>
          <w:p>
            <w:pPr>
              <w:jc w:val="right"/>
              <w:ind w:right="72"/>
              <w:spacing w:after="0"/>
              <w:rPr>
                <w:sz w:val="20"/>
                <w:szCs w:val="20"/>
                <w:color w:val="auto"/>
              </w:rPr>
            </w:pPr>
            <w:r>
              <w:rPr>
                <w:rFonts w:ascii="Arial" w:cs="Arial" w:eastAsia="Arial" w:hAnsi="Arial"/>
                <w:sz w:val="13"/>
                <w:szCs w:val="13"/>
                <w:color w:val="auto"/>
              </w:rPr>
              <w:t>187,432</w:t>
            </w:r>
          </w:p>
        </w:tc>
        <w:tc>
          <w:tcPr>
            <w:tcW w:w="7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2,806,975</w:t>
            </w:r>
          </w:p>
        </w:tc>
        <w:tc>
          <w:tcPr>
            <w:tcW w:w="0" w:type="dxa"/>
            <w:vAlign w:val="bottom"/>
          </w:tcPr>
          <w:p>
            <w:pPr>
              <w:spacing w:after="0"/>
              <w:rPr>
                <w:sz w:val="1"/>
                <w:szCs w:val="1"/>
                <w:color w:val="auto"/>
              </w:rPr>
            </w:pPr>
          </w:p>
        </w:tc>
      </w:tr>
      <w:tr>
        <w:trPr>
          <w:trHeight w:val="210"/>
        </w:trPr>
        <w:tc>
          <w:tcPr>
            <w:tcW w:w="3180" w:type="dxa"/>
            <w:vAlign w:val="bottom"/>
            <w:tcBorders>
              <w:bottom w:val="single" w:sz="8" w:color="D9D9D9"/>
            </w:tcBorders>
            <w:shd w:val="clear" w:color="auto" w:fill="D9D9D9"/>
          </w:tcPr>
          <w:p>
            <w:pPr>
              <w:ind w:left="140"/>
              <w:spacing w:after="0"/>
              <w:rPr>
                <w:sz w:val="20"/>
                <w:szCs w:val="20"/>
                <w:color w:val="auto"/>
              </w:rPr>
            </w:pPr>
            <w:r>
              <w:rPr>
                <w:rFonts w:ascii="Arial" w:cs="Arial" w:eastAsia="Arial" w:hAnsi="Arial"/>
                <w:sz w:val="13"/>
                <w:szCs w:val="13"/>
                <w:color w:val="auto"/>
              </w:rPr>
              <w:t>and Chief Financial Officer</w:t>
            </w:r>
          </w:p>
        </w:tc>
        <w:tc>
          <w:tcPr>
            <w:tcW w:w="120" w:type="dxa"/>
            <w:vAlign w:val="bottom"/>
            <w:tcBorders>
              <w:bottom w:val="single" w:sz="8" w:color="D9D9D9"/>
            </w:tcBorders>
            <w:shd w:val="clear" w:color="auto" w:fill="D9D9D9"/>
          </w:tcPr>
          <w:p>
            <w:pPr>
              <w:spacing w:after="0"/>
              <w:rPr>
                <w:sz w:val="18"/>
                <w:szCs w:val="18"/>
                <w:color w:val="auto"/>
              </w:rPr>
            </w:pPr>
          </w:p>
        </w:tc>
        <w:tc>
          <w:tcPr>
            <w:tcW w:w="600" w:type="dxa"/>
            <w:vAlign w:val="bottom"/>
            <w:tcBorders>
              <w:bottom w:val="single" w:sz="8" w:color="D9D9D9"/>
            </w:tcBorders>
            <w:shd w:val="clear" w:color="auto" w:fill="D9D9D9"/>
          </w:tcPr>
          <w:p>
            <w:pPr>
              <w:jc w:val="center"/>
              <w:ind w:right="31"/>
              <w:spacing w:after="0"/>
              <w:rPr>
                <w:sz w:val="20"/>
                <w:szCs w:val="20"/>
                <w:color w:val="auto"/>
              </w:rPr>
            </w:pPr>
            <w:r>
              <w:rPr>
                <w:rFonts w:ascii="Arial" w:cs="Arial" w:eastAsia="Arial" w:hAnsi="Arial"/>
                <w:sz w:val="13"/>
                <w:szCs w:val="13"/>
                <w:color w:val="auto"/>
              </w:rPr>
              <w:t>2020</w:t>
            </w:r>
          </w:p>
        </w:tc>
        <w:tc>
          <w:tcPr>
            <w:tcW w:w="900" w:type="dxa"/>
            <w:vAlign w:val="bottom"/>
            <w:tcBorders>
              <w:bottom w:val="single" w:sz="8" w:color="D9D9D9"/>
            </w:tcBorders>
            <w:shd w:val="clear" w:color="auto" w:fill="D9D9D9"/>
          </w:tcPr>
          <w:p>
            <w:pPr>
              <w:jc w:val="right"/>
              <w:ind w:right="33"/>
              <w:spacing w:after="0"/>
              <w:rPr>
                <w:sz w:val="20"/>
                <w:szCs w:val="20"/>
                <w:color w:val="auto"/>
              </w:rPr>
            </w:pPr>
            <w:r>
              <w:rPr>
                <w:rFonts w:ascii="Arial" w:cs="Arial" w:eastAsia="Arial" w:hAnsi="Arial"/>
                <w:sz w:val="13"/>
                <w:szCs w:val="13"/>
                <w:color w:val="auto"/>
              </w:rPr>
              <w:t>496,800</w:t>
            </w:r>
          </w:p>
        </w:tc>
        <w:tc>
          <w:tcPr>
            <w:tcW w:w="82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3"/>
                <w:szCs w:val="13"/>
                <w:color w:val="auto"/>
                <w:w w:val="82"/>
              </w:rPr>
              <w:t>0</w:t>
            </w:r>
          </w:p>
        </w:tc>
        <w:tc>
          <w:tcPr>
            <w:tcW w:w="940" w:type="dxa"/>
            <w:vAlign w:val="bottom"/>
            <w:tcBorders>
              <w:bottom w:val="single" w:sz="8" w:color="D9D9D9"/>
            </w:tcBorders>
            <w:shd w:val="clear" w:color="auto" w:fill="D9D9D9"/>
          </w:tcPr>
          <w:p>
            <w:pPr>
              <w:jc w:val="right"/>
              <w:ind w:right="32"/>
              <w:spacing w:after="0"/>
              <w:rPr>
                <w:sz w:val="20"/>
                <w:szCs w:val="20"/>
                <w:color w:val="auto"/>
              </w:rPr>
            </w:pPr>
            <w:r>
              <w:rPr>
                <w:rFonts w:ascii="Arial" w:cs="Arial" w:eastAsia="Arial" w:hAnsi="Arial"/>
                <w:sz w:val="13"/>
                <w:szCs w:val="13"/>
                <w:color w:val="auto"/>
              </w:rPr>
              <w:t>518,111</w:t>
            </w:r>
          </w:p>
        </w:tc>
        <w:tc>
          <w:tcPr>
            <w:tcW w:w="920" w:type="dxa"/>
            <w:vAlign w:val="bottom"/>
            <w:tcBorders>
              <w:bottom w:val="single" w:sz="8" w:color="D9D9D9"/>
            </w:tcBorders>
            <w:shd w:val="clear" w:color="auto" w:fill="D9D9D9"/>
          </w:tcPr>
          <w:p>
            <w:pPr>
              <w:jc w:val="right"/>
              <w:ind w:right="52"/>
              <w:spacing w:after="0"/>
              <w:rPr>
                <w:sz w:val="20"/>
                <w:szCs w:val="20"/>
                <w:color w:val="auto"/>
              </w:rPr>
            </w:pPr>
            <w:r>
              <w:rPr>
                <w:rFonts w:ascii="Arial" w:cs="Arial" w:eastAsia="Arial" w:hAnsi="Arial"/>
                <w:sz w:val="13"/>
                <w:szCs w:val="13"/>
                <w:color w:val="auto"/>
              </w:rPr>
              <w:t>529,518</w:t>
            </w:r>
          </w:p>
        </w:tc>
        <w:tc>
          <w:tcPr>
            <w:tcW w:w="1500" w:type="dxa"/>
            <w:vAlign w:val="bottom"/>
            <w:tcBorders>
              <w:bottom w:val="single" w:sz="8" w:color="D9D9D9"/>
            </w:tcBorders>
            <w:shd w:val="clear" w:color="auto" w:fill="D9D9D9"/>
          </w:tcPr>
          <w:p>
            <w:pPr>
              <w:jc w:val="right"/>
              <w:ind w:right="52"/>
              <w:spacing w:after="0"/>
              <w:rPr>
                <w:sz w:val="20"/>
                <w:szCs w:val="20"/>
                <w:color w:val="auto"/>
              </w:rPr>
            </w:pPr>
            <w:r>
              <w:rPr>
                <w:rFonts w:ascii="Arial" w:cs="Arial" w:eastAsia="Arial" w:hAnsi="Arial"/>
                <w:sz w:val="13"/>
                <w:szCs w:val="13"/>
                <w:color w:val="auto"/>
              </w:rPr>
              <w:t>114,202</w:t>
            </w:r>
          </w:p>
        </w:tc>
        <w:tc>
          <w:tcPr>
            <w:tcW w:w="1520" w:type="dxa"/>
            <w:vAlign w:val="bottom"/>
            <w:tcBorders>
              <w:bottom w:val="single" w:sz="8" w:color="D9D9D9"/>
            </w:tcBorders>
            <w:shd w:val="clear" w:color="auto" w:fill="D9D9D9"/>
          </w:tcPr>
          <w:p>
            <w:pPr>
              <w:jc w:val="right"/>
              <w:ind w:right="72"/>
              <w:spacing w:after="0"/>
              <w:rPr>
                <w:sz w:val="20"/>
                <w:szCs w:val="20"/>
                <w:color w:val="auto"/>
              </w:rPr>
            </w:pPr>
            <w:r>
              <w:rPr>
                <w:rFonts w:ascii="Arial" w:cs="Arial" w:eastAsia="Arial" w:hAnsi="Arial"/>
                <w:sz w:val="13"/>
                <w:szCs w:val="13"/>
                <w:color w:val="auto"/>
              </w:rPr>
              <w:t>73,211</w:t>
            </w:r>
          </w:p>
        </w:tc>
        <w:tc>
          <w:tcPr>
            <w:tcW w:w="74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13"/>
                <w:szCs w:val="13"/>
                <w:color w:val="auto"/>
              </w:rPr>
              <w:t>1,731,842</w:t>
            </w:r>
          </w:p>
        </w:tc>
        <w:tc>
          <w:tcPr>
            <w:tcW w:w="0" w:type="dxa"/>
            <w:vAlign w:val="bottom"/>
          </w:tcPr>
          <w:p>
            <w:pPr>
              <w:spacing w:after="0"/>
              <w:rPr>
                <w:sz w:val="1"/>
                <w:szCs w:val="1"/>
                <w:color w:val="auto"/>
              </w:rPr>
            </w:pPr>
          </w:p>
        </w:tc>
      </w:tr>
      <w:tr>
        <w:trPr>
          <w:trHeight w:val="203"/>
        </w:trPr>
        <w:tc>
          <w:tcPr>
            <w:tcW w:w="3180" w:type="dxa"/>
            <w:vAlign w:val="bottom"/>
          </w:tcPr>
          <w:p>
            <w:pPr>
              <w:spacing w:after="0"/>
              <w:rPr>
                <w:sz w:val="20"/>
                <w:szCs w:val="20"/>
                <w:color w:val="auto"/>
              </w:rPr>
            </w:pPr>
            <w:r>
              <w:rPr>
                <w:rFonts w:ascii="Arial" w:cs="Arial" w:eastAsia="Arial" w:hAnsi="Arial"/>
                <w:sz w:val="13"/>
                <w:szCs w:val="13"/>
                <w:color w:val="auto"/>
              </w:rPr>
              <w:t>Kevin N. Carpenter,</w:t>
            </w:r>
          </w:p>
        </w:tc>
        <w:tc>
          <w:tcPr>
            <w:tcW w:w="720" w:type="dxa"/>
            <w:vAlign w:val="bottom"/>
            <w:gridSpan w:val="2"/>
          </w:tcPr>
          <w:p>
            <w:pPr>
              <w:jc w:val="center"/>
              <w:spacing w:after="0"/>
              <w:rPr>
                <w:sz w:val="20"/>
                <w:szCs w:val="20"/>
                <w:color w:val="auto"/>
              </w:rPr>
            </w:pPr>
            <w:r>
              <w:rPr>
                <w:rFonts w:ascii="Arial" w:cs="Arial" w:eastAsia="Arial" w:hAnsi="Arial"/>
                <w:sz w:val="13"/>
                <w:szCs w:val="13"/>
                <w:color w:val="auto"/>
              </w:rPr>
              <w:t>2022</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422,858</w:t>
            </w:r>
          </w:p>
        </w:tc>
        <w:tc>
          <w:tcPr>
            <w:tcW w:w="820" w:type="dxa"/>
            <w:vAlign w:val="bottom"/>
          </w:tcPr>
          <w:p>
            <w:pPr>
              <w:jc w:val="center"/>
              <w:spacing w:after="0"/>
              <w:rPr>
                <w:sz w:val="20"/>
                <w:szCs w:val="20"/>
                <w:color w:val="auto"/>
              </w:rPr>
            </w:pPr>
            <w:r>
              <w:rPr>
                <w:rFonts w:ascii="Arial" w:cs="Arial" w:eastAsia="Arial" w:hAnsi="Arial"/>
                <w:sz w:val="13"/>
                <w:szCs w:val="13"/>
                <w:color w:val="auto"/>
              </w:rPr>
              <w:t>450,000</w:t>
            </w:r>
          </w:p>
        </w:tc>
        <w:tc>
          <w:tcPr>
            <w:tcW w:w="940" w:type="dxa"/>
            <w:vAlign w:val="bottom"/>
          </w:tcPr>
          <w:p>
            <w:pPr>
              <w:jc w:val="right"/>
              <w:ind w:right="32"/>
              <w:spacing w:after="0"/>
              <w:rPr>
                <w:sz w:val="20"/>
                <w:szCs w:val="20"/>
                <w:color w:val="auto"/>
              </w:rPr>
            </w:pPr>
            <w:r>
              <w:rPr>
                <w:rFonts w:ascii="Arial" w:cs="Arial" w:eastAsia="Arial" w:hAnsi="Arial"/>
                <w:sz w:val="13"/>
                <w:szCs w:val="13"/>
                <w:color w:val="auto"/>
              </w:rPr>
              <w:t>1,986,129</w:t>
            </w:r>
          </w:p>
        </w:tc>
        <w:tc>
          <w:tcPr>
            <w:tcW w:w="920" w:type="dxa"/>
            <w:vAlign w:val="bottom"/>
          </w:tcPr>
          <w:p>
            <w:pPr>
              <w:jc w:val="right"/>
              <w:ind w:right="52"/>
              <w:spacing w:after="0"/>
              <w:rPr>
                <w:sz w:val="20"/>
                <w:szCs w:val="20"/>
                <w:color w:val="auto"/>
              </w:rPr>
            </w:pPr>
            <w:r>
              <w:rPr>
                <w:rFonts w:ascii="Arial" w:cs="Arial" w:eastAsia="Arial" w:hAnsi="Arial"/>
                <w:sz w:val="13"/>
                <w:szCs w:val="13"/>
                <w:color w:val="auto"/>
              </w:rPr>
              <w:t>236,694</w:t>
            </w:r>
          </w:p>
        </w:tc>
        <w:tc>
          <w:tcPr>
            <w:tcW w:w="1500" w:type="dxa"/>
            <w:vAlign w:val="bottom"/>
          </w:tcPr>
          <w:p>
            <w:pPr>
              <w:jc w:val="right"/>
              <w:ind w:right="52"/>
              <w:spacing w:after="0"/>
              <w:rPr>
                <w:sz w:val="20"/>
                <w:szCs w:val="20"/>
                <w:color w:val="auto"/>
              </w:rPr>
            </w:pPr>
            <w:r>
              <w:rPr>
                <w:rFonts w:ascii="Arial" w:cs="Arial" w:eastAsia="Arial" w:hAnsi="Arial"/>
                <w:sz w:val="13"/>
                <w:szCs w:val="13"/>
                <w:color w:val="auto"/>
              </w:rPr>
              <w:t>170,823</w:t>
            </w:r>
          </w:p>
        </w:tc>
        <w:tc>
          <w:tcPr>
            <w:tcW w:w="1520" w:type="dxa"/>
            <w:vAlign w:val="bottom"/>
          </w:tcPr>
          <w:p>
            <w:pPr>
              <w:jc w:val="right"/>
              <w:ind w:right="72"/>
              <w:spacing w:after="0"/>
              <w:rPr>
                <w:sz w:val="20"/>
                <w:szCs w:val="20"/>
                <w:color w:val="auto"/>
              </w:rPr>
            </w:pPr>
            <w:r>
              <w:rPr>
                <w:rFonts w:ascii="Arial" w:cs="Arial" w:eastAsia="Arial" w:hAnsi="Arial"/>
                <w:sz w:val="13"/>
                <w:szCs w:val="13"/>
                <w:color w:val="auto"/>
              </w:rPr>
              <w:t>114,754</w:t>
            </w:r>
          </w:p>
        </w:tc>
        <w:tc>
          <w:tcPr>
            <w:tcW w:w="740" w:type="dxa"/>
            <w:vAlign w:val="bottom"/>
          </w:tcPr>
          <w:p>
            <w:pPr>
              <w:jc w:val="right"/>
              <w:spacing w:after="0"/>
              <w:rPr>
                <w:sz w:val="20"/>
                <w:szCs w:val="20"/>
                <w:color w:val="auto"/>
              </w:rPr>
            </w:pPr>
            <w:r>
              <w:rPr>
                <w:rFonts w:ascii="Arial" w:cs="Arial" w:eastAsia="Arial" w:hAnsi="Arial"/>
                <w:sz w:val="13"/>
                <w:szCs w:val="13"/>
                <w:color w:val="auto"/>
              </w:rPr>
              <w:t>3,381,258</w:t>
            </w:r>
          </w:p>
        </w:tc>
        <w:tc>
          <w:tcPr>
            <w:tcW w:w="0" w:type="dxa"/>
            <w:vAlign w:val="bottom"/>
          </w:tcPr>
          <w:p>
            <w:pPr>
              <w:spacing w:after="0"/>
              <w:rPr>
                <w:sz w:val="1"/>
                <w:szCs w:val="1"/>
                <w:color w:val="auto"/>
              </w:rPr>
            </w:pPr>
          </w:p>
        </w:tc>
      </w:tr>
      <w:tr>
        <w:trPr>
          <w:trHeight w:val="148"/>
        </w:trPr>
        <w:tc>
          <w:tcPr>
            <w:tcW w:w="3180" w:type="dxa"/>
            <w:vAlign w:val="bottom"/>
          </w:tcPr>
          <w:p>
            <w:pPr>
              <w:ind w:left="140"/>
              <w:spacing w:after="0"/>
              <w:rPr>
                <w:sz w:val="20"/>
                <w:szCs w:val="20"/>
                <w:color w:val="auto"/>
              </w:rPr>
            </w:pPr>
            <w:r>
              <w:rPr>
                <w:rFonts w:ascii="Arial" w:cs="Arial" w:eastAsia="Arial" w:hAnsi="Arial"/>
                <w:sz w:val="13"/>
                <w:szCs w:val="13"/>
                <w:color w:val="auto"/>
              </w:rPr>
              <w:t>Vice President, Global Operations</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180" w:type="dxa"/>
            <w:vAlign w:val="bottom"/>
          </w:tcPr>
          <w:p>
            <w:pPr>
              <w:ind w:left="140"/>
              <w:spacing w:after="0"/>
              <w:rPr>
                <w:sz w:val="20"/>
                <w:szCs w:val="20"/>
                <w:color w:val="auto"/>
              </w:rPr>
            </w:pPr>
            <w:r>
              <w:rPr>
                <w:rFonts w:ascii="Arial" w:cs="Arial" w:eastAsia="Arial" w:hAnsi="Arial"/>
                <w:sz w:val="13"/>
                <w:szCs w:val="13"/>
                <w:color w:val="auto"/>
              </w:rPr>
              <w:t xml:space="preserve">and Integrated Supply Chain </w:t>
            </w:r>
            <w:r>
              <w:rPr>
                <w:rFonts w:ascii="Arial" w:cs="Arial" w:eastAsia="Arial" w:hAnsi="Arial"/>
                <w:sz w:val="11"/>
                <w:szCs w:val="11"/>
                <w:color w:val="auto"/>
              </w:rPr>
              <w:t>(7)</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180" w:type="dxa"/>
            <w:vAlign w:val="bottom"/>
            <w:shd w:val="clear" w:color="auto" w:fill="D9D9D9"/>
          </w:tcPr>
          <w:p>
            <w:pPr>
              <w:spacing w:after="0"/>
              <w:rPr>
                <w:sz w:val="20"/>
                <w:szCs w:val="20"/>
                <w:color w:val="auto"/>
              </w:rPr>
            </w:pPr>
            <w:r>
              <w:rPr>
                <w:rFonts w:ascii="Arial" w:cs="Arial" w:eastAsia="Arial" w:hAnsi="Arial"/>
                <w:sz w:val="13"/>
                <w:szCs w:val="13"/>
                <w:color w:val="auto"/>
              </w:rPr>
              <w:t>Richard W. Rodier,</w:t>
            </w:r>
          </w:p>
        </w:tc>
        <w:tc>
          <w:tcPr>
            <w:tcW w:w="720" w:type="dxa"/>
            <w:vAlign w:val="bottom"/>
            <w:gridSpan w:val="2"/>
            <w:shd w:val="clear" w:color="auto" w:fill="D9D9D9"/>
          </w:tcPr>
          <w:p>
            <w:pPr>
              <w:jc w:val="center"/>
              <w:spacing w:after="0"/>
              <w:rPr>
                <w:sz w:val="20"/>
                <w:szCs w:val="20"/>
                <w:color w:val="auto"/>
              </w:rPr>
            </w:pPr>
            <w:r>
              <w:rPr>
                <w:rFonts w:ascii="Arial" w:cs="Arial" w:eastAsia="Arial" w:hAnsi="Arial"/>
                <w:sz w:val="13"/>
                <w:szCs w:val="13"/>
                <w:color w:val="auto"/>
              </w:rPr>
              <w:t>2022</w:t>
            </w:r>
          </w:p>
        </w:tc>
        <w:tc>
          <w:tcPr>
            <w:tcW w:w="900" w:type="dxa"/>
            <w:vAlign w:val="bottom"/>
            <w:shd w:val="clear" w:color="auto" w:fill="D9D9D9"/>
          </w:tcPr>
          <w:p>
            <w:pPr>
              <w:jc w:val="right"/>
              <w:ind w:right="33"/>
              <w:spacing w:after="0"/>
              <w:rPr>
                <w:sz w:val="20"/>
                <w:szCs w:val="20"/>
                <w:color w:val="auto"/>
              </w:rPr>
            </w:pPr>
            <w:r>
              <w:rPr>
                <w:rFonts w:ascii="Arial" w:cs="Arial" w:eastAsia="Arial" w:hAnsi="Arial"/>
                <w:sz w:val="13"/>
                <w:szCs w:val="13"/>
                <w:color w:val="auto"/>
              </w:rPr>
              <w:t>537,054</w:t>
            </w:r>
          </w:p>
        </w:tc>
        <w:tc>
          <w:tcPr>
            <w:tcW w:w="820" w:type="dxa"/>
            <w:vAlign w:val="bottom"/>
            <w:shd w:val="clear" w:color="auto" w:fill="D9D9D9"/>
          </w:tcPr>
          <w:p>
            <w:pPr>
              <w:jc w:val="center"/>
              <w:spacing w:after="0"/>
              <w:rPr>
                <w:sz w:val="20"/>
                <w:szCs w:val="20"/>
                <w:color w:val="auto"/>
              </w:rPr>
            </w:pPr>
            <w:r>
              <w:rPr>
                <w:rFonts w:ascii="Arial" w:cs="Arial" w:eastAsia="Arial" w:hAnsi="Arial"/>
                <w:sz w:val="13"/>
                <w:szCs w:val="13"/>
                <w:color w:val="auto"/>
                <w:w w:val="82"/>
              </w:rPr>
              <w:t>0</w:t>
            </w:r>
          </w:p>
        </w:tc>
        <w:tc>
          <w:tcPr>
            <w:tcW w:w="940" w:type="dxa"/>
            <w:vAlign w:val="bottom"/>
            <w:shd w:val="clear" w:color="auto" w:fill="D9D9D9"/>
          </w:tcPr>
          <w:p>
            <w:pPr>
              <w:jc w:val="right"/>
              <w:ind w:right="32"/>
              <w:spacing w:after="0"/>
              <w:rPr>
                <w:sz w:val="20"/>
                <w:szCs w:val="20"/>
                <w:color w:val="auto"/>
              </w:rPr>
            </w:pPr>
            <w:r>
              <w:rPr>
                <w:rFonts w:ascii="Arial" w:cs="Arial" w:eastAsia="Arial" w:hAnsi="Arial"/>
                <w:sz w:val="13"/>
                <w:szCs w:val="13"/>
                <w:color w:val="auto"/>
              </w:rPr>
              <w:t>472,368</w:t>
            </w:r>
          </w:p>
        </w:tc>
        <w:tc>
          <w:tcPr>
            <w:tcW w:w="920" w:type="dxa"/>
            <w:vAlign w:val="bottom"/>
            <w:shd w:val="clear" w:color="auto" w:fill="D9D9D9"/>
          </w:tcPr>
          <w:p>
            <w:pPr>
              <w:jc w:val="right"/>
              <w:ind w:right="52"/>
              <w:spacing w:after="0"/>
              <w:rPr>
                <w:sz w:val="20"/>
                <w:szCs w:val="20"/>
                <w:color w:val="auto"/>
              </w:rPr>
            </w:pPr>
            <w:r>
              <w:rPr>
                <w:rFonts w:ascii="Arial" w:cs="Arial" w:eastAsia="Arial" w:hAnsi="Arial"/>
                <w:sz w:val="13"/>
                <w:szCs w:val="13"/>
                <w:color w:val="auto"/>
              </w:rPr>
              <w:t>473,388</w:t>
            </w:r>
          </w:p>
        </w:tc>
        <w:tc>
          <w:tcPr>
            <w:tcW w:w="1500" w:type="dxa"/>
            <w:vAlign w:val="bottom"/>
            <w:shd w:val="clear" w:color="auto" w:fill="D9D9D9"/>
          </w:tcPr>
          <w:p>
            <w:pPr>
              <w:jc w:val="right"/>
              <w:ind w:right="52"/>
              <w:spacing w:after="0"/>
              <w:rPr>
                <w:sz w:val="20"/>
                <w:szCs w:val="20"/>
                <w:color w:val="auto"/>
              </w:rPr>
            </w:pPr>
            <w:r>
              <w:rPr>
                <w:rFonts w:ascii="Arial" w:cs="Arial" w:eastAsia="Arial" w:hAnsi="Arial"/>
                <w:sz w:val="13"/>
                <w:szCs w:val="13"/>
                <w:color w:val="auto"/>
              </w:rPr>
              <w:t>277,885</w:t>
            </w:r>
          </w:p>
        </w:tc>
        <w:tc>
          <w:tcPr>
            <w:tcW w:w="1520" w:type="dxa"/>
            <w:vAlign w:val="bottom"/>
            <w:shd w:val="clear" w:color="auto" w:fill="D9D9D9"/>
          </w:tcPr>
          <w:p>
            <w:pPr>
              <w:jc w:val="right"/>
              <w:ind w:right="72"/>
              <w:spacing w:after="0"/>
              <w:rPr>
                <w:sz w:val="20"/>
                <w:szCs w:val="20"/>
                <w:color w:val="auto"/>
              </w:rPr>
            </w:pPr>
            <w:r>
              <w:rPr>
                <w:rFonts w:ascii="Arial" w:cs="Arial" w:eastAsia="Arial" w:hAnsi="Arial"/>
                <w:sz w:val="13"/>
                <w:szCs w:val="13"/>
                <w:color w:val="auto"/>
              </w:rPr>
              <w:t>114,968</w:t>
            </w:r>
          </w:p>
        </w:tc>
        <w:tc>
          <w:tcPr>
            <w:tcW w:w="7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1,875,663</w:t>
            </w:r>
          </w:p>
        </w:tc>
        <w:tc>
          <w:tcPr>
            <w:tcW w:w="0" w:type="dxa"/>
            <w:vAlign w:val="bottom"/>
          </w:tcPr>
          <w:p>
            <w:pPr>
              <w:spacing w:after="0"/>
              <w:rPr>
                <w:sz w:val="1"/>
                <w:szCs w:val="1"/>
                <w:color w:val="auto"/>
              </w:rPr>
            </w:pPr>
          </w:p>
        </w:tc>
      </w:tr>
      <w:tr>
        <w:trPr>
          <w:trHeight w:val="176"/>
        </w:trPr>
        <w:tc>
          <w:tcPr>
            <w:tcW w:w="3180" w:type="dxa"/>
            <w:vAlign w:val="bottom"/>
            <w:shd w:val="clear" w:color="auto" w:fill="D9D9D9"/>
          </w:tcPr>
          <w:p>
            <w:pPr>
              <w:ind w:left="140"/>
              <w:spacing w:after="0"/>
              <w:rPr>
                <w:sz w:val="20"/>
                <w:szCs w:val="20"/>
                <w:color w:val="auto"/>
              </w:rPr>
            </w:pPr>
            <w:r>
              <w:rPr>
                <w:rFonts w:ascii="Arial" w:cs="Arial" w:eastAsia="Arial" w:hAnsi="Arial"/>
                <w:sz w:val="13"/>
                <w:szCs w:val="13"/>
                <w:color w:val="auto"/>
              </w:rPr>
              <w:t>Group Vice President,</w:t>
            </w:r>
          </w:p>
        </w:tc>
        <w:tc>
          <w:tcPr>
            <w:tcW w:w="120" w:type="dxa"/>
            <w:vAlign w:val="bottom"/>
            <w:shd w:val="clear" w:color="auto" w:fill="D9D9D9"/>
          </w:tcPr>
          <w:p>
            <w:pPr>
              <w:spacing w:after="0"/>
              <w:rPr>
                <w:sz w:val="15"/>
                <w:szCs w:val="15"/>
                <w:color w:val="auto"/>
              </w:rPr>
            </w:pPr>
          </w:p>
        </w:tc>
        <w:tc>
          <w:tcPr>
            <w:tcW w:w="600" w:type="dxa"/>
            <w:vAlign w:val="bottom"/>
            <w:shd w:val="clear" w:color="auto" w:fill="D9D9D9"/>
          </w:tcPr>
          <w:p>
            <w:pPr>
              <w:jc w:val="center"/>
              <w:ind w:right="31"/>
              <w:spacing w:after="0"/>
              <w:rPr>
                <w:sz w:val="20"/>
                <w:szCs w:val="20"/>
                <w:color w:val="auto"/>
              </w:rPr>
            </w:pPr>
            <w:r>
              <w:rPr>
                <w:rFonts w:ascii="Arial" w:cs="Arial" w:eastAsia="Arial" w:hAnsi="Arial"/>
                <w:sz w:val="13"/>
                <w:szCs w:val="13"/>
                <w:color w:val="auto"/>
              </w:rPr>
              <w:t>2021</w:t>
            </w:r>
          </w:p>
        </w:tc>
        <w:tc>
          <w:tcPr>
            <w:tcW w:w="900" w:type="dxa"/>
            <w:vAlign w:val="bottom"/>
            <w:shd w:val="clear" w:color="auto" w:fill="D9D9D9"/>
          </w:tcPr>
          <w:p>
            <w:pPr>
              <w:jc w:val="right"/>
              <w:ind w:right="33"/>
              <w:spacing w:after="0"/>
              <w:rPr>
                <w:sz w:val="20"/>
                <w:szCs w:val="20"/>
                <w:color w:val="auto"/>
              </w:rPr>
            </w:pPr>
            <w:r>
              <w:rPr>
                <w:rFonts w:ascii="Arial" w:cs="Arial" w:eastAsia="Arial" w:hAnsi="Arial"/>
                <w:sz w:val="13"/>
                <w:szCs w:val="13"/>
                <w:color w:val="auto"/>
              </w:rPr>
              <w:t>515,545</w:t>
            </w:r>
          </w:p>
        </w:tc>
        <w:tc>
          <w:tcPr>
            <w:tcW w:w="820" w:type="dxa"/>
            <w:vAlign w:val="bottom"/>
            <w:shd w:val="clear" w:color="auto" w:fill="D9D9D9"/>
          </w:tcPr>
          <w:p>
            <w:pPr>
              <w:jc w:val="center"/>
              <w:spacing w:after="0"/>
              <w:rPr>
                <w:sz w:val="20"/>
                <w:szCs w:val="20"/>
                <w:color w:val="auto"/>
              </w:rPr>
            </w:pPr>
            <w:r>
              <w:rPr>
                <w:rFonts w:ascii="Arial" w:cs="Arial" w:eastAsia="Arial" w:hAnsi="Arial"/>
                <w:sz w:val="13"/>
                <w:szCs w:val="13"/>
                <w:color w:val="auto"/>
                <w:w w:val="82"/>
              </w:rPr>
              <w:t>0</w:t>
            </w:r>
          </w:p>
        </w:tc>
        <w:tc>
          <w:tcPr>
            <w:tcW w:w="940" w:type="dxa"/>
            <w:vAlign w:val="bottom"/>
            <w:shd w:val="clear" w:color="auto" w:fill="D9D9D9"/>
          </w:tcPr>
          <w:p>
            <w:pPr>
              <w:jc w:val="right"/>
              <w:ind w:right="32"/>
              <w:spacing w:after="0"/>
              <w:rPr>
                <w:sz w:val="20"/>
                <w:szCs w:val="20"/>
                <w:color w:val="auto"/>
              </w:rPr>
            </w:pPr>
            <w:r>
              <w:rPr>
                <w:rFonts w:ascii="Arial" w:cs="Arial" w:eastAsia="Arial" w:hAnsi="Arial"/>
                <w:sz w:val="13"/>
                <w:szCs w:val="13"/>
                <w:color w:val="auto"/>
              </w:rPr>
              <w:t>561,658</w:t>
            </w:r>
          </w:p>
        </w:tc>
        <w:tc>
          <w:tcPr>
            <w:tcW w:w="920" w:type="dxa"/>
            <w:vAlign w:val="bottom"/>
            <w:shd w:val="clear" w:color="auto" w:fill="D9D9D9"/>
          </w:tcPr>
          <w:p>
            <w:pPr>
              <w:jc w:val="right"/>
              <w:ind w:right="52"/>
              <w:spacing w:after="0"/>
              <w:rPr>
                <w:sz w:val="20"/>
                <w:szCs w:val="20"/>
                <w:color w:val="auto"/>
              </w:rPr>
            </w:pPr>
            <w:r>
              <w:rPr>
                <w:rFonts w:ascii="Arial" w:cs="Arial" w:eastAsia="Arial" w:hAnsi="Arial"/>
                <w:sz w:val="13"/>
                <w:szCs w:val="13"/>
                <w:color w:val="auto"/>
              </w:rPr>
              <w:t>584,304</w:t>
            </w:r>
          </w:p>
        </w:tc>
        <w:tc>
          <w:tcPr>
            <w:tcW w:w="1500" w:type="dxa"/>
            <w:vAlign w:val="bottom"/>
            <w:shd w:val="clear" w:color="auto" w:fill="D9D9D9"/>
          </w:tcPr>
          <w:p>
            <w:pPr>
              <w:jc w:val="right"/>
              <w:ind w:right="52"/>
              <w:spacing w:after="0"/>
              <w:rPr>
                <w:sz w:val="20"/>
                <w:szCs w:val="20"/>
                <w:color w:val="auto"/>
              </w:rPr>
            </w:pPr>
            <w:r>
              <w:rPr>
                <w:rFonts w:ascii="Arial" w:cs="Arial" w:eastAsia="Arial" w:hAnsi="Arial"/>
                <w:sz w:val="13"/>
                <w:szCs w:val="13"/>
                <w:color w:val="auto"/>
              </w:rPr>
              <w:t>602,528</w:t>
            </w:r>
          </w:p>
        </w:tc>
        <w:tc>
          <w:tcPr>
            <w:tcW w:w="1520" w:type="dxa"/>
            <w:vAlign w:val="bottom"/>
            <w:shd w:val="clear" w:color="auto" w:fill="D9D9D9"/>
          </w:tcPr>
          <w:p>
            <w:pPr>
              <w:jc w:val="right"/>
              <w:ind w:right="72"/>
              <w:spacing w:after="0"/>
              <w:rPr>
                <w:sz w:val="20"/>
                <w:szCs w:val="20"/>
                <w:color w:val="auto"/>
              </w:rPr>
            </w:pPr>
            <w:r>
              <w:rPr>
                <w:rFonts w:ascii="Arial" w:cs="Arial" w:eastAsia="Arial" w:hAnsi="Arial"/>
                <w:sz w:val="13"/>
                <w:szCs w:val="13"/>
                <w:color w:val="auto"/>
              </w:rPr>
              <w:t>127,192</w:t>
            </w:r>
          </w:p>
        </w:tc>
        <w:tc>
          <w:tcPr>
            <w:tcW w:w="7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2,391,228</w:t>
            </w:r>
          </w:p>
        </w:tc>
        <w:tc>
          <w:tcPr>
            <w:tcW w:w="0" w:type="dxa"/>
            <w:vAlign w:val="bottom"/>
          </w:tcPr>
          <w:p>
            <w:pPr>
              <w:spacing w:after="0"/>
              <w:rPr>
                <w:sz w:val="1"/>
                <w:szCs w:val="1"/>
                <w:color w:val="auto"/>
              </w:rPr>
            </w:pPr>
          </w:p>
        </w:tc>
      </w:tr>
      <w:tr>
        <w:trPr>
          <w:trHeight w:val="209"/>
        </w:trPr>
        <w:tc>
          <w:tcPr>
            <w:tcW w:w="3180" w:type="dxa"/>
            <w:vAlign w:val="bottom"/>
            <w:tcBorders>
              <w:bottom w:val="single" w:sz="8" w:color="D9D9D9"/>
            </w:tcBorders>
            <w:shd w:val="clear" w:color="auto" w:fill="D9D9D9"/>
          </w:tcPr>
          <w:p>
            <w:pPr>
              <w:ind w:left="140"/>
              <w:spacing w:after="0"/>
              <w:rPr>
                <w:sz w:val="20"/>
                <w:szCs w:val="20"/>
                <w:color w:val="auto"/>
              </w:rPr>
            </w:pPr>
            <w:r>
              <w:rPr>
                <w:rFonts w:ascii="Arial" w:cs="Arial" w:eastAsia="Arial" w:hAnsi="Arial"/>
                <w:sz w:val="13"/>
                <w:szCs w:val="13"/>
                <w:color w:val="auto"/>
              </w:rPr>
              <w:t>Construction Businesses</w:t>
            </w:r>
          </w:p>
        </w:tc>
        <w:tc>
          <w:tcPr>
            <w:tcW w:w="120" w:type="dxa"/>
            <w:vAlign w:val="bottom"/>
            <w:tcBorders>
              <w:bottom w:val="single" w:sz="8" w:color="D9D9D9"/>
            </w:tcBorders>
            <w:shd w:val="clear" w:color="auto" w:fill="D9D9D9"/>
          </w:tcPr>
          <w:p>
            <w:pPr>
              <w:spacing w:after="0"/>
              <w:rPr>
                <w:sz w:val="18"/>
                <w:szCs w:val="18"/>
                <w:color w:val="auto"/>
              </w:rPr>
            </w:pPr>
          </w:p>
        </w:tc>
        <w:tc>
          <w:tcPr>
            <w:tcW w:w="600" w:type="dxa"/>
            <w:vAlign w:val="bottom"/>
            <w:tcBorders>
              <w:bottom w:val="single" w:sz="8" w:color="D9D9D9"/>
            </w:tcBorders>
            <w:shd w:val="clear" w:color="auto" w:fill="D9D9D9"/>
          </w:tcPr>
          <w:p>
            <w:pPr>
              <w:jc w:val="center"/>
              <w:ind w:right="31"/>
              <w:spacing w:after="0"/>
              <w:rPr>
                <w:sz w:val="20"/>
                <w:szCs w:val="20"/>
                <w:color w:val="auto"/>
              </w:rPr>
            </w:pPr>
            <w:r>
              <w:rPr>
                <w:rFonts w:ascii="Arial" w:cs="Arial" w:eastAsia="Arial" w:hAnsi="Arial"/>
                <w:sz w:val="13"/>
                <w:szCs w:val="13"/>
                <w:color w:val="auto"/>
              </w:rPr>
              <w:t>2020</w:t>
            </w:r>
          </w:p>
        </w:tc>
        <w:tc>
          <w:tcPr>
            <w:tcW w:w="900" w:type="dxa"/>
            <w:vAlign w:val="bottom"/>
            <w:tcBorders>
              <w:bottom w:val="single" w:sz="8" w:color="D9D9D9"/>
            </w:tcBorders>
            <w:shd w:val="clear" w:color="auto" w:fill="D9D9D9"/>
          </w:tcPr>
          <w:p>
            <w:pPr>
              <w:jc w:val="right"/>
              <w:ind w:right="33"/>
              <w:spacing w:after="0"/>
              <w:rPr>
                <w:sz w:val="20"/>
                <w:szCs w:val="20"/>
                <w:color w:val="auto"/>
              </w:rPr>
            </w:pPr>
            <w:r>
              <w:rPr>
                <w:rFonts w:ascii="Arial" w:cs="Arial" w:eastAsia="Arial" w:hAnsi="Arial"/>
                <w:sz w:val="13"/>
                <w:szCs w:val="13"/>
                <w:color w:val="auto"/>
              </w:rPr>
              <w:t>399,333</w:t>
            </w:r>
          </w:p>
        </w:tc>
        <w:tc>
          <w:tcPr>
            <w:tcW w:w="82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3"/>
                <w:szCs w:val="13"/>
                <w:color w:val="auto"/>
                <w:w w:val="82"/>
              </w:rPr>
              <w:t>0</w:t>
            </w:r>
          </w:p>
        </w:tc>
        <w:tc>
          <w:tcPr>
            <w:tcW w:w="940" w:type="dxa"/>
            <w:vAlign w:val="bottom"/>
            <w:tcBorders>
              <w:bottom w:val="single" w:sz="8" w:color="D9D9D9"/>
            </w:tcBorders>
            <w:shd w:val="clear" w:color="auto" w:fill="D9D9D9"/>
          </w:tcPr>
          <w:p>
            <w:pPr>
              <w:jc w:val="right"/>
              <w:ind w:right="32"/>
              <w:spacing w:after="0"/>
              <w:rPr>
                <w:sz w:val="20"/>
                <w:szCs w:val="20"/>
                <w:color w:val="auto"/>
              </w:rPr>
            </w:pPr>
            <w:r>
              <w:rPr>
                <w:rFonts w:ascii="Arial" w:cs="Arial" w:eastAsia="Arial" w:hAnsi="Arial"/>
                <w:sz w:val="13"/>
                <w:szCs w:val="13"/>
                <w:color w:val="auto"/>
              </w:rPr>
              <w:t>383,620</w:t>
            </w:r>
          </w:p>
        </w:tc>
        <w:tc>
          <w:tcPr>
            <w:tcW w:w="920" w:type="dxa"/>
            <w:vAlign w:val="bottom"/>
            <w:tcBorders>
              <w:bottom w:val="single" w:sz="8" w:color="D9D9D9"/>
            </w:tcBorders>
            <w:shd w:val="clear" w:color="auto" w:fill="D9D9D9"/>
          </w:tcPr>
          <w:p>
            <w:pPr>
              <w:jc w:val="right"/>
              <w:ind w:right="52"/>
              <w:spacing w:after="0"/>
              <w:rPr>
                <w:sz w:val="20"/>
                <w:szCs w:val="20"/>
                <w:color w:val="auto"/>
              </w:rPr>
            </w:pPr>
            <w:r>
              <w:rPr>
                <w:rFonts w:ascii="Arial" w:cs="Arial" w:eastAsia="Arial" w:hAnsi="Arial"/>
                <w:sz w:val="13"/>
                <w:szCs w:val="13"/>
                <w:color w:val="auto"/>
              </w:rPr>
              <w:t>604,329</w:t>
            </w:r>
          </w:p>
        </w:tc>
        <w:tc>
          <w:tcPr>
            <w:tcW w:w="1500" w:type="dxa"/>
            <w:vAlign w:val="bottom"/>
            <w:tcBorders>
              <w:bottom w:val="single" w:sz="8" w:color="D9D9D9"/>
            </w:tcBorders>
            <w:shd w:val="clear" w:color="auto" w:fill="D9D9D9"/>
          </w:tcPr>
          <w:p>
            <w:pPr>
              <w:jc w:val="right"/>
              <w:ind w:right="52"/>
              <w:spacing w:after="0"/>
              <w:rPr>
                <w:sz w:val="20"/>
                <w:szCs w:val="20"/>
                <w:color w:val="auto"/>
              </w:rPr>
            </w:pPr>
            <w:r>
              <w:rPr>
                <w:rFonts w:ascii="Arial" w:cs="Arial" w:eastAsia="Arial" w:hAnsi="Arial"/>
                <w:sz w:val="13"/>
                <w:szCs w:val="13"/>
                <w:color w:val="auto"/>
              </w:rPr>
              <w:t>79,057</w:t>
            </w:r>
          </w:p>
        </w:tc>
        <w:tc>
          <w:tcPr>
            <w:tcW w:w="1520" w:type="dxa"/>
            <w:vAlign w:val="bottom"/>
            <w:tcBorders>
              <w:bottom w:val="single" w:sz="8" w:color="D9D9D9"/>
            </w:tcBorders>
            <w:shd w:val="clear" w:color="auto" w:fill="D9D9D9"/>
          </w:tcPr>
          <w:p>
            <w:pPr>
              <w:jc w:val="right"/>
              <w:ind w:right="72"/>
              <w:spacing w:after="0"/>
              <w:rPr>
                <w:sz w:val="20"/>
                <w:szCs w:val="20"/>
                <w:color w:val="auto"/>
              </w:rPr>
            </w:pPr>
            <w:r>
              <w:rPr>
                <w:rFonts w:ascii="Arial" w:cs="Arial" w:eastAsia="Arial" w:hAnsi="Arial"/>
                <w:sz w:val="13"/>
                <w:szCs w:val="13"/>
                <w:color w:val="auto"/>
              </w:rPr>
              <w:t>64,158</w:t>
            </w:r>
          </w:p>
        </w:tc>
        <w:tc>
          <w:tcPr>
            <w:tcW w:w="74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13"/>
                <w:szCs w:val="13"/>
                <w:color w:val="auto"/>
              </w:rPr>
              <w:t>1,530,497</w:t>
            </w:r>
          </w:p>
        </w:tc>
        <w:tc>
          <w:tcPr>
            <w:tcW w:w="0" w:type="dxa"/>
            <w:vAlign w:val="bottom"/>
          </w:tcPr>
          <w:p>
            <w:pPr>
              <w:spacing w:after="0"/>
              <w:rPr>
                <w:sz w:val="1"/>
                <w:szCs w:val="1"/>
                <w:color w:val="auto"/>
              </w:rPr>
            </w:pPr>
          </w:p>
        </w:tc>
      </w:tr>
      <w:tr>
        <w:trPr>
          <w:trHeight w:val="203"/>
        </w:trPr>
        <w:tc>
          <w:tcPr>
            <w:tcW w:w="3180" w:type="dxa"/>
            <w:vAlign w:val="bottom"/>
          </w:tcPr>
          <w:p>
            <w:pPr>
              <w:spacing w:after="0"/>
              <w:rPr>
                <w:sz w:val="20"/>
                <w:szCs w:val="20"/>
                <w:color w:val="auto"/>
              </w:rPr>
            </w:pPr>
            <w:r>
              <w:rPr>
                <w:rFonts w:ascii="Arial" w:cs="Arial" w:eastAsia="Arial" w:hAnsi="Arial"/>
                <w:sz w:val="13"/>
                <w:szCs w:val="13"/>
                <w:color w:val="auto"/>
              </w:rPr>
              <w:t>Amy E. Dahl,</w:t>
            </w:r>
          </w:p>
        </w:tc>
        <w:tc>
          <w:tcPr>
            <w:tcW w:w="720" w:type="dxa"/>
            <w:vAlign w:val="bottom"/>
            <w:gridSpan w:val="2"/>
          </w:tcPr>
          <w:p>
            <w:pPr>
              <w:jc w:val="center"/>
              <w:spacing w:after="0"/>
              <w:rPr>
                <w:sz w:val="20"/>
                <w:szCs w:val="20"/>
                <w:color w:val="auto"/>
              </w:rPr>
            </w:pPr>
            <w:r>
              <w:rPr>
                <w:rFonts w:ascii="Arial" w:cs="Arial" w:eastAsia="Arial" w:hAnsi="Arial"/>
                <w:sz w:val="13"/>
                <w:szCs w:val="13"/>
                <w:color w:val="auto"/>
              </w:rPr>
              <w:t>2022</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503,397</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940" w:type="dxa"/>
            <w:vAlign w:val="bottom"/>
          </w:tcPr>
          <w:p>
            <w:pPr>
              <w:jc w:val="right"/>
              <w:ind w:right="32"/>
              <w:spacing w:after="0"/>
              <w:rPr>
                <w:sz w:val="20"/>
                <w:szCs w:val="20"/>
                <w:color w:val="auto"/>
              </w:rPr>
            </w:pPr>
            <w:r>
              <w:rPr>
                <w:rFonts w:ascii="Arial" w:cs="Arial" w:eastAsia="Arial" w:hAnsi="Arial"/>
                <w:sz w:val="13"/>
                <w:szCs w:val="13"/>
                <w:color w:val="auto"/>
              </w:rPr>
              <w:t>383,799</w:t>
            </w:r>
          </w:p>
        </w:tc>
        <w:tc>
          <w:tcPr>
            <w:tcW w:w="920" w:type="dxa"/>
            <w:vAlign w:val="bottom"/>
          </w:tcPr>
          <w:p>
            <w:pPr>
              <w:jc w:val="right"/>
              <w:ind w:right="52"/>
              <w:spacing w:after="0"/>
              <w:rPr>
                <w:sz w:val="20"/>
                <w:szCs w:val="20"/>
                <w:color w:val="auto"/>
              </w:rPr>
            </w:pPr>
            <w:r>
              <w:rPr>
                <w:rFonts w:ascii="Arial" w:cs="Arial" w:eastAsia="Arial" w:hAnsi="Arial"/>
                <w:sz w:val="13"/>
                <w:szCs w:val="13"/>
                <w:color w:val="auto"/>
              </w:rPr>
              <w:t>388,362</w:t>
            </w:r>
          </w:p>
        </w:tc>
        <w:tc>
          <w:tcPr>
            <w:tcW w:w="1500" w:type="dxa"/>
            <w:vAlign w:val="bottom"/>
          </w:tcPr>
          <w:p>
            <w:pPr>
              <w:jc w:val="right"/>
              <w:ind w:right="52"/>
              <w:spacing w:after="0"/>
              <w:rPr>
                <w:sz w:val="20"/>
                <w:szCs w:val="20"/>
                <w:color w:val="auto"/>
              </w:rPr>
            </w:pPr>
            <w:r>
              <w:rPr>
                <w:rFonts w:ascii="Arial" w:cs="Arial" w:eastAsia="Arial" w:hAnsi="Arial"/>
                <w:sz w:val="13"/>
                <w:szCs w:val="13"/>
                <w:color w:val="auto"/>
              </w:rPr>
              <w:t>225,741</w:t>
            </w:r>
          </w:p>
        </w:tc>
        <w:tc>
          <w:tcPr>
            <w:tcW w:w="1520" w:type="dxa"/>
            <w:vAlign w:val="bottom"/>
          </w:tcPr>
          <w:p>
            <w:pPr>
              <w:jc w:val="right"/>
              <w:ind w:right="72"/>
              <w:spacing w:after="0"/>
              <w:rPr>
                <w:sz w:val="20"/>
                <w:szCs w:val="20"/>
                <w:color w:val="auto"/>
              </w:rPr>
            </w:pPr>
            <w:r>
              <w:rPr>
                <w:rFonts w:ascii="Arial" w:cs="Arial" w:eastAsia="Arial" w:hAnsi="Arial"/>
                <w:sz w:val="13"/>
                <w:szCs w:val="13"/>
                <w:color w:val="auto"/>
              </w:rPr>
              <w:t>115,530</w:t>
            </w:r>
          </w:p>
        </w:tc>
        <w:tc>
          <w:tcPr>
            <w:tcW w:w="740" w:type="dxa"/>
            <w:vAlign w:val="bottom"/>
          </w:tcPr>
          <w:p>
            <w:pPr>
              <w:jc w:val="right"/>
              <w:spacing w:after="0"/>
              <w:rPr>
                <w:sz w:val="20"/>
                <w:szCs w:val="20"/>
                <w:color w:val="auto"/>
              </w:rPr>
            </w:pPr>
            <w:r>
              <w:rPr>
                <w:rFonts w:ascii="Arial" w:cs="Arial" w:eastAsia="Arial" w:hAnsi="Arial"/>
                <w:sz w:val="13"/>
                <w:szCs w:val="13"/>
                <w:color w:val="auto"/>
              </w:rPr>
              <w:t>1,616,829</w:t>
            </w:r>
          </w:p>
        </w:tc>
        <w:tc>
          <w:tcPr>
            <w:tcW w:w="0" w:type="dxa"/>
            <w:vAlign w:val="bottom"/>
          </w:tcPr>
          <w:p>
            <w:pPr>
              <w:spacing w:after="0"/>
              <w:rPr>
                <w:sz w:val="1"/>
                <w:szCs w:val="1"/>
                <w:color w:val="auto"/>
              </w:rPr>
            </w:pPr>
          </w:p>
        </w:tc>
      </w:tr>
      <w:tr>
        <w:trPr>
          <w:trHeight w:val="175"/>
        </w:trPr>
        <w:tc>
          <w:tcPr>
            <w:tcW w:w="3180" w:type="dxa"/>
            <w:vAlign w:val="bottom"/>
          </w:tcPr>
          <w:p>
            <w:pPr>
              <w:ind w:left="140"/>
              <w:spacing w:after="0"/>
              <w:rPr>
                <w:sz w:val="20"/>
                <w:szCs w:val="20"/>
                <w:color w:val="auto"/>
              </w:rPr>
            </w:pPr>
            <w:r>
              <w:rPr>
                <w:rFonts w:ascii="Arial" w:cs="Arial" w:eastAsia="Arial" w:hAnsi="Arial"/>
                <w:sz w:val="13"/>
                <w:szCs w:val="13"/>
                <w:color w:val="auto"/>
              </w:rPr>
              <w:t>Vice President, General Counsel</w:t>
            </w:r>
          </w:p>
        </w:tc>
        <w:tc>
          <w:tcPr>
            <w:tcW w:w="720" w:type="dxa"/>
            <w:vAlign w:val="bottom"/>
            <w:gridSpan w:val="2"/>
          </w:tcPr>
          <w:p>
            <w:pPr>
              <w:jc w:val="center"/>
              <w:spacing w:after="0"/>
              <w:rPr>
                <w:sz w:val="20"/>
                <w:szCs w:val="20"/>
                <w:color w:val="auto"/>
              </w:rPr>
            </w:pPr>
            <w:r>
              <w:rPr>
                <w:rFonts w:ascii="Arial" w:cs="Arial" w:eastAsia="Arial" w:hAnsi="Arial"/>
                <w:sz w:val="13"/>
                <w:szCs w:val="13"/>
                <w:color w:val="auto"/>
              </w:rPr>
              <w:t>2021</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480,635</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940" w:type="dxa"/>
            <w:vAlign w:val="bottom"/>
          </w:tcPr>
          <w:p>
            <w:pPr>
              <w:jc w:val="right"/>
              <w:ind w:right="32"/>
              <w:spacing w:after="0"/>
              <w:rPr>
                <w:sz w:val="20"/>
                <w:szCs w:val="20"/>
                <w:color w:val="auto"/>
              </w:rPr>
            </w:pPr>
            <w:r>
              <w:rPr>
                <w:rFonts w:ascii="Arial" w:cs="Arial" w:eastAsia="Arial" w:hAnsi="Arial"/>
                <w:sz w:val="13"/>
                <w:szCs w:val="13"/>
                <w:color w:val="auto"/>
              </w:rPr>
              <w:t>398,596</w:t>
            </w:r>
          </w:p>
        </w:tc>
        <w:tc>
          <w:tcPr>
            <w:tcW w:w="920" w:type="dxa"/>
            <w:vAlign w:val="bottom"/>
          </w:tcPr>
          <w:p>
            <w:pPr>
              <w:jc w:val="right"/>
              <w:ind w:right="52"/>
              <w:spacing w:after="0"/>
              <w:rPr>
                <w:sz w:val="20"/>
                <w:szCs w:val="20"/>
                <w:color w:val="auto"/>
              </w:rPr>
            </w:pPr>
            <w:r>
              <w:rPr>
                <w:rFonts w:ascii="Arial" w:cs="Arial" w:eastAsia="Arial" w:hAnsi="Arial"/>
                <w:sz w:val="13"/>
                <w:szCs w:val="13"/>
                <w:color w:val="auto"/>
              </w:rPr>
              <w:t>420,462</w:t>
            </w:r>
          </w:p>
        </w:tc>
        <w:tc>
          <w:tcPr>
            <w:tcW w:w="1500" w:type="dxa"/>
            <w:vAlign w:val="bottom"/>
          </w:tcPr>
          <w:p>
            <w:pPr>
              <w:jc w:val="right"/>
              <w:ind w:right="52"/>
              <w:spacing w:after="0"/>
              <w:rPr>
                <w:sz w:val="20"/>
                <w:szCs w:val="20"/>
                <w:color w:val="auto"/>
              </w:rPr>
            </w:pPr>
            <w:r>
              <w:rPr>
                <w:rFonts w:ascii="Arial" w:cs="Arial" w:eastAsia="Arial" w:hAnsi="Arial"/>
                <w:sz w:val="13"/>
                <w:szCs w:val="13"/>
                <w:color w:val="auto"/>
              </w:rPr>
              <w:t>521,604</w:t>
            </w:r>
          </w:p>
        </w:tc>
        <w:tc>
          <w:tcPr>
            <w:tcW w:w="1520" w:type="dxa"/>
            <w:vAlign w:val="bottom"/>
          </w:tcPr>
          <w:p>
            <w:pPr>
              <w:jc w:val="right"/>
              <w:ind w:right="72"/>
              <w:spacing w:after="0"/>
              <w:rPr>
                <w:sz w:val="20"/>
                <w:szCs w:val="20"/>
                <w:color w:val="auto"/>
              </w:rPr>
            </w:pPr>
            <w:r>
              <w:rPr>
                <w:rFonts w:ascii="Arial" w:cs="Arial" w:eastAsia="Arial" w:hAnsi="Arial"/>
                <w:sz w:val="13"/>
                <w:szCs w:val="13"/>
                <w:color w:val="auto"/>
              </w:rPr>
              <w:t>147,740</w:t>
            </w:r>
          </w:p>
        </w:tc>
        <w:tc>
          <w:tcPr>
            <w:tcW w:w="740" w:type="dxa"/>
            <w:vAlign w:val="bottom"/>
          </w:tcPr>
          <w:p>
            <w:pPr>
              <w:jc w:val="right"/>
              <w:spacing w:after="0"/>
              <w:rPr>
                <w:sz w:val="20"/>
                <w:szCs w:val="20"/>
                <w:color w:val="auto"/>
              </w:rPr>
            </w:pPr>
            <w:r>
              <w:rPr>
                <w:rFonts w:ascii="Arial" w:cs="Arial" w:eastAsia="Arial" w:hAnsi="Arial"/>
                <w:sz w:val="13"/>
                <w:szCs w:val="13"/>
                <w:color w:val="auto"/>
              </w:rPr>
              <w:t>1,969,037</w:t>
            </w:r>
          </w:p>
        </w:tc>
        <w:tc>
          <w:tcPr>
            <w:tcW w:w="0" w:type="dxa"/>
            <w:vAlign w:val="bottom"/>
          </w:tcPr>
          <w:p>
            <w:pPr>
              <w:spacing w:after="0"/>
              <w:rPr>
                <w:sz w:val="1"/>
                <w:szCs w:val="1"/>
                <w:color w:val="auto"/>
              </w:rPr>
            </w:pPr>
          </w:p>
        </w:tc>
      </w:tr>
      <w:tr>
        <w:trPr>
          <w:trHeight w:val="176"/>
        </w:trPr>
        <w:tc>
          <w:tcPr>
            <w:tcW w:w="3180" w:type="dxa"/>
            <w:vAlign w:val="bottom"/>
          </w:tcPr>
          <w:p>
            <w:pPr>
              <w:ind w:left="140"/>
              <w:spacing w:after="0"/>
              <w:rPr>
                <w:sz w:val="20"/>
                <w:szCs w:val="20"/>
                <w:color w:val="auto"/>
              </w:rPr>
            </w:pPr>
            <w:r>
              <w:rPr>
                <w:rFonts w:ascii="Arial" w:cs="Arial" w:eastAsia="Arial" w:hAnsi="Arial"/>
                <w:sz w:val="13"/>
                <w:szCs w:val="13"/>
                <w:color w:val="auto"/>
              </w:rPr>
              <w:t>and Corporate Secretary</w:t>
            </w:r>
          </w:p>
        </w:tc>
        <w:tc>
          <w:tcPr>
            <w:tcW w:w="720" w:type="dxa"/>
            <w:vAlign w:val="bottom"/>
            <w:gridSpan w:val="2"/>
            <w:vMerge w:val="restart"/>
          </w:tcPr>
          <w:p>
            <w:pPr>
              <w:jc w:val="center"/>
              <w:spacing w:after="0"/>
              <w:rPr>
                <w:sz w:val="20"/>
                <w:szCs w:val="20"/>
                <w:color w:val="auto"/>
              </w:rPr>
            </w:pPr>
            <w:r>
              <w:rPr>
                <w:rFonts w:ascii="Arial" w:cs="Arial" w:eastAsia="Arial" w:hAnsi="Arial"/>
                <w:sz w:val="13"/>
                <w:szCs w:val="13"/>
                <w:color w:val="auto"/>
              </w:rPr>
              <w:t>2020</w:t>
            </w:r>
          </w:p>
        </w:tc>
        <w:tc>
          <w:tcPr>
            <w:tcW w:w="900" w:type="dxa"/>
            <w:vAlign w:val="bottom"/>
            <w:vMerge w:val="restart"/>
          </w:tcPr>
          <w:p>
            <w:pPr>
              <w:jc w:val="right"/>
              <w:ind w:right="33"/>
              <w:spacing w:after="0"/>
              <w:rPr>
                <w:sz w:val="20"/>
                <w:szCs w:val="20"/>
                <w:color w:val="auto"/>
              </w:rPr>
            </w:pPr>
            <w:r>
              <w:rPr>
                <w:rFonts w:ascii="Arial" w:cs="Arial" w:eastAsia="Arial" w:hAnsi="Arial"/>
                <w:sz w:val="13"/>
                <w:szCs w:val="13"/>
                <w:color w:val="auto"/>
              </w:rPr>
              <w:t>418,500</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940" w:type="dxa"/>
            <w:vAlign w:val="bottom"/>
            <w:vMerge w:val="restart"/>
          </w:tcPr>
          <w:p>
            <w:pPr>
              <w:jc w:val="right"/>
              <w:ind w:right="32"/>
              <w:spacing w:after="0"/>
              <w:rPr>
                <w:sz w:val="20"/>
                <w:szCs w:val="20"/>
                <w:color w:val="auto"/>
              </w:rPr>
            </w:pPr>
            <w:r>
              <w:rPr>
                <w:rFonts w:ascii="Arial" w:cs="Arial" w:eastAsia="Arial" w:hAnsi="Arial"/>
                <w:sz w:val="13"/>
                <w:szCs w:val="13"/>
                <w:color w:val="auto"/>
              </w:rPr>
              <w:t>317,053</w:t>
            </w:r>
          </w:p>
        </w:tc>
        <w:tc>
          <w:tcPr>
            <w:tcW w:w="920" w:type="dxa"/>
            <w:vAlign w:val="bottom"/>
            <w:vMerge w:val="restart"/>
          </w:tcPr>
          <w:p>
            <w:pPr>
              <w:jc w:val="right"/>
              <w:ind w:right="52"/>
              <w:spacing w:after="0"/>
              <w:rPr>
                <w:sz w:val="20"/>
                <w:szCs w:val="20"/>
                <w:color w:val="auto"/>
              </w:rPr>
            </w:pPr>
            <w:r>
              <w:rPr>
                <w:rFonts w:ascii="Arial" w:cs="Arial" w:eastAsia="Arial" w:hAnsi="Arial"/>
                <w:sz w:val="13"/>
                <w:szCs w:val="13"/>
                <w:color w:val="auto"/>
              </w:rPr>
              <w:t>324,896</w:t>
            </w:r>
          </w:p>
        </w:tc>
        <w:tc>
          <w:tcPr>
            <w:tcW w:w="1500" w:type="dxa"/>
            <w:vAlign w:val="bottom"/>
            <w:vMerge w:val="restart"/>
          </w:tcPr>
          <w:p>
            <w:pPr>
              <w:jc w:val="right"/>
              <w:ind w:right="52"/>
              <w:spacing w:after="0"/>
              <w:rPr>
                <w:sz w:val="20"/>
                <w:szCs w:val="20"/>
                <w:color w:val="auto"/>
              </w:rPr>
            </w:pPr>
            <w:r>
              <w:rPr>
                <w:rFonts w:ascii="Arial" w:cs="Arial" w:eastAsia="Arial" w:hAnsi="Arial"/>
                <w:sz w:val="13"/>
                <w:szCs w:val="13"/>
                <w:color w:val="auto"/>
              </w:rPr>
              <w:t>76,962</w:t>
            </w:r>
          </w:p>
        </w:tc>
        <w:tc>
          <w:tcPr>
            <w:tcW w:w="1520" w:type="dxa"/>
            <w:vAlign w:val="bottom"/>
            <w:vMerge w:val="restart"/>
          </w:tcPr>
          <w:p>
            <w:pPr>
              <w:jc w:val="right"/>
              <w:ind w:right="72"/>
              <w:spacing w:after="0"/>
              <w:rPr>
                <w:sz w:val="20"/>
                <w:szCs w:val="20"/>
                <w:color w:val="auto"/>
              </w:rPr>
            </w:pPr>
            <w:r>
              <w:rPr>
                <w:rFonts w:ascii="Arial" w:cs="Arial" w:eastAsia="Arial" w:hAnsi="Arial"/>
                <w:sz w:val="13"/>
                <w:szCs w:val="13"/>
                <w:color w:val="auto"/>
              </w:rPr>
              <w:t>46,256</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1,183,667</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204025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149" w:lineRule="exact"/>
        <w:rPr>
          <w:sz w:val="20"/>
          <w:szCs w:val="20"/>
          <w:color w:val="auto"/>
        </w:rPr>
      </w:pPr>
    </w:p>
    <w:p>
      <w:pPr>
        <w:ind w:left="400" w:hanging="392"/>
        <w:spacing w:after="0"/>
        <w:tabs>
          <w:tab w:leader="none" w:pos="4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Amounts reflect actual salary earnings throughout the fiscal year.</w:t>
      </w:r>
    </w:p>
    <w:p>
      <w:pPr>
        <w:spacing w:after="0" w:line="103" w:lineRule="exact"/>
        <w:rPr>
          <w:rFonts w:ascii="Arial" w:cs="Arial" w:eastAsia="Arial" w:hAnsi="Arial"/>
          <w:sz w:val="18"/>
          <w:szCs w:val="18"/>
          <w:color w:val="auto"/>
        </w:rPr>
      </w:pPr>
    </w:p>
    <w:p>
      <w:pPr>
        <w:ind w:left="400" w:hanging="392"/>
        <w:spacing w:after="0" w:line="247" w:lineRule="auto"/>
        <w:tabs>
          <w:tab w:leader="none" w:pos="4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generally do not pay discretionary bonuses or bonuses that are subjectively determined; we did not pay any such bonuses to any of our NEOs in any of the last three most recently completed fiscal years, other than a sign-on bonus to Mr. Carpenter as part of his employment offer and upon commencement of his employment with us. Annual cash incentive award payouts based on performance against pre-established financial performance goals are reported in the “Non-Equity Incentive Plan Compensation” column.</w:t>
      </w:r>
    </w:p>
    <w:p>
      <w:pPr>
        <w:spacing w:after="0" w:line="65" w:lineRule="exact"/>
        <w:rPr>
          <w:rFonts w:ascii="Arial" w:cs="Arial" w:eastAsia="Arial" w:hAnsi="Arial"/>
          <w:sz w:val="18"/>
          <w:szCs w:val="18"/>
          <w:color w:val="auto"/>
        </w:rPr>
      </w:pPr>
    </w:p>
    <w:p>
      <w:pPr>
        <w:ind w:left="400" w:right="20" w:hanging="392"/>
        <w:spacing w:after="0" w:line="254" w:lineRule="auto"/>
        <w:tabs>
          <w:tab w:leader="none" w:pos="4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Amounts reported for fiscal 2022 for our NEOs represent the grant date fair value, computed in accordance with FASB ASC Topic 718, of performance share awards granted for the fiscal 2022 to fiscal 2024 performance period assuming target levels of performance. The amount reported for Mr. Carpenter also includes the grant date fair value of the restricted stock unit award granted to him in connection with his employment offer and upon commencement of his employment with us. Amounts reported for each NEO and each award for fiscal</w:t>
      </w:r>
    </w:p>
    <w:p>
      <w:pPr>
        <w:ind w:left="400" w:right="40"/>
        <w:spacing w:after="0" w:line="239" w:lineRule="auto"/>
        <w:rPr>
          <w:rFonts w:ascii="Arial" w:cs="Arial" w:eastAsia="Arial" w:hAnsi="Arial"/>
          <w:sz w:val="17"/>
          <w:szCs w:val="17"/>
          <w:color w:val="auto"/>
        </w:rPr>
      </w:pPr>
      <w:r>
        <w:rPr>
          <w:rFonts w:ascii="Arial" w:cs="Arial" w:eastAsia="Arial" w:hAnsi="Arial"/>
          <w:sz w:val="18"/>
          <w:szCs w:val="18"/>
          <w:color w:val="auto"/>
        </w:rPr>
        <w:t>2022 are set forth in the “Grants of Plan-Based Awards for Fiscal 2022” table in the “Grant Date Fair Value of Stock and Option Awards” column. Provided below is the fiscal 2022 grant date fair value of performance share awards for the fiscal 2022 to fiscal 2024 performance period assuming maximum levels of performance. The maximum value is calculated using the number of shares reflected in the “Maximum” column of the “Estimated Future Payouts Under Equity Incentive Plan Awards” section of the “Grants of Plan-Based Awards for Fiscal 2022” table and the closing price of our common stock on December 14, 2021, the grant date, of $98.41.</w:t>
      </w:r>
    </w:p>
    <w:p>
      <w:pPr>
        <w:spacing w:after="0" w:line="11" w:lineRule="exact"/>
        <w:rPr>
          <w:sz w:val="20"/>
          <w:szCs w:val="20"/>
          <w:color w:val="auto"/>
        </w:rPr>
      </w:pPr>
    </w:p>
    <w:tbl>
      <w:tblPr>
        <w:tblLayout w:type="fixed"/>
        <w:tblInd w:w="2820" w:type="dxa"/>
        <w:tblCellMar>
          <w:top w:w="0" w:type="dxa"/>
          <w:left w:w="0" w:type="dxa"/>
          <w:bottom w:w="0" w:type="dxa"/>
          <w:right w:w="0" w:type="dxa"/>
        </w:tblCellMar>
      </w:tblPr>
      <w:tr>
        <w:trPr>
          <w:trHeight w:val="161"/>
        </w:trPr>
        <w:tc>
          <w:tcPr>
            <w:tcW w:w="2160" w:type="dxa"/>
            <w:vAlign w:val="bottom"/>
            <w:shd w:val="clear" w:color="auto" w:fill="BE0000"/>
          </w:tcPr>
          <w:p>
            <w:pPr>
              <w:spacing w:after="0"/>
              <w:rPr>
                <w:sz w:val="14"/>
                <w:szCs w:val="14"/>
                <w:color w:val="auto"/>
              </w:rPr>
            </w:pPr>
          </w:p>
        </w:tc>
        <w:tc>
          <w:tcPr>
            <w:tcW w:w="3460" w:type="dxa"/>
            <w:vAlign w:val="bottom"/>
            <w:shd w:val="clear" w:color="auto" w:fill="BE0000"/>
          </w:tcPr>
          <w:p>
            <w:pPr>
              <w:jc w:val="center"/>
              <w:ind w:left="1082"/>
              <w:spacing w:after="0"/>
              <w:rPr>
                <w:sz w:val="20"/>
                <w:szCs w:val="20"/>
                <w:color w:val="auto"/>
              </w:rPr>
            </w:pPr>
            <w:r>
              <w:rPr>
                <w:rFonts w:ascii="Arial" w:cs="Arial" w:eastAsia="Arial" w:hAnsi="Arial"/>
                <w:sz w:val="14"/>
                <w:szCs w:val="14"/>
                <w:b w:val="1"/>
                <w:bCs w:val="1"/>
                <w:color w:val="FFFFFF"/>
              </w:rPr>
              <w:t>Grant Date Fair Value at</w:t>
            </w:r>
          </w:p>
        </w:tc>
      </w:tr>
      <w:tr>
        <w:trPr>
          <w:trHeight w:val="153"/>
        </w:trPr>
        <w:tc>
          <w:tcPr>
            <w:tcW w:w="2160" w:type="dxa"/>
            <w:vAlign w:val="bottom"/>
            <w:shd w:val="clear" w:color="auto" w:fill="BE0000"/>
          </w:tcPr>
          <w:p>
            <w:pPr>
              <w:spacing w:after="0"/>
              <w:rPr>
                <w:sz w:val="13"/>
                <w:szCs w:val="13"/>
                <w:color w:val="auto"/>
              </w:rPr>
            </w:pPr>
          </w:p>
        </w:tc>
        <w:tc>
          <w:tcPr>
            <w:tcW w:w="3460" w:type="dxa"/>
            <w:vAlign w:val="bottom"/>
            <w:shd w:val="clear" w:color="auto" w:fill="BE0000"/>
          </w:tcPr>
          <w:p>
            <w:pPr>
              <w:jc w:val="center"/>
              <w:ind w:left="1082"/>
              <w:spacing w:after="0" w:line="153" w:lineRule="exact"/>
              <w:rPr>
                <w:sz w:val="20"/>
                <w:szCs w:val="20"/>
                <w:color w:val="auto"/>
              </w:rPr>
            </w:pPr>
            <w:r>
              <w:rPr>
                <w:rFonts w:ascii="Arial" w:cs="Arial" w:eastAsia="Arial" w:hAnsi="Arial"/>
                <w:sz w:val="14"/>
                <w:szCs w:val="14"/>
                <w:b w:val="1"/>
                <w:bCs w:val="1"/>
                <w:color w:val="FFFFFF"/>
              </w:rPr>
              <w:t>Maximum Levels of Performance</w:t>
            </w:r>
          </w:p>
        </w:tc>
      </w:tr>
      <w:tr>
        <w:trPr>
          <w:trHeight w:val="171"/>
        </w:trPr>
        <w:tc>
          <w:tcPr>
            <w:tcW w:w="2160" w:type="dxa"/>
            <w:vAlign w:val="bottom"/>
            <w:shd w:val="clear" w:color="auto" w:fill="BE0000"/>
          </w:tcPr>
          <w:p>
            <w:pPr>
              <w:spacing w:after="0"/>
              <w:rPr>
                <w:sz w:val="20"/>
                <w:szCs w:val="20"/>
                <w:color w:val="auto"/>
              </w:rPr>
            </w:pPr>
            <w:r>
              <w:rPr>
                <w:rFonts w:ascii="Arial" w:cs="Arial" w:eastAsia="Arial" w:hAnsi="Arial"/>
                <w:sz w:val="14"/>
                <w:szCs w:val="14"/>
                <w:b w:val="1"/>
                <w:bCs w:val="1"/>
                <w:color w:val="FFFFFF"/>
              </w:rPr>
              <w:t>Name</w:t>
            </w:r>
          </w:p>
        </w:tc>
        <w:tc>
          <w:tcPr>
            <w:tcW w:w="3460" w:type="dxa"/>
            <w:vAlign w:val="bottom"/>
            <w:shd w:val="clear" w:color="auto" w:fill="BE0000"/>
          </w:tcPr>
          <w:p>
            <w:pPr>
              <w:jc w:val="center"/>
              <w:ind w:left="1082"/>
              <w:spacing w:after="0"/>
              <w:rPr>
                <w:sz w:val="20"/>
                <w:szCs w:val="20"/>
                <w:color w:val="auto"/>
              </w:rPr>
            </w:pPr>
            <w:r>
              <w:rPr>
                <w:rFonts w:ascii="Arial" w:cs="Arial" w:eastAsia="Arial" w:hAnsi="Arial"/>
                <w:sz w:val="14"/>
                <w:szCs w:val="14"/>
                <w:b w:val="1"/>
                <w:bCs w:val="1"/>
                <w:color w:val="FFFFFF"/>
              </w:rPr>
              <w:t>($)</w:t>
            </w:r>
          </w:p>
        </w:tc>
      </w:tr>
      <w:tr>
        <w:trPr>
          <w:trHeight w:val="203"/>
        </w:trPr>
        <w:tc>
          <w:tcPr>
            <w:tcW w:w="2160" w:type="dxa"/>
            <w:vAlign w:val="bottom"/>
          </w:tcPr>
          <w:p>
            <w:pPr>
              <w:spacing w:after="0"/>
              <w:rPr>
                <w:sz w:val="20"/>
                <w:szCs w:val="20"/>
                <w:color w:val="auto"/>
              </w:rPr>
            </w:pPr>
            <w:r>
              <w:rPr>
                <w:rFonts w:ascii="Arial" w:cs="Arial" w:eastAsia="Arial" w:hAnsi="Arial"/>
                <w:sz w:val="16"/>
                <w:szCs w:val="16"/>
                <w:color w:val="auto"/>
              </w:rPr>
              <w:t>Mr. Olson</w:t>
            </w:r>
          </w:p>
        </w:tc>
        <w:tc>
          <w:tcPr>
            <w:tcW w:w="3460" w:type="dxa"/>
            <w:vAlign w:val="bottom"/>
          </w:tcPr>
          <w:p>
            <w:pPr>
              <w:jc w:val="right"/>
              <w:spacing w:after="0"/>
              <w:rPr>
                <w:sz w:val="20"/>
                <w:szCs w:val="20"/>
                <w:color w:val="auto"/>
              </w:rPr>
            </w:pPr>
            <w:r>
              <w:rPr>
                <w:rFonts w:ascii="Arial" w:cs="Arial" w:eastAsia="Arial" w:hAnsi="Arial"/>
                <w:sz w:val="16"/>
                <w:szCs w:val="16"/>
                <w:color w:val="auto"/>
              </w:rPr>
              <w:t>4,979,546</w:t>
            </w:r>
          </w:p>
        </w:tc>
      </w:tr>
      <w:tr>
        <w:trPr>
          <w:trHeight w:val="203"/>
        </w:trPr>
        <w:tc>
          <w:tcPr>
            <w:tcW w:w="2160" w:type="dxa"/>
            <w:vAlign w:val="bottom"/>
            <w:shd w:val="clear" w:color="auto" w:fill="D9D9D9"/>
          </w:tcPr>
          <w:p>
            <w:pPr>
              <w:spacing w:after="0"/>
              <w:rPr>
                <w:sz w:val="20"/>
                <w:szCs w:val="20"/>
                <w:color w:val="auto"/>
              </w:rPr>
            </w:pPr>
            <w:r>
              <w:rPr>
                <w:rFonts w:ascii="Arial" w:cs="Arial" w:eastAsia="Arial" w:hAnsi="Arial"/>
                <w:sz w:val="16"/>
                <w:szCs w:val="16"/>
                <w:color w:val="auto"/>
              </w:rPr>
              <w:t>Ms. Peterson</w:t>
            </w:r>
          </w:p>
        </w:tc>
        <w:tc>
          <w:tcPr>
            <w:tcW w:w="34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1,318,694</w:t>
            </w:r>
          </w:p>
        </w:tc>
      </w:tr>
      <w:tr>
        <w:trPr>
          <w:trHeight w:val="203"/>
        </w:trPr>
        <w:tc>
          <w:tcPr>
            <w:tcW w:w="2160" w:type="dxa"/>
            <w:vAlign w:val="bottom"/>
          </w:tcPr>
          <w:p>
            <w:pPr>
              <w:spacing w:after="0"/>
              <w:rPr>
                <w:sz w:val="20"/>
                <w:szCs w:val="20"/>
                <w:color w:val="auto"/>
              </w:rPr>
            </w:pPr>
            <w:r>
              <w:rPr>
                <w:rFonts w:ascii="Arial" w:cs="Arial" w:eastAsia="Arial" w:hAnsi="Arial"/>
                <w:sz w:val="16"/>
                <w:szCs w:val="16"/>
                <w:color w:val="auto"/>
              </w:rPr>
              <w:t>Mr. Carpenter</w:t>
            </w:r>
          </w:p>
        </w:tc>
        <w:tc>
          <w:tcPr>
            <w:tcW w:w="3460" w:type="dxa"/>
            <w:vAlign w:val="bottom"/>
          </w:tcPr>
          <w:p>
            <w:pPr>
              <w:jc w:val="right"/>
              <w:spacing w:after="0"/>
              <w:rPr>
                <w:sz w:val="20"/>
                <w:szCs w:val="20"/>
                <w:color w:val="auto"/>
              </w:rPr>
            </w:pPr>
            <w:r>
              <w:rPr>
                <w:rFonts w:ascii="Arial" w:cs="Arial" w:eastAsia="Arial" w:hAnsi="Arial"/>
                <w:sz w:val="16"/>
                <w:szCs w:val="16"/>
                <w:color w:val="auto"/>
              </w:rPr>
              <w:t>472,368</w:t>
            </w:r>
          </w:p>
        </w:tc>
      </w:tr>
      <w:tr>
        <w:trPr>
          <w:trHeight w:val="203"/>
        </w:trPr>
        <w:tc>
          <w:tcPr>
            <w:tcW w:w="2160" w:type="dxa"/>
            <w:vAlign w:val="bottom"/>
            <w:shd w:val="clear" w:color="auto" w:fill="D9D9D9"/>
          </w:tcPr>
          <w:p>
            <w:pPr>
              <w:spacing w:after="0"/>
              <w:rPr>
                <w:sz w:val="20"/>
                <w:szCs w:val="20"/>
                <w:color w:val="auto"/>
              </w:rPr>
            </w:pPr>
            <w:r>
              <w:rPr>
                <w:rFonts w:ascii="Arial" w:cs="Arial" w:eastAsia="Arial" w:hAnsi="Arial"/>
                <w:sz w:val="16"/>
                <w:szCs w:val="16"/>
                <w:color w:val="auto"/>
              </w:rPr>
              <w:t>Mr. Rodier</w:t>
            </w:r>
          </w:p>
        </w:tc>
        <w:tc>
          <w:tcPr>
            <w:tcW w:w="34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944,736</w:t>
            </w:r>
          </w:p>
        </w:tc>
      </w:tr>
      <w:tr>
        <w:trPr>
          <w:trHeight w:val="215"/>
        </w:trPr>
        <w:tc>
          <w:tcPr>
            <w:tcW w:w="2160" w:type="dxa"/>
            <w:vAlign w:val="bottom"/>
          </w:tcPr>
          <w:p>
            <w:pPr>
              <w:spacing w:after="0"/>
              <w:rPr>
                <w:sz w:val="20"/>
                <w:szCs w:val="20"/>
                <w:color w:val="auto"/>
              </w:rPr>
            </w:pPr>
            <w:r>
              <w:rPr>
                <w:rFonts w:ascii="Arial" w:cs="Arial" w:eastAsia="Arial" w:hAnsi="Arial"/>
                <w:sz w:val="16"/>
                <w:szCs w:val="16"/>
                <w:color w:val="auto"/>
              </w:rPr>
              <w:t>Ms. Dahl</w:t>
            </w:r>
          </w:p>
        </w:tc>
        <w:tc>
          <w:tcPr>
            <w:tcW w:w="3460" w:type="dxa"/>
            <w:vAlign w:val="bottom"/>
          </w:tcPr>
          <w:p>
            <w:pPr>
              <w:jc w:val="right"/>
              <w:spacing w:after="0"/>
              <w:rPr>
                <w:sz w:val="20"/>
                <w:szCs w:val="20"/>
                <w:color w:val="auto"/>
              </w:rPr>
            </w:pPr>
            <w:r>
              <w:rPr>
                <w:rFonts w:ascii="Arial" w:cs="Arial" w:eastAsia="Arial" w:hAnsi="Arial"/>
                <w:sz w:val="16"/>
                <w:szCs w:val="16"/>
                <w:color w:val="auto"/>
              </w:rPr>
              <w:t>767,598</w:t>
            </w: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65" w:lineRule="exact"/>
        <w:rPr>
          <w:sz w:val="20"/>
          <w:szCs w:val="20"/>
          <w:color w:val="auto"/>
        </w:rPr>
      </w:pPr>
    </w:p>
    <w:p>
      <w:pPr>
        <w:ind w:left="400" w:right="420" w:hanging="392"/>
        <w:spacing w:after="0" w:line="271" w:lineRule="auto"/>
        <w:tabs>
          <w:tab w:leader="none" w:pos="4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Amounts reported represent the grant date fair value, computed in accordance with FASB ASC Topic 718, of option awards granted each fiscal year. Summarized in the table below are the specific assumptions used in the valuation of the option awards.</w:t>
      </w:r>
    </w:p>
    <w:p>
      <w:pPr>
        <w:spacing w:after="0" w:line="10" w:lineRule="exact"/>
        <w:rPr>
          <w:sz w:val="20"/>
          <w:szCs w:val="20"/>
          <w:color w:val="auto"/>
        </w:rPr>
      </w:pPr>
    </w:p>
    <w:tbl>
      <w:tblPr>
        <w:tblLayout w:type="fixed"/>
        <w:tblInd w:w="460" w:type="dxa"/>
        <w:tblCellMar>
          <w:top w:w="0" w:type="dxa"/>
          <w:left w:w="0" w:type="dxa"/>
          <w:bottom w:w="0" w:type="dxa"/>
          <w:right w:w="0" w:type="dxa"/>
        </w:tblCellMar>
      </w:tblPr>
      <w:tr>
        <w:trPr>
          <w:trHeight w:val="166"/>
        </w:trPr>
        <w:tc>
          <w:tcPr>
            <w:tcW w:w="2140" w:type="dxa"/>
            <w:vAlign w:val="bottom"/>
            <w:shd w:val="clear" w:color="auto" w:fill="C00000"/>
          </w:tcPr>
          <w:p>
            <w:pPr>
              <w:spacing w:after="0"/>
              <w:rPr>
                <w:sz w:val="14"/>
                <w:szCs w:val="14"/>
                <w:color w:val="auto"/>
              </w:rPr>
            </w:pPr>
          </w:p>
        </w:tc>
        <w:tc>
          <w:tcPr>
            <w:tcW w:w="2640" w:type="dxa"/>
            <w:vAlign w:val="bottom"/>
            <w:shd w:val="clear" w:color="auto" w:fill="C00000"/>
          </w:tcPr>
          <w:p>
            <w:pPr>
              <w:spacing w:after="0"/>
              <w:rPr>
                <w:sz w:val="14"/>
                <w:szCs w:val="14"/>
                <w:color w:val="auto"/>
              </w:rPr>
            </w:pPr>
          </w:p>
        </w:tc>
        <w:tc>
          <w:tcPr>
            <w:tcW w:w="1560" w:type="dxa"/>
            <w:vAlign w:val="bottom"/>
            <w:shd w:val="clear" w:color="auto" w:fill="C00000"/>
          </w:tcPr>
          <w:p>
            <w:pPr>
              <w:spacing w:after="0"/>
              <w:rPr>
                <w:sz w:val="14"/>
                <w:szCs w:val="14"/>
                <w:color w:val="auto"/>
              </w:rPr>
            </w:pPr>
          </w:p>
        </w:tc>
        <w:tc>
          <w:tcPr>
            <w:tcW w:w="1480" w:type="dxa"/>
            <w:vAlign w:val="bottom"/>
            <w:shd w:val="clear" w:color="auto" w:fill="C00000"/>
          </w:tcPr>
          <w:p>
            <w:pPr>
              <w:spacing w:after="0"/>
              <w:rPr>
                <w:sz w:val="14"/>
                <w:szCs w:val="14"/>
                <w:color w:val="auto"/>
              </w:rPr>
            </w:pPr>
          </w:p>
        </w:tc>
        <w:tc>
          <w:tcPr>
            <w:tcW w:w="1560" w:type="dxa"/>
            <w:vAlign w:val="bottom"/>
            <w:shd w:val="clear" w:color="auto" w:fill="C00000"/>
          </w:tcPr>
          <w:p>
            <w:pPr>
              <w:spacing w:after="0"/>
              <w:rPr>
                <w:sz w:val="14"/>
                <w:szCs w:val="14"/>
                <w:color w:val="auto"/>
              </w:rPr>
            </w:pPr>
          </w:p>
        </w:tc>
        <w:tc>
          <w:tcPr>
            <w:tcW w:w="14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Per Share</w:t>
            </w:r>
          </w:p>
        </w:tc>
      </w:tr>
      <w:tr>
        <w:trPr>
          <w:trHeight w:val="162"/>
        </w:trPr>
        <w:tc>
          <w:tcPr>
            <w:tcW w:w="2140" w:type="dxa"/>
            <w:vAlign w:val="bottom"/>
            <w:shd w:val="clear" w:color="auto" w:fill="C00000"/>
          </w:tcPr>
          <w:p>
            <w:pPr>
              <w:spacing w:after="0"/>
              <w:rPr>
                <w:sz w:val="14"/>
                <w:szCs w:val="14"/>
                <w:color w:val="auto"/>
              </w:rPr>
            </w:pPr>
          </w:p>
        </w:tc>
        <w:tc>
          <w:tcPr>
            <w:tcW w:w="2640" w:type="dxa"/>
            <w:vAlign w:val="bottom"/>
            <w:shd w:val="clear" w:color="auto" w:fill="C00000"/>
          </w:tcPr>
          <w:p>
            <w:pPr>
              <w:jc w:val="right"/>
              <w:ind w:right="583"/>
              <w:spacing w:after="0"/>
              <w:rPr>
                <w:sz w:val="20"/>
                <w:szCs w:val="20"/>
                <w:color w:val="auto"/>
              </w:rPr>
            </w:pPr>
            <w:r>
              <w:rPr>
                <w:rFonts w:ascii="Arial" w:cs="Arial" w:eastAsia="Arial" w:hAnsi="Arial"/>
                <w:sz w:val="14"/>
                <w:szCs w:val="14"/>
                <w:b w:val="1"/>
                <w:bCs w:val="1"/>
                <w:color w:val="FFFFFF"/>
              </w:rPr>
              <w:t>Risk Free</w:t>
            </w:r>
          </w:p>
        </w:tc>
        <w:tc>
          <w:tcPr>
            <w:tcW w:w="1560" w:type="dxa"/>
            <w:vAlign w:val="bottom"/>
            <w:shd w:val="clear" w:color="auto" w:fill="C00000"/>
          </w:tcPr>
          <w:p>
            <w:pPr>
              <w:jc w:val="center"/>
              <w:ind w:right="323"/>
              <w:spacing w:after="0"/>
              <w:rPr>
                <w:sz w:val="20"/>
                <w:szCs w:val="20"/>
                <w:color w:val="auto"/>
              </w:rPr>
            </w:pPr>
            <w:r>
              <w:rPr>
                <w:rFonts w:ascii="Arial" w:cs="Arial" w:eastAsia="Arial" w:hAnsi="Arial"/>
                <w:sz w:val="14"/>
                <w:szCs w:val="14"/>
                <w:b w:val="1"/>
                <w:bCs w:val="1"/>
                <w:color w:val="FFFFFF"/>
              </w:rPr>
              <w:t>Expected</w:t>
            </w:r>
          </w:p>
        </w:tc>
        <w:tc>
          <w:tcPr>
            <w:tcW w:w="1480" w:type="dxa"/>
            <w:vAlign w:val="bottom"/>
            <w:shd w:val="clear" w:color="auto" w:fill="C00000"/>
          </w:tcPr>
          <w:p>
            <w:pPr>
              <w:jc w:val="right"/>
              <w:ind w:right="483"/>
              <w:spacing w:after="0"/>
              <w:rPr>
                <w:sz w:val="20"/>
                <w:szCs w:val="20"/>
                <w:color w:val="auto"/>
              </w:rPr>
            </w:pPr>
            <w:r>
              <w:rPr>
                <w:rFonts w:ascii="Arial" w:cs="Arial" w:eastAsia="Arial" w:hAnsi="Arial"/>
                <w:sz w:val="14"/>
                <w:szCs w:val="14"/>
                <w:b w:val="1"/>
                <w:bCs w:val="1"/>
                <w:color w:val="FFFFFF"/>
              </w:rPr>
              <w:t>Expected</w:t>
            </w:r>
          </w:p>
        </w:tc>
        <w:tc>
          <w:tcPr>
            <w:tcW w:w="1560" w:type="dxa"/>
            <w:vAlign w:val="bottom"/>
            <w:shd w:val="clear" w:color="auto" w:fill="C00000"/>
          </w:tcPr>
          <w:p>
            <w:pPr>
              <w:jc w:val="right"/>
              <w:ind w:right="483"/>
              <w:spacing w:after="0"/>
              <w:rPr>
                <w:sz w:val="20"/>
                <w:szCs w:val="20"/>
                <w:color w:val="auto"/>
              </w:rPr>
            </w:pPr>
            <w:r>
              <w:rPr>
                <w:rFonts w:ascii="Arial" w:cs="Arial" w:eastAsia="Arial" w:hAnsi="Arial"/>
                <w:sz w:val="14"/>
                <w:szCs w:val="14"/>
                <w:b w:val="1"/>
                <w:bCs w:val="1"/>
                <w:color w:val="FFFFFF"/>
              </w:rPr>
              <w:t>Expected</w:t>
            </w:r>
          </w:p>
        </w:tc>
        <w:tc>
          <w:tcPr>
            <w:tcW w:w="14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Black-Scholes</w:t>
            </w:r>
          </w:p>
        </w:tc>
      </w:tr>
      <w:tr>
        <w:trPr>
          <w:trHeight w:val="171"/>
        </w:trPr>
        <w:tc>
          <w:tcPr>
            <w:tcW w:w="214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Grant Date</w:t>
            </w:r>
          </w:p>
        </w:tc>
        <w:tc>
          <w:tcPr>
            <w:tcW w:w="2640" w:type="dxa"/>
            <w:vAlign w:val="bottom"/>
            <w:shd w:val="clear" w:color="auto" w:fill="C00000"/>
          </w:tcPr>
          <w:p>
            <w:pPr>
              <w:jc w:val="right"/>
              <w:ind w:right="743"/>
              <w:spacing w:after="0"/>
              <w:rPr>
                <w:sz w:val="20"/>
                <w:szCs w:val="20"/>
                <w:color w:val="auto"/>
              </w:rPr>
            </w:pPr>
            <w:r>
              <w:rPr>
                <w:rFonts w:ascii="Arial" w:cs="Arial" w:eastAsia="Arial" w:hAnsi="Arial"/>
                <w:sz w:val="14"/>
                <w:szCs w:val="14"/>
                <w:b w:val="1"/>
                <w:bCs w:val="1"/>
                <w:color w:val="FFFFFF"/>
              </w:rPr>
              <w:t>Rate</w:t>
            </w:r>
          </w:p>
        </w:tc>
        <w:tc>
          <w:tcPr>
            <w:tcW w:w="1560" w:type="dxa"/>
            <w:vAlign w:val="bottom"/>
            <w:shd w:val="clear" w:color="auto" w:fill="C00000"/>
          </w:tcPr>
          <w:p>
            <w:pPr>
              <w:jc w:val="center"/>
              <w:ind w:right="303"/>
              <w:spacing w:after="0"/>
              <w:rPr>
                <w:sz w:val="20"/>
                <w:szCs w:val="20"/>
                <w:color w:val="auto"/>
              </w:rPr>
            </w:pPr>
            <w:r>
              <w:rPr>
                <w:rFonts w:ascii="Arial" w:cs="Arial" w:eastAsia="Arial" w:hAnsi="Arial"/>
                <w:sz w:val="14"/>
                <w:szCs w:val="14"/>
                <w:b w:val="1"/>
                <w:bCs w:val="1"/>
                <w:color w:val="FFFFFF"/>
              </w:rPr>
              <w:t>Life</w:t>
            </w:r>
          </w:p>
        </w:tc>
        <w:tc>
          <w:tcPr>
            <w:tcW w:w="1480" w:type="dxa"/>
            <w:vAlign w:val="bottom"/>
            <w:shd w:val="clear" w:color="auto" w:fill="C00000"/>
          </w:tcPr>
          <w:p>
            <w:pPr>
              <w:jc w:val="right"/>
              <w:ind w:right="523"/>
              <w:spacing w:after="0"/>
              <w:rPr>
                <w:sz w:val="20"/>
                <w:szCs w:val="20"/>
                <w:color w:val="auto"/>
              </w:rPr>
            </w:pPr>
            <w:r>
              <w:rPr>
                <w:rFonts w:ascii="Arial" w:cs="Arial" w:eastAsia="Arial" w:hAnsi="Arial"/>
                <w:sz w:val="14"/>
                <w:szCs w:val="14"/>
                <w:b w:val="1"/>
                <w:bCs w:val="1"/>
                <w:color w:val="FFFFFF"/>
              </w:rPr>
              <w:t>Volatility</w:t>
            </w:r>
          </w:p>
        </w:tc>
        <w:tc>
          <w:tcPr>
            <w:tcW w:w="1560" w:type="dxa"/>
            <w:vAlign w:val="bottom"/>
            <w:shd w:val="clear" w:color="auto" w:fill="C00000"/>
          </w:tcPr>
          <w:p>
            <w:pPr>
              <w:jc w:val="right"/>
              <w:ind w:right="303"/>
              <w:spacing w:after="0"/>
              <w:rPr>
                <w:sz w:val="20"/>
                <w:szCs w:val="20"/>
                <w:color w:val="auto"/>
              </w:rPr>
            </w:pPr>
            <w:r>
              <w:rPr>
                <w:rFonts w:ascii="Arial" w:cs="Arial" w:eastAsia="Arial" w:hAnsi="Arial"/>
                <w:sz w:val="14"/>
                <w:szCs w:val="14"/>
                <w:b w:val="1"/>
                <w:bCs w:val="1"/>
                <w:color w:val="FFFFFF"/>
              </w:rPr>
              <w:t>Dividend Yield</w:t>
            </w:r>
          </w:p>
        </w:tc>
        <w:tc>
          <w:tcPr>
            <w:tcW w:w="14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Value</w:t>
            </w:r>
          </w:p>
        </w:tc>
      </w:tr>
      <w:tr>
        <w:trPr>
          <w:trHeight w:val="235"/>
        </w:trPr>
        <w:tc>
          <w:tcPr>
            <w:tcW w:w="2140" w:type="dxa"/>
            <w:vAlign w:val="bottom"/>
          </w:tcPr>
          <w:p>
            <w:pPr>
              <w:spacing w:after="0"/>
              <w:rPr>
                <w:sz w:val="20"/>
                <w:szCs w:val="20"/>
                <w:color w:val="auto"/>
              </w:rPr>
            </w:pPr>
            <w:r>
              <w:rPr>
                <w:rFonts w:ascii="Arial" w:cs="Arial" w:eastAsia="Arial" w:hAnsi="Arial"/>
                <w:sz w:val="16"/>
                <w:szCs w:val="16"/>
                <w:color w:val="auto"/>
              </w:rPr>
              <w:t>12/16/2021</w:t>
            </w:r>
          </w:p>
        </w:tc>
        <w:tc>
          <w:tcPr>
            <w:tcW w:w="2640" w:type="dxa"/>
            <w:vAlign w:val="bottom"/>
          </w:tcPr>
          <w:p>
            <w:pPr>
              <w:jc w:val="right"/>
              <w:ind w:right="203"/>
              <w:spacing w:after="0"/>
              <w:rPr>
                <w:sz w:val="20"/>
                <w:szCs w:val="20"/>
                <w:color w:val="auto"/>
              </w:rPr>
            </w:pPr>
            <w:r>
              <w:rPr>
                <w:rFonts w:ascii="Arial" w:cs="Arial" w:eastAsia="Arial" w:hAnsi="Arial"/>
                <w:sz w:val="16"/>
                <w:szCs w:val="16"/>
                <w:color w:val="auto"/>
              </w:rPr>
              <w:t>1.31%</w:t>
            </w:r>
          </w:p>
        </w:tc>
        <w:tc>
          <w:tcPr>
            <w:tcW w:w="1560" w:type="dxa"/>
            <w:vAlign w:val="bottom"/>
          </w:tcPr>
          <w:p>
            <w:pPr>
              <w:ind w:left="620"/>
              <w:spacing w:after="0"/>
              <w:rPr>
                <w:sz w:val="20"/>
                <w:szCs w:val="20"/>
                <w:color w:val="auto"/>
              </w:rPr>
            </w:pPr>
            <w:r>
              <w:rPr>
                <w:rFonts w:ascii="Arial" w:cs="Arial" w:eastAsia="Arial" w:hAnsi="Arial"/>
                <w:sz w:val="16"/>
                <w:szCs w:val="16"/>
                <w:color w:val="auto"/>
              </w:rPr>
              <w:t>6.4 years</w:t>
            </w:r>
          </w:p>
        </w:tc>
        <w:tc>
          <w:tcPr>
            <w:tcW w:w="1480" w:type="dxa"/>
            <w:vAlign w:val="bottom"/>
          </w:tcPr>
          <w:p>
            <w:pPr>
              <w:jc w:val="right"/>
              <w:ind w:right="103"/>
              <w:spacing w:after="0"/>
              <w:rPr>
                <w:sz w:val="20"/>
                <w:szCs w:val="20"/>
                <w:color w:val="auto"/>
              </w:rPr>
            </w:pPr>
            <w:r>
              <w:rPr>
                <w:rFonts w:ascii="Arial" w:cs="Arial" w:eastAsia="Arial" w:hAnsi="Arial"/>
                <w:sz w:val="16"/>
                <w:szCs w:val="16"/>
                <w:color w:val="auto"/>
              </w:rPr>
              <w:t>23.75%</w:t>
            </w:r>
          </w:p>
        </w:tc>
        <w:tc>
          <w:tcPr>
            <w:tcW w:w="1560" w:type="dxa"/>
            <w:vAlign w:val="bottom"/>
          </w:tcPr>
          <w:p>
            <w:pPr>
              <w:jc w:val="right"/>
              <w:ind w:right="103"/>
              <w:spacing w:after="0"/>
              <w:rPr>
                <w:sz w:val="20"/>
                <w:szCs w:val="20"/>
                <w:color w:val="auto"/>
              </w:rPr>
            </w:pPr>
            <w:r>
              <w:rPr>
                <w:rFonts w:ascii="Arial" w:cs="Arial" w:eastAsia="Arial" w:hAnsi="Arial"/>
                <w:sz w:val="16"/>
                <w:szCs w:val="16"/>
                <w:color w:val="auto"/>
              </w:rPr>
              <w:t>0.93%</w:t>
            </w:r>
          </w:p>
        </w:tc>
        <w:tc>
          <w:tcPr>
            <w:tcW w:w="1400" w:type="dxa"/>
            <w:vAlign w:val="bottom"/>
          </w:tcPr>
          <w:p>
            <w:pPr>
              <w:jc w:val="right"/>
              <w:spacing w:after="0"/>
              <w:rPr>
                <w:sz w:val="20"/>
                <w:szCs w:val="20"/>
                <w:color w:val="auto"/>
              </w:rPr>
            </w:pPr>
            <w:r>
              <w:rPr>
                <w:rFonts w:ascii="Arial" w:cs="Arial" w:eastAsia="Arial" w:hAnsi="Arial"/>
                <w:sz w:val="16"/>
                <w:szCs w:val="16"/>
                <w:color w:val="auto"/>
              </w:rPr>
              <w:t>$22.98</w:t>
            </w:r>
          </w:p>
        </w:tc>
      </w:tr>
      <w:tr>
        <w:trPr>
          <w:trHeight w:val="251"/>
        </w:trPr>
        <w:tc>
          <w:tcPr>
            <w:tcW w:w="2140" w:type="dxa"/>
            <w:vAlign w:val="bottom"/>
            <w:shd w:val="clear" w:color="auto" w:fill="D9D9D9"/>
          </w:tcPr>
          <w:p>
            <w:pPr>
              <w:spacing w:after="0"/>
              <w:rPr>
                <w:sz w:val="20"/>
                <w:szCs w:val="20"/>
                <w:color w:val="auto"/>
              </w:rPr>
            </w:pPr>
            <w:r>
              <w:rPr>
                <w:rFonts w:ascii="Arial" w:cs="Arial" w:eastAsia="Arial" w:hAnsi="Arial"/>
                <w:sz w:val="16"/>
                <w:szCs w:val="16"/>
                <w:color w:val="auto"/>
              </w:rPr>
              <w:t>12/17/2020</w:t>
            </w:r>
          </w:p>
        </w:tc>
        <w:tc>
          <w:tcPr>
            <w:tcW w:w="2640" w:type="dxa"/>
            <w:vAlign w:val="bottom"/>
            <w:shd w:val="clear" w:color="auto" w:fill="D9D9D9"/>
          </w:tcPr>
          <w:p>
            <w:pPr>
              <w:jc w:val="right"/>
              <w:ind w:right="203"/>
              <w:spacing w:after="0"/>
              <w:rPr>
                <w:sz w:val="20"/>
                <w:szCs w:val="20"/>
                <w:color w:val="auto"/>
              </w:rPr>
            </w:pPr>
            <w:r>
              <w:rPr>
                <w:rFonts w:ascii="Arial" w:cs="Arial" w:eastAsia="Arial" w:hAnsi="Arial"/>
                <w:sz w:val="16"/>
                <w:szCs w:val="16"/>
                <w:color w:val="auto"/>
              </w:rPr>
              <w:t>0.58%</w:t>
            </w:r>
          </w:p>
        </w:tc>
        <w:tc>
          <w:tcPr>
            <w:tcW w:w="1560" w:type="dxa"/>
            <w:vAlign w:val="bottom"/>
            <w:shd w:val="clear" w:color="auto" w:fill="D9D9D9"/>
          </w:tcPr>
          <w:p>
            <w:pPr>
              <w:ind w:left="620"/>
              <w:spacing w:after="0"/>
              <w:rPr>
                <w:sz w:val="20"/>
                <w:szCs w:val="20"/>
                <w:color w:val="auto"/>
              </w:rPr>
            </w:pPr>
            <w:r>
              <w:rPr>
                <w:rFonts w:ascii="Arial" w:cs="Arial" w:eastAsia="Arial" w:hAnsi="Arial"/>
                <w:sz w:val="16"/>
                <w:szCs w:val="16"/>
                <w:color w:val="auto"/>
              </w:rPr>
              <w:t>6.4 years</w:t>
            </w:r>
          </w:p>
        </w:tc>
        <w:tc>
          <w:tcPr>
            <w:tcW w:w="1480" w:type="dxa"/>
            <w:vAlign w:val="bottom"/>
            <w:shd w:val="clear" w:color="auto" w:fill="D9D9D9"/>
          </w:tcPr>
          <w:p>
            <w:pPr>
              <w:jc w:val="right"/>
              <w:ind w:right="103"/>
              <w:spacing w:after="0"/>
              <w:rPr>
                <w:sz w:val="20"/>
                <w:szCs w:val="20"/>
                <w:color w:val="auto"/>
              </w:rPr>
            </w:pPr>
            <w:r>
              <w:rPr>
                <w:rFonts w:ascii="Arial" w:cs="Arial" w:eastAsia="Arial" w:hAnsi="Arial"/>
                <w:sz w:val="16"/>
                <w:szCs w:val="16"/>
                <w:color w:val="auto"/>
              </w:rPr>
              <w:t>23.13%</w:t>
            </w:r>
          </w:p>
        </w:tc>
        <w:tc>
          <w:tcPr>
            <w:tcW w:w="1560" w:type="dxa"/>
            <w:vAlign w:val="bottom"/>
            <w:shd w:val="clear" w:color="auto" w:fill="D9D9D9"/>
          </w:tcPr>
          <w:p>
            <w:pPr>
              <w:jc w:val="right"/>
              <w:ind w:right="103"/>
              <w:spacing w:after="0"/>
              <w:rPr>
                <w:sz w:val="20"/>
                <w:szCs w:val="20"/>
                <w:color w:val="auto"/>
              </w:rPr>
            </w:pPr>
            <w:r>
              <w:rPr>
                <w:rFonts w:ascii="Arial" w:cs="Arial" w:eastAsia="Arial" w:hAnsi="Arial"/>
                <w:sz w:val="16"/>
                <w:szCs w:val="16"/>
                <w:color w:val="auto"/>
              </w:rPr>
              <w:t>0.85%</w:t>
            </w:r>
          </w:p>
        </w:tc>
        <w:tc>
          <w:tcPr>
            <w:tcW w:w="14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$19.74</w:t>
            </w:r>
          </w:p>
        </w:tc>
      </w:tr>
      <w:tr>
        <w:trPr>
          <w:trHeight w:val="228"/>
        </w:trPr>
        <w:tc>
          <w:tcPr>
            <w:tcW w:w="2140" w:type="dxa"/>
            <w:vAlign w:val="bottom"/>
          </w:tcPr>
          <w:p>
            <w:pPr>
              <w:spacing w:after="0"/>
              <w:rPr>
                <w:sz w:val="20"/>
                <w:szCs w:val="20"/>
                <w:color w:val="auto"/>
              </w:rPr>
            </w:pPr>
            <w:r>
              <w:rPr>
                <w:rFonts w:ascii="Arial" w:cs="Arial" w:eastAsia="Arial" w:hAnsi="Arial"/>
                <w:sz w:val="16"/>
                <w:szCs w:val="16"/>
                <w:color w:val="auto"/>
              </w:rPr>
              <w:t>12/19/2019</w:t>
            </w:r>
          </w:p>
        </w:tc>
        <w:tc>
          <w:tcPr>
            <w:tcW w:w="2640" w:type="dxa"/>
            <w:vAlign w:val="bottom"/>
          </w:tcPr>
          <w:p>
            <w:pPr>
              <w:jc w:val="right"/>
              <w:ind w:right="203"/>
              <w:spacing w:after="0"/>
              <w:rPr>
                <w:sz w:val="20"/>
                <w:szCs w:val="20"/>
                <w:color w:val="auto"/>
              </w:rPr>
            </w:pPr>
            <w:r>
              <w:rPr>
                <w:rFonts w:ascii="Arial" w:cs="Arial" w:eastAsia="Arial" w:hAnsi="Arial"/>
                <w:sz w:val="16"/>
                <w:szCs w:val="16"/>
                <w:color w:val="auto"/>
              </w:rPr>
              <w:t>1.81%</w:t>
            </w:r>
          </w:p>
        </w:tc>
        <w:tc>
          <w:tcPr>
            <w:tcW w:w="1560" w:type="dxa"/>
            <w:vAlign w:val="bottom"/>
          </w:tcPr>
          <w:p>
            <w:pPr>
              <w:ind w:left="620"/>
              <w:spacing w:after="0"/>
              <w:rPr>
                <w:sz w:val="20"/>
                <w:szCs w:val="20"/>
                <w:color w:val="auto"/>
              </w:rPr>
            </w:pPr>
            <w:r>
              <w:rPr>
                <w:rFonts w:ascii="Arial" w:cs="Arial" w:eastAsia="Arial" w:hAnsi="Arial"/>
                <w:sz w:val="16"/>
                <w:szCs w:val="16"/>
                <w:color w:val="auto"/>
              </w:rPr>
              <w:t>6.5 years</w:t>
            </w:r>
          </w:p>
        </w:tc>
        <w:tc>
          <w:tcPr>
            <w:tcW w:w="1480" w:type="dxa"/>
            <w:vAlign w:val="bottom"/>
          </w:tcPr>
          <w:p>
            <w:pPr>
              <w:jc w:val="right"/>
              <w:ind w:right="103"/>
              <w:spacing w:after="0"/>
              <w:rPr>
                <w:sz w:val="20"/>
                <w:szCs w:val="20"/>
                <w:color w:val="auto"/>
              </w:rPr>
            </w:pPr>
            <w:r>
              <w:rPr>
                <w:rFonts w:ascii="Arial" w:cs="Arial" w:eastAsia="Arial" w:hAnsi="Arial"/>
                <w:sz w:val="16"/>
                <w:szCs w:val="16"/>
                <w:color w:val="auto"/>
              </w:rPr>
              <w:t>19.37%</w:t>
            </w:r>
          </w:p>
        </w:tc>
        <w:tc>
          <w:tcPr>
            <w:tcW w:w="1560" w:type="dxa"/>
            <w:vAlign w:val="bottom"/>
          </w:tcPr>
          <w:p>
            <w:pPr>
              <w:jc w:val="right"/>
              <w:ind w:right="103"/>
              <w:spacing w:after="0"/>
              <w:rPr>
                <w:sz w:val="20"/>
                <w:szCs w:val="20"/>
                <w:color w:val="auto"/>
              </w:rPr>
            </w:pPr>
            <w:r>
              <w:rPr>
                <w:rFonts w:ascii="Arial" w:cs="Arial" w:eastAsia="Arial" w:hAnsi="Arial"/>
                <w:sz w:val="16"/>
                <w:szCs w:val="16"/>
                <w:color w:val="auto"/>
              </w:rPr>
              <w:t>0.97%</w:t>
            </w:r>
          </w:p>
        </w:tc>
        <w:tc>
          <w:tcPr>
            <w:tcW w:w="1400" w:type="dxa"/>
            <w:vAlign w:val="bottom"/>
          </w:tcPr>
          <w:p>
            <w:pPr>
              <w:jc w:val="right"/>
              <w:spacing w:after="0"/>
              <w:rPr>
                <w:sz w:val="20"/>
                <w:szCs w:val="20"/>
                <w:color w:val="auto"/>
              </w:rPr>
            </w:pPr>
            <w:r>
              <w:rPr>
                <w:rFonts w:ascii="Arial" w:cs="Arial" w:eastAsia="Arial" w:hAnsi="Arial"/>
                <w:sz w:val="16"/>
                <w:szCs w:val="16"/>
                <w:color w:val="auto"/>
              </w:rPr>
              <w:t>$15.62</w:t>
            </w:r>
          </w:p>
        </w:tc>
      </w:tr>
    </w:tbl>
    <w:p>
      <w:pPr>
        <w:spacing w:after="0" w:line="51" w:lineRule="exact"/>
        <w:rPr>
          <w:sz w:val="20"/>
          <w:szCs w:val="20"/>
          <w:color w:val="auto"/>
        </w:rPr>
      </w:pPr>
    </w:p>
    <w:p>
      <w:pPr>
        <w:ind w:left="400" w:right="640" w:hanging="392"/>
        <w:spacing w:after="0" w:line="271" w:lineRule="auto"/>
        <w:tabs>
          <w:tab w:leader="none" w:pos="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Amounts reported represent annual cash incentive awards earned for each fiscal year, but paid during the following fiscal year or deferred. Annual cash incentive awards are calculated and paid based on performance against financial performance goals.</w:t>
      </w:r>
    </w:p>
    <w:p>
      <w:pPr>
        <w:spacing w:after="0" w:line="32" w:lineRule="exact"/>
        <w:rPr>
          <w:rFonts w:ascii="Arial" w:cs="Arial" w:eastAsia="Arial" w:hAnsi="Arial"/>
          <w:sz w:val="18"/>
          <w:szCs w:val="18"/>
          <w:color w:val="auto"/>
        </w:rPr>
      </w:pPr>
    </w:p>
    <w:p>
      <w:pPr>
        <w:ind w:left="400" w:hanging="392"/>
        <w:spacing w:after="0"/>
        <w:tabs>
          <w:tab w:leader="none" w:pos="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Amounts for fiscal 2022 are set forth below under “All Other Compensation for Fiscal 2022.”</w:t>
      </w:r>
    </w:p>
    <w:p>
      <w:pPr>
        <w:spacing w:after="0" w:line="90" w:lineRule="exact"/>
        <w:rPr>
          <w:rFonts w:ascii="Arial" w:cs="Arial" w:eastAsia="Arial" w:hAnsi="Arial"/>
          <w:sz w:val="18"/>
          <w:szCs w:val="18"/>
          <w:color w:val="auto"/>
        </w:rPr>
      </w:pPr>
    </w:p>
    <w:p>
      <w:pPr>
        <w:ind w:left="400" w:hanging="392"/>
        <w:spacing w:after="0"/>
        <w:tabs>
          <w:tab w:leader="none" w:pos="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Mr. Carpenter joined the Company on November 30, 2021; therefore, his information is provided only for fiscal 2022.</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C00000"/>
        </w:rPr>
        <w:t>All Other Compensation for Fiscal 2022</w:t>
      </w:r>
    </w:p>
    <w:p>
      <w:pPr>
        <w:spacing w:after="0" w:line="9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All other compensation for fiscal 2022 includes the compensation components described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2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Element</w:t>
            </w:r>
          </w:p>
        </w:tc>
        <w:tc>
          <w:tcPr>
            <w:tcW w:w="9420" w:type="dxa"/>
            <w:vAlign w:val="bottom"/>
            <w:shd w:val="clear" w:color="auto" w:fill="C00000"/>
          </w:tcPr>
          <w:p>
            <w:pPr>
              <w:ind w:left="4580"/>
              <w:spacing w:after="0"/>
              <w:rPr>
                <w:sz w:val="20"/>
                <w:szCs w:val="20"/>
                <w:color w:val="auto"/>
              </w:rPr>
            </w:pPr>
            <w:r>
              <w:rPr>
                <w:rFonts w:ascii="Arial" w:cs="Arial" w:eastAsia="Arial" w:hAnsi="Arial"/>
                <w:sz w:val="14"/>
                <w:szCs w:val="14"/>
                <w:b w:val="1"/>
                <w:bCs w:val="1"/>
                <w:color w:val="FFFFFF"/>
              </w:rPr>
              <w:t>Description</w:t>
            </w:r>
          </w:p>
        </w:tc>
        <w:tc>
          <w:tcPr>
            <w:tcW w:w="20" w:type="dxa"/>
            <w:vAlign w:val="bottom"/>
          </w:tcPr>
          <w:p>
            <w:pPr>
              <w:spacing w:after="0"/>
              <w:rPr>
                <w:sz w:val="17"/>
                <w:szCs w:val="17"/>
                <w:color w:val="auto"/>
              </w:rPr>
            </w:pPr>
          </w:p>
        </w:tc>
      </w:tr>
      <w:tr>
        <w:trPr>
          <w:trHeight w:val="215"/>
        </w:trPr>
        <w:tc>
          <w:tcPr>
            <w:tcW w:w="1820" w:type="dxa"/>
            <w:vAlign w:val="bottom"/>
          </w:tcPr>
          <w:p>
            <w:pPr>
              <w:spacing w:after="0"/>
              <w:rPr>
                <w:sz w:val="20"/>
                <w:szCs w:val="20"/>
                <w:color w:val="auto"/>
              </w:rPr>
            </w:pPr>
            <w:r>
              <w:rPr>
                <w:rFonts w:ascii="Arial" w:cs="Arial" w:eastAsia="Arial" w:hAnsi="Arial"/>
                <w:sz w:val="16"/>
                <w:szCs w:val="16"/>
                <w:color w:val="auto"/>
              </w:rPr>
              <w:t>Retirement</w:t>
            </w:r>
          </w:p>
        </w:tc>
        <w:tc>
          <w:tcPr>
            <w:tcW w:w="9420" w:type="dxa"/>
            <w:vAlign w:val="bottom"/>
          </w:tcPr>
          <w:p>
            <w:pPr>
              <w:ind w:left="400"/>
              <w:spacing w:after="0"/>
              <w:rPr>
                <w:sz w:val="20"/>
                <w:szCs w:val="20"/>
                <w:color w:val="auto"/>
              </w:rPr>
            </w:pPr>
            <w:r>
              <w:rPr>
                <w:rFonts w:ascii="Arial" w:cs="Arial" w:eastAsia="Arial" w:hAnsi="Arial"/>
                <w:sz w:val="16"/>
                <w:szCs w:val="16"/>
                <w:color w:val="auto"/>
              </w:rPr>
              <w:t>Under our Retirement Plan in calendar year 2022, we matched one dollar for each employee dollar contribution, up to an</w:t>
            </w:r>
          </w:p>
        </w:tc>
        <w:tc>
          <w:tcPr>
            <w:tcW w:w="20" w:type="dxa"/>
            <w:vAlign w:val="bottom"/>
          </w:tcPr>
          <w:p>
            <w:pPr>
              <w:spacing w:after="0"/>
              <w:rPr>
                <w:sz w:val="18"/>
                <w:szCs w:val="18"/>
                <w:color w:val="auto"/>
              </w:rPr>
            </w:pPr>
          </w:p>
        </w:tc>
      </w:tr>
      <w:tr>
        <w:trPr>
          <w:trHeight w:val="189"/>
        </w:trPr>
        <w:tc>
          <w:tcPr>
            <w:tcW w:w="1820" w:type="dxa"/>
            <w:vAlign w:val="bottom"/>
          </w:tcPr>
          <w:p>
            <w:pPr>
              <w:spacing w:after="0"/>
              <w:rPr>
                <w:sz w:val="20"/>
                <w:szCs w:val="20"/>
                <w:color w:val="auto"/>
              </w:rPr>
            </w:pPr>
            <w:r>
              <w:rPr>
                <w:rFonts w:ascii="Arial" w:cs="Arial" w:eastAsia="Arial" w:hAnsi="Arial"/>
                <w:sz w:val="16"/>
                <w:szCs w:val="16"/>
                <w:color w:val="auto"/>
              </w:rPr>
              <w:t>Benefits</w:t>
            </w:r>
          </w:p>
        </w:tc>
        <w:tc>
          <w:tcPr>
            <w:tcW w:w="9420" w:type="dxa"/>
            <w:vAlign w:val="bottom"/>
          </w:tcPr>
          <w:p>
            <w:pPr>
              <w:ind w:left="400"/>
              <w:spacing w:after="0"/>
              <w:rPr>
                <w:sz w:val="20"/>
                <w:szCs w:val="20"/>
                <w:color w:val="auto"/>
              </w:rPr>
            </w:pPr>
            <w:r>
              <w:rPr>
                <w:rFonts w:ascii="Arial" w:cs="Arial" w:eastAsia="Arial" w:hAnsi="Arial"/>
                <w:sz w:val="16"/>
                <w:szCs w:val="16"/>
                <w:color w:val="auto"/>
              </w:rPr>
              <w:t>employee maximum of 4%. Additionally, the Company may make a discretionary investment fund contribution. Employees are</w:t>
            </w:r>
          </w:p>
        </w:tc>
        <w:tc>
          <w:tcPr>
            <w:tcW w:w="20" w:type="dxa"/>
            <w:vAlign w:val="bottom"/>
          </w:tcPr>
          <w:p>
            <w:pPr>
              <w:spacing w:after="0"/>
              <w:rPr>
                <w:sz w:val="16"/>
                <w:szCs w:val="16"/>
                <w:color w:val="auto"/>
              </w:rPr>
            </w:pPr>
          </w:p>
        </w:tc>
      </w:tr>
      <w:tr>
        <w:trPr>
          <w:trHeight w:val="189"/>
        </w:trPr>
        <w:tc>
          <w:tcPr>
            <w:tcW w:w="1820" w:type="dxa"/>
            <w:vAlign w:val="bottom"/>
          </w:tcPr>
          <w:p>
            <w:pPr>
              <w:spacing w:after="0"/>
              <w:rPr>
                <w:sz w:val="16"/>
                <w:szCs w:val="16"/>
                <w:color w:val="auto"/>
              </w:rPr>
            </w:pPr>
          </w:p>
        </w:tc>
        <w:tc>
          <w:tcPr>
            <w:tcW w:w="9420" w:type="dxa"/>
            <w:vAlign w:val="bottom"/>
          </w:tcPr>
          <w:p>
            <w:pPr>
              <w:ind w:left="400"/>
              <w:spacing w:after="0"/>
              <w:rPr>
                <w:sz w:val="20"/>
                <w:szCs w:val="20"/>
                <w:color w:val="auto"/>
              </w:rPr>
            </w:pPr>
            <w:r>
              <w:rPr>
                <w:rFonts w:ascii="Arial" w:cs="Arial" w:eastAsia="Arial" w:hAnsi="Arial"/>
                <w:sz w:val="16"/>
                <w:szCs w:val="16"/>
                <w:color w:val="auto"/>
              </w:rPr>
              <w:t>eligible to participate in the plan after 30 days of service. For employees whose compensation exceeds the IRS limit, we also</w:t>
            </w:r>
          </w:p>
        </w:tc>
        <w:tc>
          <w:tcPr>
            <w:tcW w:w="20" w:type="dxa"/>
            <w:vAlign w:val="bottom"/>
          </w:tcPr>
          <w:p>
            <w:pPr>
              <w:spacing w:after="0"/>
              <w:rPr>
                <w:sz w:val="16"/>
                <w:szCs w:val="16"/>
                <w:color w:val="auto"/>
              </w:rPr>
            </w:pPr>
          </w:p>
        </w:tc>
      </w:tr>
      <w:tr>
        <w:trPr>
          <w:trHeight w:val="189"/>
        </w:trPr>
        <w:tc>
          <w:tcPr>
            <w:tcW w:w="1820" w:type="dxa"/>
            <w:vAlign w:val="bottom"/>
          </w:tcPr>
          <w:p>
            <w:pPr>
              <w:spacing w:after="0"/>
              <w:rPr>
                <w:sz w:val="16"/>
                <w:szCs w:val="16"/>
                <w:color w:val="auto"/>
              </w:rPr>
            </w:pPr>
          </w:p>
        </w:tc>
        <w:tc>
          <w:tcPr>
            <w:tcW w:w="9420" w:type="dxa"/>
            <w:vAlign w:val="bottom"/>
          </w:tcPr>
          <w:p>
            <w:pPr>
              <w:ind w:left="400"/>
              <w:spacing w:after="0"/>
              <w:rPr>
                <w:sz w:val="20"/>
                <w:szCs w:val="20"/>
                <w:color w:val="auto"/>
              </w:rPr>
            </w:pPr>
            <w:r>
              <w:rPr>
                <w:rFonts w:ascii="Arial" w:cs="Arial" w:eastAsia="Arial" w:hAnsi="Arial"/>
                <w:sz w:val="16"/>
                <w:szCs w:val="16"/>
                <w:color w:val="auto"/>
              </w:rPr>
              <w:t>provide a contribution into our nonqualified deferred compensation plans, the Supplemental Benefit Plan or the Deferred Plan,</w:t>
            </w:r>
          </w:p>
        </w:tc>
        <w:tc>
          <w:tcPr>
            <w:tcW w:w="20" w:type="dxa"/>
            <w:vAlign w:val="bottom"/>
          </w:tcPr>
          <w:p>
            <w:pPr>
              <w:spacing w:after="0"/>
              <w:rPr>
                <w:sz w:val="16"/>
                <w:szCs w:val="16"/>
                <w:color w:val="auto"/>
              </w:rPr>
            </w:pPr>
          </w:p>
        </w:tc>
      </w:tr>
      <w:tr>
        <w:trPr>
          <w:trHeight w:val="189"/>
        </w:trPr>
        <w:tc>
          <w:tcPr>
            <w:tcW w:w="1820" w:type="dxa"/>
            <w:vAlign w:val="bottom"/>
          </w:tcPr>
          <w:p>
            <w:pPr>
              <w:spacing w:after="0"/>
              <w:rPr>
                <w:sz w:val="16"/>
                <w:szCs w:val="16"/>
                <w:color w:val="auto"/>
              </w:rPr>
            </w:pPr>
          </w:p>
        </w:tc>
        <w:tc>
          <w:tcPr>
            <w:tcW w:w="9420" w:type="dxa"/>
            <w:vAlign w:val="bottom"/>
          </w:tcPr>
          <w:p>
            <w:pPr>
              <w:ind w:left="400"/>
              <w:spacing w:after="0"/>
              <w:rPr>
                <w:sz w:val="20"/>
                <w:szCs w:val="20"/>
                <w:color w:val="auto"/>
              </w:rPr>
            </w:pPr>
            <w:r>
              <w:rPr>
                <w:rFonts w:ascii="Arial" w:cs="Arial" w:eastAsia="Arial" w:hAnsi="Arial"/>
                <w:sz w:val="16"/>
                <w:szCs w:val="16"/>
                <w:color w:val="auto"/>
              </w:rPr>
              <w:t>as applicable. Our nonqualified deferred compensation plans are described under “Nonqualified Deferred Compensation for</w:t>
            </w:r>
          </w:p>
        </w:tc>
        <w:tc>
          <w:tcPr>
            <w:tcW w:w="20" w:type="dxa"/>
            <w:vAlign w:val="bottom"/>
          </w:tcPr>
          <w:p>
            <w:pPr>
              <w:spacing w:after="0"/>
              <w:rPr>
                <w:sz w:val="16"/>
                <w:szCs w:val="16"/>
                <w:color w:val="auto"/>
              </w:rPr>
            </w:pPr>
          </w:p>
        </w:tc>
      </w:tr>
      <w:tr>
        <w:trPr>
          <w:trHeight w:val="203"/>
        </w:trPr>
        <w:tc>
          <w:tcPr>
            <w:tcW w:w="1820" w:type="dxa"/>
            <w:vAlign w:val="bottom"/>
          </w:tcPr>
          <w:p>
            <w:pPr>
              <w:spacing w:after="0"/>
              <w:rPr>
                <w:sz w:val="17"/>
                <w:szCs w:val="17"/>
                <w:color w:val="auto"/>
              </w:rPr>
            </w:pPr>
          </w:p>
        </w:tc>
        <w:tc>
          <w:tcPr>
            <w:tcW w:w="9420" w:type="dxa"/>
            <w:vAlign w:val="bottom"/>
          </w:tcPr>
          <w:p>
            <w:pPr>
              <w:ind w:left="400"/>
              <w:spacing w:after="0"/>
              <w:rPr>
                <w:sz w:val="20"/>
                <w:szCs w:val="20"/>
                <w:color w:val="auto"/>
              </w:rPr>
            </w:pPr>
            <w:r>
              <w:rPr>
                <w:rFonts w:ascii="Arial" w:cs="Arial" w:eastAsia="Arial" w:hAnsi="Arial"/>
                <w:sz w:val="16"/>
                <w:szCs w:val="16"/>
                <w:color w:val="auto"/>
              </w:rPr>
              <w:t>Fiscal 2022.”</w:t>
            </w:r>
          </w:p>
        </w:tc>
        <w:tc>
          <w:tcPr>
            <w:tcW w:w="20" w:type="dxa"/>
            <w:vAlign w:val="bottom"/>
          </w:tcPr>
          <w:p>
            <w:pPr>
              <w:spacing w:after="0"/>
              <w:rPr>
                <w:sz w:val="17"/>
                <w:szCs w:val="17"/>
                <w:color w:val="auto"/>
              </w:rPr>
            </w:pPr>
          </w:p>
        </w:tc>
      </w:tr>
      <w:tr>
        <w:trPr>
          <w:trHeight w:val="241"/>
        </w:trPr>
        <w:tc>
          <w:tcPr>
            <w:tcW w:w="1820" w:type="dxa"/>
            <w:vAlign w:val="bottom"/>
            <w:shd w:val="clear" w:color="auto" w:fill="D9D9D9"/>
          </w:tcPr>
          <w:p>
            <w:pPr>
              <w:spacing w:after="0"/>
              <w:rPr>
                <w:sz w:val="20"/>
                <w:szCs w:val="20"/>
                <w:color w:val="auto"/>
              </w:rPr>
            </w:pPr>
            <w:r>
              <w:rPr>
                <w:rFonts w:ascii="Arial" w:cs="Arial" w:eastAsia="Arial" w:hAnsi="Arial"/>
                <w:sz w:val="16"/>
                <w:szCs w:val="16"/>
                <w:color w:val="auto"/>
              </w:rPr>
              <w:t>Perquisites</w:t>
            </w:r>
          </w:p>
        </w:tc>
        <w:tc>
          <w:tcPr>
            <w:tcW w:w="9420" w:type="dxa"/>
            <w:vAlign w:val="bottom"/>
            <w:shd w:val="clear" w:color="auto" w:fill="D9D9D9"/>
          </w:tcPr>
          <w:p>
            <w:pPr>
              <w:ind w:left="400"/>
              <w:spacing w:after="0"/>
              <w:rPr>
                <w:sz w:val="20"/>
                <w:szCs w:val="20"/>
                <w:color w:val="auto"/>
              </w:rPr>
            </w:pPr>
            <w:r>
              <w:rPr>
                <w:rFonts w:ascii="Arial" w:cs="Arial" w:eastAsia="Arial" w:hAnsi="Arial"/>
                <w:sz w:val="16"/>
                <w:szCs w:val="16"/>
                <w:color w:val="auto"/>
              </w:rPr>
              <w:t>We provide our executive officers with modest perquisites, including:</w:t>
            </w:r>
          </w:p>
        </w:tc>
        <w:tc>
          <w:tcPr>
            <w:tcW w:w="20" w:type="dxa"/>
            <w:vAlign w:val="bottom"/>
          </w:tcPr>
          <w:p>
            <w:pPr>
              <w:spacing w:after="0"/>
              <w:rPr>
                <w:sz w:val="20"/>
                <w:szCs w:val="20"/>
                <w:color w:val="auto"/>
              </w:rPr>
            </w:pPr>
          </w:p>
        </w:tc>
      </w:tr>
      <w:tr>
        <w:trPr>
          <w:trHeight w:val="204"/>
        </w:trPr>
        <w:tc>
          <w:tcPr>
            <w:tcW w:w="1820" w:type="dxa"/>
            <w:vAlign w:val="bottom"/>
            <w:shd w:val="clear" w:color="auto" w:fill="D9D9D9"/>
          </w:tcPr>
          <w:p>
            <w:pPr>
              <w:spacing w:after="0"/>
              <w:rPr>
                <w:sz w:val="17"/>
                <w:szCs w:val="17"/>
                <w:color w:val="auto"/>
              </w:rPr>
            </w:pPr>
          </w:p>
        </w:tc>
        <w:tc>
          <w:tcPr>
            <w:tcW w:w="9420" w:type="dxa"/>
            <w:vAlign w:val="bottom"/>
            <w:shd w:val="clear" w:color="auto" w:fill="D9D9D9"/>
          </w:tcPr>
          <w:p>
            <w:pPr>
              <w:ind w:left="400"/>
              <w:spacing w:after="0"/>
              <w:rPr>
                <w:sz w:val="20"/>
                <w:szCs w:val="20"/>
                <w:color w:val="auto"/>
              </w:rPr>
            </w:pPr>
            <w:r>
              <w:rPr>
                <w:rFonts w:ascii="Arial" w:cs="Arial" w:eastAsia="Arial" w:hAnsi="Arial"/>
                <w:sz w:val="16"/>
                <w:szCs w:val="16"/>
                <w:color w:val="auto"/>
              </w:rPr>
              <w:t>•  Company-leased automobile—We pay all costs associated with leasing, operating, maintaining and insuring a company-</w:t>
            </w:r>
          </w:p>
        </w:tc>
        <w:tc>
          <w:tcPr>
            <w:tcW w:w="20" w:type="dxa"/>
            <w:vAlign w:val="bottom"/>
          </w:tcPr>
          <w:p>
            <w:pPr>
              <w:spacing w:after="0"/>
              <w:rPr>
                <w:sz w:val="17"/>
                <w:szCs w:val="17"/>
                <w:color w:val="auto"/>
              </w:rPr>
            </w:pPr>
          </w:p>
        </w:tc>
      </w:tr>
      <w:tr>
        <w:trPr>
          <w:trHeight w:val="215"/>
        </w:trPr>
        <w:tc>
          <w:tcPr>
            <w:tcW w:w="1820" w:type="dxa"/>
            <w:vAlign w:val="bottom"/>
            <w:shd w:val="clear" w:color="auto" w:fill="D9D9D9"/>
          </w:tcPr>
          <w:p>
            <w:pPr>
              <w:spacing w:after="0"/>
              <w:rPr>
                <w:sz w:val="18"/>
                <w:szCs w:val="18"/>
                <w:color w:val="auto"/>
              </w:rPr>
            </w:pPr>
          </w:p>
        </w:tc>
        <w:tc>
          <w:tcPr>
            <w:tcW w:w="9420" w:type="dxa"/>
            <w:vAlign w:val="bottom"/>
            <w:shd w:val="clear" w:color="auto" w:fill="D9D9D9"/>
          </w:tcPr>
          <w:p>
            <w:pPr>
              <w:ind w:left="620"/>
              <w:spacing w:after="0"/>
              <w:rPr>
                <w:sz w:val="20"/>
                <w:szCs w:val="20"/>
                <w:color w:val="auto"/>
              </w:rPr>
            </w:pPr>
            <w:r>
              <w:rPr>
                <w:rFonts w:ascii="Arial" w:cs="Arial" w:eastAsia="Arial" w:hAnsi="Arial"/>
                <w:sz w:val="16"/>
                <w:szCs w:val="16"/>
                <w:color w:val="auto"/>
              </w:rPr>
              <w:t>leased automobile up to certain thresholds.</w:t>
            </w:r>
          </w:p>
        </w:tc>
        <w:tc>
          <w:tcPr>
            <w:tcW w:w="20" w:type="dxa"/>
            <w:vAlign w:val="bottom"/>
          </w:tcPr>
          <w:p>
            <w:pPr>
              <w:spacing w:after="0"/>
              <w:rPr>
                <w:sz w:val="18"/>
                <w:szCs w:val="18"/>
                <w:color w:val="auto"/>
              </w:rPr>
            </w:pPr>
          </w:p>
        </w:tc>
      </w:tr>
      <w:tr>
        <w:trPr>
          <w:trHeight w:val="217"/>
        </w:trPr>
        <w:tc>
          <w:tcPr>
            <w:tcW w:w="1820" w:type="dxa"/>
            <w:vAlign w:val="bottom"/>
            <w:shd w:val="clear" w:color="auto" w:fill="D9D9D9"/>
          </w:tcPr>
          <w:p>
            <w:pPr>
              <w:spacing w:after="0"/>
              <w:rPr>
                <w:sz w:val="18"/>
                <w:szCs w:val="18"/>
                <w:color w:val="auto"/>
              </w:rPr>
            </w:pPr>
          </w:p>
        </w:tc>
        <w:tc>
          <w:tcPr>
            <w:tcW w:w="9420" w:type="dxa"/>
            <w:vAlign w:val="bottom"/>
            <w:shd w:val="clear" w:color="auto" w:fill="D9D9D9"/>
          </w:tcPr>
          <w:p>
            <w:pPr>
              <w:ind w:left="400"/>
              <w:spacing w:after="0"/>
              <w:rPr>
                <w:sz w:val="20"/>
                <w:szCs w:val="20"/>
                <w:color w:val="auto"/>
              </w:rPr>
            </w:pPr>
            <w:r>
              <w:rPr>
                <w:rFonts w:ascii="Arial" w:cs="Arial" w:eastAsia="Arial" w:hAnsi="Arial"/>
                <w:sz w:val="16"/>
                <w:szCs w:val="16"/>
                <w:color w:val="auto"/>
              </w:rPr>
              <w:t>•  Financial planning—We encourage our executive officers to receive professional advice regarding their financial, tax and</w:t>
            </w:r>
          </w:p>
        </w:tc>
        <w:tc>
          <w:tcPr>
            <w:tcW w:w="20" w:type="dxa"/>
            <w:vAlign w:val="bottom"/>
          </w:tcPr>
          <w:p>
            <w:pPr>
              <w:spacing w:after="0"/>
              <w:rPr>
                <w:sz w:val="18"/>
                <w:szCs w:val="18"/>
                <w:color w:val="auto"/>
              </w:rPr>
            </w:pPr>
          </w:p>
        </w:tc>
      </w:tr>
      <w:tr>
        <w:trPr>
          <w:trHeight w:val="189"/>
        </w:trPr>
        <w:tc>
          <w:tcPr>
            <w:tcW w:w="1820" w:type="dxa"/>
            <w:vAlign w:val="bottom"/>
            <w:shd w:val="clear" w:color="auto" w:fill="D9D9D9"/>
          </w:tcPr>
          <w:p>
            <w:pPr>
              <w:spacing w:after="0"/>
              <w:rPr>
                <w:sz w:val="16"/>
                <w:szCs w:val="16"/>
                <w:color w:val="auto"/>
              </w:rPr>
            </w:pPr>
          </w:p>
        </w:tc>
        <w:tc>
          <w:tcPr>
            <w:tcW w:w="9420" w:type="dxa"/>
            <w:vAlign w:val="bottom"/>
            <w:shd w:val="clear" w:color="auto" w:fill="D9D9D9"/>
          </w:tcPr>
          <w:p>
            <w:pPr>
              <w:ind w:left="620"/>
              <w:spacing w:after="0"/>
              <w:rPr>
                <w:sz w:val="20"/>
                <w:szCs w:val="20"/>
                <w:color w:val="auto"/>
              </w:rPr>
            </w:pPr>
            <w:r>
              <w:rPr>
                <w:rFonts w:ascii="Arial" w:cs="Arial" w:eastAsia="Arial" w:hAnsi="Arial"/>
                <w:sz w:val="16"/>
                <w:szCs w:val="16"/>
                <w:color w:val="auto"/>
              </w:rPr>
              <w:t>estate planning needs. Therefore, we pay up to a maximum defined amount for each of our executive officers to cover tax</w:t>
            </w:r>
          </w:p>
        </w:tc>
        <w:tc>
          <w:tcPr>
            <w:tcW w:w="20" w:type="dxa"/>
            <w:vAlign w:val="bottom"/>
          </w:tcPr>
          <w:p>
            <w:pPr>
              <w:spacing w:after="0"/>
              <w:rPr>
                <w:sz w:val="16"/>
                <w:szCs w:val="16"/>
                <w:color w:val="auto"/>
              </w:rPr>
            </w:pPr>
          </w:p>
        </w:tc>
      </w:tr>
      <w:tr>
        <w:trPr>
          <w:trHeight w:val="215"/>
        </w:trPr>
        <w:tc>
          <w:tcPr>
            <w:tcW w:w="1820" w:type="dxa"/>
            <w:vAlign w:val="bottom"/>
            <w:shd w:val="clear" w:color="auto" w:fill="D9D9D9"/>
          </w:tcPr>
          <w:p>
            <w:pPr>
              <w:spacing w:after="0"/>
              <w:rPr>
                <w:sz w:val="18"/>
                <w:szCs w:val="18"/>
                <w:color w:val="auto"/>
              </w:rPr>
            </w:pPr>
          </w:p>
        </w:tc>
        <w:tc>
          <w:tcPr>
            <w:tcW w:w="9420" w:type="dxa"/>
            <w:vAlign w:val="bottom"/>
            <w:shd w:val="clear" w:color="auto" w:fill="D9D9D9"/>
          </w:tcPr>
          <w:p>
            <w:pPr>
              <w:ind w:left="620"/>
              <w:spacing w:after="0"/>
              <w:rPr>
                <w:sz w:val="20"/>
                <w:szCs w:val="20"/>
                <w:color w:val="auto"/>
              </w:rPr>
            </w:pPr>
            <w:r>
              <w:rPr>
                <w:rFonts w:ascii="Arial" w:cs="Arial" w:eastAsia="Arial" w:hAnsi="Arial"/>
                <w:sz w:val="16"/>
                <w:szCs w:val="16"/>
                <w:color w:val="auto"/>
              </w:rPr>
              <w:t>planning, tax return preparation, financial counseling and estate planning.</w:t>
            </w:r>
          </w:p>
        </w:tc>
        <w:tc>
          <w:tcPr>
            <w:tcW w:w="20" w:type="dxa"/>
            <w:vAlign w:val="bottom"/>
          </w:tcPr>
          <w:p>
            <w:pPr>
              <w:spacing w:after="0"/>
              <w:rPr>
                <w:sz w:val="18"/>
                <w:szCs w:val="18"/>
                <w:color w:val="auto"/>
              </w:rPr>
            </w:pPr>
          </w:p>
        </w:tc>
      </w:tr>
      <w:tr>
        <w:trPr>
          <w:trHeight w:val="217"/>
        </w:trPr>
        <w:tc>
          <w:tcPr>
            <w:tcW w:w="1820" w:type="dxa"/>
            <w:vAlign w:val="bottom"/>
            <w:shd w:val="clear" w:color="auto" w:fill="D9D9D9"/>
          </w:tcPr>
          <w:p>
            <w:pPr>
              <w:spacing w:after="0"/>
              <w:rPr>
                <w:sz w:val="18"/>
                <w:szCs w:val="18"/>
                <w:color w:val="auto"/>
              </w:rPr>
            </w:pPr>
          </w:p>
        </w:tc>
        <w:tc>
          <w:tcPr>
            <w:tcW w:w="9420" w:type="dxa"/>
            <w:vAlign w:val="bottom"/>
            <w:shd w:val="clear" w:color="auto" w:fill="D9D9D9"/>
          </w:tcPr>
          <w:p>
            <w:pPr>
              <w:ind w:left="400"/>
              <w:spacing w:after="0"/>
              <w:rPr>
                <w:sz w:val="20"/>
                <w:szCs w:val="20"/>
                <w:color w:val="auto"/>
              </w:rPr>
            </w:pPr>
            <w:r>
              <w:rPr>
                <w:rFonts w:ascii="Arial" w:cs="Arial" w:eastAsia="Arial" w:hAnsi="Arial"/>
                <w:sz w:val="16"/>
                <w:szCs w:val="16"/>
                <w:color w:val="auto"/>
              </w:rPr>
              <w:t>•  Annual executive physical—To help ensure the health of our executive officers, we generally pay up to a certain amount for</w:t>
            </w:r>
          </w:p>
        </w:tc>
        <w:tc>
          <w:tcPr>
            <w:tcW w:w="20" w:type="dxa"/>
            <w:vAlign w:val="bottom"/>
          </w:tcPr>
          <w:p>
            <w:pPr>
              <w:spacing w:after="0"/>
              <w:rPr>
                <w:sz w:val="18"/>
                <w:szCs w:val="18"/>
                <w:color w:val="auto"/>
              </w:rPr>
            </w:pPr>
          </w:p>
        </w:tc>
      </w:tr>
      <w:tr>
        <w:trPr>
          <w:trHeight w:val="215"/>
        </w:trPr>
        <w:tc>
          <w:tcPr>
            <w:tcW w:w="1820" w:type="dxa"/>
            <w:vAlign w:val="bottom"/>
            <w:shd w:val="clear" w:color="auto" w:fill="D9D9D9"/>
          </w:tcPr>
          <w:p>
            <w:pPr>
              <w:spacing w:after="0"/>
              <w:rPr>
                <w:sz w:val="18"/>
                <w:szCs w:val="18"/>
                <w:color w:val="auto"/>
              </w:rPr>
            </w:pPr>
          </w:p>
        </w:tc>
        <w:tc>
          <w:tcPr>
            <w:tcW w:w="9420" w:type="dxa"/>
            <w:vAlign w:val="bottom"/>
            <w:shd w:val="clear" w:color="auto" w:fill="D9D9D9"/>
          </w:tcPr>
          <w:p>
            <w:pPr>
              <w:ind w:left="620"/>
              <w:spacing w:after="0"/>
              <w:rPr>
                <w:sz w:val="20"/>
                <w:szCs w:val="20"/>
                <w:color w:val="auto"/>
              </w:rPr>
            </w:pPr>
            <w:r>
              <w:rPr>
                <w:rFonts w:ascii="Arial" w:cs="Arial" w:eastAsia="Arial" w:hAnsi="Arial"/>
                <w:sz w:val="16"/>
                <w:szCs w:val="16"/>
                <w:color w:val="auto"/>
              </w:rPr>
              <w:t>approved physical exam expenses not covered by the executive officer’s health insurance.</w:t>
            </w:r>
          </w:p>
        </w:tc>
        <w:tc>
          <w:tcPr>
            <w:tcW w:w="20" w:type="dxa"/>
            <w:vAlign w:val="bottom"/>
          </w:tcPr>
          <w:p>
            <w:pPr>
              <w:spacing w:after="0"/>
              <w:rPr>
                <w:sz w:val="18"/>
                <w:szCs w:val="18"/>
                <w:color w:val="auto"/>
              </w:rPr>
            </w:pPr>
          </w:p>
        </w:tc>
      </w:tr>
      <w:tr>
        <w:trPr>
          <w:trHeight w:val="204"/>
        </w:trPr>
        <w:tc>
          <w:tcPr>
            <w:tcW w:w="1820" w:type="dxa"/>
            <w:vAlign w:val="bottom"/>
            <w:shd w:val="clear" w:color="auto" w:fill="D9D9D9"/>
          </w:tcPr>
          <w:p>
            <w:pPr>
              <w:spacing w:after="0"/>
              <w:rPr>
                <w:sz w:val="17"/>
                <w:szCs w:val="17"/>
                <w:color w:val="auto"/>
              </w:rPr>
            </w:pPr>
          </w:p>
        </w:tc>
        <w:tc>
          <w:tcPr>
            <w:tcW w:w="9420" w:type="dxa"/>
            <w:vAlign w:val="bottom"/>
            <w:shd w:val="clear" w:color="auto" w:fill="D9D9D9"/>
          </w:tcPr>
          <w:p>
            <w:pPr>
              <w:ind w:left="400"/>
              <w:spacing w:after="0"/>
              <w:rPr>
                <w:sz w:val="20"/>
                <w:szCs w:val="20"/>
                <w:color w:val="auto"/>
              </w:rPr>
            </w:pPr>
            <w:r>
              <w:rPr>
                <w:rFonts w:ascii="Arial" w:cs="Arial" w:eastAsia="Arial" w:hAnsi="Arial"/>
                <w:sz w:val="16"/>
                <w:szCs w:val="16"/>
                <w:color w:val="auto"/>
              </w:rPr>
              <w:t>•  Company products—To enable our executive officers the opportunity to become more familiar with our products and use</w:t>
            </w:r>
          </w:p>
        </w:tc>
        <w:tc>
          <w:tcPr>
            <w:tcW w:w="20" w:type="dxa"/>
            <w:vAlign w:val="bottom"/>
          </w:tcPr>
          <w:p>
            <w:pPr>
              <w:spacing w:after="0"/>
              <w:rPr>
                <w:sz w:val="17"/>
                <w:szCs w:val="17"/>
                <w:color w:val="auto"/>
              </w:rPr>
            </w:pPr>
          </w:p>
        </w:tc>
      </w:tr>
      <w:tr>
        <w:trPr>
          <w:trHeight w:val="189"/>
        </w:trPr>
        <w:tc>
          <w:tcPr>
            <w:tcW w:w="1820" w:type="dxa"/>
            <w:vAlign w:val="bottom"/>
            <w:shd w:val="clear" w:color="auto" w:fill="D9D9D9"/>
          </w:tcPr>
          <w:p>
            <w:pPr>
              <w:spacing w:after="0"/>
              <w:rPr>
                <w:sz w:val="16"/>
                <w:szCs w:val="16"/>
                <w:color w:val="auto"/>
              </w:rPr>
            </w:pPr>
          </w:p>
        </w:tc>
        <w:tc>
          <w:tcPr>
            <w:tcW w:w="9420" w:type="dxa"/>
            <w:vAlign w:val="bottom"/>
            <w:shd w:val="clear" w:color="auto" w:fill="D9D9D9"/>
          </w:tcPr>
          <w:p>
            <w:pPr>
              <w:ind w:left="620"/>
              <w:spacing w:after="0"/>
              <w:rPr>
                <w:sz w:val="20"/>
                <w:szCs w:val="20"/>
                <w:color w:val="auto"/>
              </w:rPr>
            </w:pPr>
            <w:r>
              <w:rPr>
                <w:rFonts w:ascii="Arial" w:cs="Arial" w:eastAsia="Arial" w:hAnsi="Arial"/>
                <w:sz w:val="16"/>
                <w:szCs w:val="16"/>
                <w:color w:val="auto"/>
              </w:rPr>
              <w:t>those products on a regular basis, we provide certain Company products and related accessories for personal use at no</w:t>
            </w:r>
          </w:p>
        </w:tc>
        <w:tc>
          <w:tcPr>
            <w:tcW w:w="20" w:type="dxa"/>
            <w:vAlign w:val="bottom"/>
          </w:tcPr>
          <w:p>
            <w:pPr>
              <w:spacing w:after="0"/>
              <w:rPr>
                <w:sz w:val="16"/>
                <w:szCs w:val="16"/>
                <w:color w:val="auto"/>
              </w:rPr>
            </w:pPr>
          </w:p>
        </w:tc>
      </w:tr>
      <w:tr>
        <w:trPr>
          <w:trHeight w:val="189"/>
        </w:trPr>
        <w:tc>
          <w:tcPr>
            <w:tcW w:w="1820" w:type="dxa"/>
            <w:vAlign w:val="bottom"/>
            <w:shd w:val="clear" w:color="auto" w:fill="D9D9D9"/>
          </w:tcPr>
          <w:p>
            <w:pPr>
              <w:spacing w:after="0"/>
              <w:rPr>
                <w:sz w:val="16"/>
                <w:szCs w:val="16"/>
                <w:color w:val="auto"/>
              </w:rPr>
            </w:pPr>
          </w:p>
        </w:tc>
        <w:tc>
          <w:tcPr>
            <w:tcW w:w="9420" w:type="dxa"/>
            <w:vAlign w:val="bottom"/>
            <w:shd w:val="clear" w:color="auto" w:fill="D9D9D9"/>
          </w:tcPr>
          <w:p>
            <w:pPr>
              <w:ind w:left="620"/>
              <w:spacing w:after="0"/>
              <w:rPr>
                <w:sz w:val="20"/>
                <w:szCs w:val="20"/>
                <w:color w:val="auto"/>
              </w:rPr>
            </w:pPr>
            <w:r>
              <w:rPr>
                <w:rFonts w:ascii="Arial" w:cs="Arial" w:eastAsia="Arial" w:hAnsi="Arial"/>
                <w:sz w:val="16"/>
                <w:szCs w:val="16"/>
                <w:color w:val="auto"/>
              </w:rPr>
              <w:t>cost; provided, however, that executive officers are responsible for applicable taxes attributable to the value of such</w:t>
            </w:r>
          </w:p>
        </w:tc>
        <w:tc>
          <w:tcPr>
            <w:tcW w:w="20" w:type="dxa"/>
            <w:vAlign w:val="bottom"/>
          </w:tcPr>
          <w:p>
            <w:pPr>
              <w:spacing w:after="0"/>
              <w:rPr>
                <w:sz w:val="16"/>
                <w:szCs w:val="16"/>
                <w:color w:val="auto"/>
              </w:rPr>
            </w:pPr>
          </w:p>
        </w:tc>
      </w:tr>
      <w:tr>
        <w:trPr>
          <w:trHeight w:val="189"/>
        </w:trPr>
        <w:tc>
          <w:tcPr>
            <w:tcW w:w="1820" w:type="dxa"/>
            <w:vAlign w:val="bottom"/>
            <w:shd w:val="clear" w:color="auto" w:fill="D9D9D9"/>
          </w:tcPr>
          <w:p>
            <w:pPr>
              <w:spacing w:after="0"/>
              <w:rPr>
                <w:sz w:val="16"/>
                <w:szCs w:val="16"/>
                <w:color w:val="auto"/>
              </w:rPr>
            </w:pPr>
          </w:p>
        </w:tc>
        <w:tc>
          <w:tcPr>
            <w:tcW w:w="9420" w:type="dxa"/>
            <w:vAlign w:val="bottom"/>
            <w:shd w:val="clear" w:color="auto" w:fill="D9D9D9"/>
          </w:tcPr>
          <w:p>
            <w:pPr>
              <w:ind w:left="620"/>
              <w:spacing w:after="0"/>
              <w:rPr>
                <w:sz w:val="20"/>
                <w:szCs w:val="20"/>
                <w:color w:val="auto"/>
              </w:rPr>
            </w:pPr>
            <w:r>
              <w:rPr>
                <w:rFonts w:ascii="Arial" w:cs="Arial" w:eastAsia="Arial" w:hAnsi="Arial"/>
                <w:sz w:val="16"/>
                <w:szCs w:val="16"/>
                <w:color w:val="auto"/>
              </w:rPr>
              <w:t>products. The value is generally deemed to be our distributor net price or its equivalent, which is the price at which</w:t>
            </w:r>
          </w:p>
        </w:tc>
        <w:tc>
          <w:tcPr>
            <w:tcW w:w="20" w:type="dxa"/>
            <w:vAlign w:val="bottom"/>
          </w:tcPr>
          <w:p>
            <w:pPr>
              <w:spacing w:after="0"/>
              <w:rPr>
                <w:sz w:val="16"/>
                <w:szCs w:val="16"/>
                <w:color w:val="auto"/>
              </w:rPr>
            </w:pPr>
          </w:p>
        </w:tc>
      </w:tr>
      <w:tr>
        <w:trPr>
          <w:trHeight w:val="215"/>
        </w:trPr>
        <w:tc>
          <w:tcPr>
            <w:tcW w:w="1820" w:type="dxa"/>
            <w:vAlign w:val="bottom"/>
            <w:shd w:val="clear" w:color="auto" w:fill="D9D9D9"/>
          </w:tcPr>
          <w:p>
            <w:pPr>
              <w:spacing w:after="0"/>
              <w:rPr>
                <w:sz w:val="18"/>
                <w:szCs w:val="18"/>
                <w:color w:val="auto"/>
              </w:rPr>
            </w:pPr>
          </w:p>
        </w:tc>
        <w:tc>
          <w:tcPr>
            <w:tcW w:w="9420" w:type="dxa"/>
            <w:vAlign w:val="bottom"/>
            <w:shd w:val="clear" w:color="auto" w:fill="D9D9D9"/>
          </w:tcPr>
          <w:p>
            <w:pPr>
              <w:ind w:left="620"/>
              <w:spacing w:after="0"/>
              <w:rPr>
                <w:sz w:val="20"/>
                <w:szCs w:val="20"/>
                <w:color w:val="auto"/>
              </w:rPr>
            </w:pPr>
            <w:r>
              <w:rPr>
                <w:rFonts w:ascii="Arial" w:cs="Arial" w:eastAsia="Arial" w:hAnsi="Arial"/>
                <w:sz w:val="16"/>
                <w:szCs w:val="16"/>
                <w:color w:val="auto"/>
              </w:rPr>
              <w:t>products are available to employees for purchase.</w:t>
            </w:r>
          </w:p>
        </w:tc>
        <w:tc>
          <w:tcPr>
            <w:tcW w:w="20" w:type="dxa"/>
            <w:vAlign w:val="bottom"/>
          </w:tcPr>
          <w:p>
            <w:pPr>
              <w:spacing w:after="0"/>
              <w:rPr>
                <w:sz w:val="18"/>
                <w:szCs w:val="18"/>
                <w:color w:val="auto"/>
              </w:rPr>
            </w:pPr>
          </w:p>
        </w:tc>
      </w:tr>
      <w:tr>
        <w:trPr>
          <w:trHeight w:val="217"/>
        </w:trPr>
        <w:tc>
          <w:tcPr>
            <w:tcW w:w="1820" w:type="dxa"/>
            <w:vAlign w:val="bottom"/>
            <w:shd w:val="clear" w:color="auto" w:fill="D9D9D9"/>
          </w:tcPr>
          <w:p>
            <w:pPr>
              <w:spacing w:after="0"/>
              <w:rPr>
                <w:sz w:val="18"/>
                <w:szCs w:val="18"/>
                <w:color w:val="auto"/>
              </w:rPr>
            </w:pPr>
          </w:p>
        </w:tc>
        <w:tc>
          <w:tcPr>
            <w:tcW w:w="9420" w:type="dxa"/>
            <w:vAlign w:val="bottom"/>
            <w:shd w:val="clear" w:color="auto" w:fill="D9D9D9"/>
          </w:tcPr>
          <w:p>
            <w:pPr>
              <w:ind w:left="400"/>
              <w:spacing w:after="0"/>
              <w:rPr>
                <w:sz w:val="20"/>
                <w:szCs w:val="20"/>
                <w:color w:val="auto"/>
              </w:rPr>
            </w:pPr>
            <w:r>
              <w:rPr>
                <w:rFonts w:ascii="Arial" w:cs="Arial" w:eastAsia="Arial" w:hAnsi="Arial"/>
                <w:sz w:val="16"/>
                <w:szCs w:val="16"/>
                <w:color w:val="auto"/>
              </w:rPr>
              <w:t>•  Travel expenses—During fiscal 2022, we paid certain travel costs for spouses of our executive officers in connection with</w:t>
            </w:r>
          </w:p>
        </w:tc>
        <w:tc>
          <w:tcPr>
            <w:tcW w:w="20" w:type="dxa"/>
            <w:vAlign w:val="bottom"/>
          </w:tcPr>
          <w:p>
            <w:pPr>
              <w:spacing w:after="0"/>
              <w:rPr>
                <w:sz w:val="18"/>
                <w:szCs w:val="18"/>
                <w:color w:val="auto"/>
              </w:rPr>
            </w:pPr>
          </w:p>
        </w:tc>
      </w:tr>
      <w:tr>
        <w:trPr>
          <w:trHeight w:val="203"/>
        </w:trPr>
        <w:tc>
          <w:tcPr>
            <w:tcW w:w="1820" w:type="dxa"/>
            <w:vAlign w:val="bottom"/>
            <w:shd w:val="clear" w:color="auto" w:fill="D9D9D9"/>
          </w:tcPr>
          <w:p>
            <w:pPr>
              <w:spacing w:after="0"/>
              <w:rPr>
                <w:sz w:val="17"/>
                <w:szCs w:val="17"/>
                <w:color w:val="auto"/>
              </w:rPr>
            </w:pPr>
          </w:p>
        </w:tc>
        <w:tc>
          <w:tcPr>
            <w:tcW w:w="9420" w:type="dxa"/>
            <w:vAlign w:val="bottom"/>
            <w:shd w:val="clear" w:color="auto" w:fill="D9D9D9"/>
          </w:tcPr>
          <w:p>
            <w:pPr>
              <w:ind w:left="620"/>
              <w:spacing w:after="0"/>
              <w:rPr>
                <w:sz w:val="20"/>
                <w:szCs w:val="20"/>
                <w:color w:val="auto"/>
              </w:rPr>
            </w:pPr>
            <w:r>
              <w:rPr>
                <w:rFonts w:ascii="Arial" w:cs="Arial" w:eastAsia="Arial" w:hAnsi="Arial"/>
                <w:sz w:val="16"/>
                <w:szCs w:val="16"/>
                <w:color w:val="auto"/>
              </w:rPr>
              <w:t>certain off-site, business-related meetings in which it was appropriate for a spouse to attend.</w:t>
            </w:r>
          </w:p>
        </w:tc>
        <w:tc>
          <w:tcPr>
            <w:tcW w:w="20" w:type="dxa"/>
            <w:vAlign w:val="bottom"/>
          </w:tcPr>
          <w:p>
            <w:pPr>
              <w:spacing w:after="0"/>
              <w:rPr>
                <w:sz w:val="17"/>
                <w:szCs w:val="17"/>
                <w:color w:val="auto"/>
              </w:rPr>
            </w:pPr>
          </w:p>
        </w:tc>
      </w:tr>
      <w:tr>
        <w:trPr>
          <w:trHeight w:val="175"/>
        </w:trPr>
        <w:tc>
          <w:tcPr>
            <w:tcW w:w="1820" w:type="dxa"/>
            <w:vAlign w:val="bottom"/>
          </w:tcPr>
          <w:p>
            <w:pPr>
              <w:spacing w:after="0" w:line="175" w:lineRule="exact"/>
              <w:rPr>
                <w:sz w:val="20"/>
                <w:szCs w:val="20"/>
                <w:color w:val="auto"/>
              </w:rPr>
            </w:pPr>
            <w:r>
              <w:rPr>
                <w:rFonts w:ascii="Arial" w:cs="Arial" w:eastAsia="Arial" w:hAnsi="Arial"/>
                <w:sz w:val="16"/>
                <w:szCs w:val="16"/>
                <w:color w:val="auto"/>
              </w:rPr>
              <w:t>Charitable</w:t>
            </w:r>
          </w:p>
        </w:tc>
        <w:tc>
          <w:tcPr>
            <w:tcW w:w="9420" w:type="dxa"/>
            <w:vAlign w:val="bottom"/>
          </w:tcPr>
          <w:p>
            <w:pPr>
              <w:ind w:left="400"/>
              <w:spacing w:after="0" w:line="175" w:lineRule="exact"/>
              <w:rPr>
                <w:sz w:val="20"/>
                <w:szCs w:val="20"/>
                <w:color w:val="auto"/>
              </w:rPr>
            </w:pPr>
            <w:r>
              <w:rPr>
                <w:rFonts w:ascii="Arial" w:cs="Arial" w:eastAsia="Arial" w:hAnsi="Arial"/>
                <w:sz w:val="16"/>
                <w:szCs w:val="16"/>
                <w:color w:val="auto"/>
              </w:rPr>
              <w:t>We support charitable organizations for our employees through our matching gift program. The program for our executive</w:t>
            </w:r>
          </w:p>
        </w:tc>
        <w:tc>
          <w:tcPr>
            <w:tcW w:w="20" w:type="dxa"/>
            <w:vAlign w:val="bottom"/>
          </w:tcPr>
          <w:p>
            <w:pPr>
              <w:spacing w:after="0"/>
              <w:rPr>
                <w:sz w:val="15"/>
                <w:szCs w:val="15"/>
                <w:color w:val="auto"/>
              </w:rPr>
            </w:pPr>
          </w:p>
        </w:tc>
      </w:tr>
      <w:tr>
        <w:trPr>
          <w:trHeight w:val="189"/>
        </w:trPr>
        <w:tc>
          <w:tcPr>
            <w:tcW w:w="1820" w:type="dxa"/>
            <w:vAlign w:val="bottom"/>
          </w:tcPr>
          <w:p>
            <w:pPr>
              <w:spacing w:after="0"/>
              <w:rPr>
                <w:sz w:val="20"/>
                <w:szCs w:val="20"/>
                <w:color w:val="auto"/>
              </w:rPr>
            </w:pPr>
            <w:r>
              <w:rPr>
                <w:rFonts w:ascii="Arial" w:cs="Arial" w:eastAsia="Arial" w:hAnsi="Arial"/>
                <w:sz w:val="16"/>
                <w:szCs w:val="16"/>
                <w:color w:val="auto"/>
              </w:rPr>
              <w:t>Giving</w:t>
            </w:r>
          </w:p>
        </w:tc>
        <w:tc>
          <w:tcPr>
            <w:tcW w:w="9420" w:type="dxa"/>
            <w:vAlign w:val="bottom"/>
          </w:tcPr>
          <w:p>
            <w:pPr>
              <w:ind w:left="400"/>
              <w:spacing w:after="0"/>
              <w:rPr>
                <w:sz w:val="20"/>
                <w:szCs w:val="20"/>
                <w:color w:val="auto"/>
              </w:rPr>
            </w:pPr>
            <w:r>
              <w:rPr>
                <w:rFonts w:ascii="Arial" w:cs="Arial" w:eastAsia="Arial" w:hAnsi="Arial"/>
                <w:sz w:val="16"/>
                <w:szCs w:val="16"/>
                <w:color w:val="auto"/>
              </w:rPr>
              <w:t>officers provides that a gift or gifts by an executive officer and/or his or her spouse to one or more tax exempt 501(c)(3)</w:t>
            </w:r>
          </w:p>
        </w:tc>
        <w:tc>
          <w:tcPr>
            <w:tcW w:w="20" w:type="dxa"/>
            <w:vAlign w:val="bottom"/>
          </w:tcPr>
          <w:p>
            <w:pPr>
              <w:spacing w:after="0"/>
              <w:rPr>
                <w:sz w:val="16"/>
                <w:szCs w:val="16"/>
                <w:color w:val="auto"/>
              </w:rPr>
            </w:pPr>
          </w:p>
        </w:tc>
      </w:tr>
      <w:tr>
        <w:trPr>
          <w:trHeight w:val="203"/>
        </w:trPr>
        <w:tc>
          <w:tcPr>
            <w:tcW w:w="1820" w:type="dxa"/>
            <w:vAlign w:val="bottom"/>
          </w:tcPr>
          <w:p>
            <w:pPr>
              <w:spacing w:after="0"/>
              <w:rPr>
                <w:sz w:val="17"/>
                <w:szCs w:val="17"/>
                <w:color w:val="auto"/>
              </w:rPr>
            </w:pPr>
          </w:p>
        </w:tc>
        <w:tc>
          <w:tcPr>
            <w:tcW w:w="9420" w:type="dxa"/>
            <w:vAlign w:val="bottom"/>
          </w:tcPr>
          <w:p>
            <w:pPr>
              <w:ind w:left="400"/>
              <w:spacing w:after="0"/>
              <w:rPr>
                <w:sz w:val="20"/>
                <w:szCs w:val="20"/>
                <w:color w:val="auto"/>
              </w:rPr>
            </w:pPr>
            <w:r>
              <w:rPr>
                <w:rFonts w:ascii="Arial" w:cs="Arial" w:eastAsia="Arial" w:hAnsi="Arial"/>
                <w:sz w:val="16"/>
                <w:szCs w:val="16"/>
                <w:color w:val="auto"/>
              </w:rPr>
              <w:t>charitable organizations located in the United States will be matched by us in an aggregate amount of up to $3,000 per year.</w:t>
            </w:r>
          </w:p>
        </w:tc>
        <w:tc>
          <w:tcPr>
            <w:tcW w:w="20" w:type="dxa"/>
            <w:vAlign w:val="bottom"/>
          </w:tcPr>
          <w:p>
            <w:pPr>
              <w:spacing w:after="0"/>
              <w:rPr>
                <w:sz w:val="17"/>
                <w:szCs w:val="17"/>
                <w:color w:val="auto"/>
              </w:rPr>
            </w:pPr>
          </w:p>
        </w:tc>
      </w:tr>
      <w:tr>
        <w:trPr>
          <w:trHeight w:val="175"/>
        </w:trPr>
        <w:tc>
          <w:tcPr>
            <w:tcW w:w="1820" w:type="dxa"/>
            <w:vAlign w:val="bottom"/>
            <w:shd w:val="clear" w:color="auto" w:fill="D9D9D9"/>
          </w:tcPr>
          <w:p>
            <w:pPr>
              <w:spacing w:after="0" w:line="175" w:lineRule="exact"/>
              <w:rPr>
                <w:sz w:val="20"/>
                <w:szCs w:val="20"/>
                <w:color w:val="auto"/>
              </w:rPr>
            </w:pPr>
            <w:r>
              <w:rPr>
                <w:rFonts w:ascii="Arial" w:cs="Arial" w:eastAsia="Arial" w:hAnsi="Arial"/>
                <w:sz w:val="16"/>
                <w:szCs w:val="16"/>
                <w:color w:val="auto"/>
              </w:rPr>
              <w:t>Relocation Benefits</w:t>
            </w:r>
          </w:p>
        </w:tc>
        <w:tc>
          <w:tcPr>
            <w:tcW w:w="9420" w:type="dxa"/>
            <w:vAlign w:val="bottom"/>
            <w:shd w:val="clear" w:color="auto" w:fill="D9D9D9"/>
          </w:tcPr>
          <w:p>
            <w:pPr>
              <w:ind w:left="400"/>
              <w:spacing w:after="0" w:line="175" w:lineRule="exact"/>
              <w:rPr>
                <w:sz w:val="20"/>
                <w:szCs w:val="20"/>
                <w:color w:val="auto"/>
              </w:rPr>
            </w:pPr>
            <w:r>
              <w:rPr>
                <w:rFonts w:ascii="Arial" w:cs="Arial" w:eastAsia="Arial" w:hAnsi="Arial"/>
                <w:sz w:val="16"/>
                <w:szCs w:val="16"/>
                <w:color w:val="auto"/>
              </w:rPr>
              <w:t>We maintain a standard, market competitive relocation policy. Relocation expenses reimbursed and/or paid typically include:</w:t>
            </w:r>
          </w:p>
        </w:tc>
        <w:tc>
          <w:tcPr>
            <w:tcW w:w="20" w:type="dxa"/>
            <w:vAlign w:val="bottom"/>
          </w:tcPr>
          <w:p>
            <w:pPr>
              <w:spacing w:after="0"/>
              <w:rPr>
                <w:sz w:val="15"/>
                <w:szCs w:val="15"/>
                <w:color w:val="auto"/>
              </w:rPr>
            </w:pPr>
          </w:p>
        </w:tc>
      </w:tr>
      <w:tr>
        <w:trPr>
          <w:trHeight w:val="189"/>
        </w:trPr>
        <w:tc>
          <w:tcPr>
            <w:tcW w:w="1820" w:type="dxa"/>
            <w:vAlign w:val="bottom"/>
            <w:shd w:val="clear" w:color="auto" w:fill="D9D9D9"/>
          </w:tcPr>
          <w:p>
            <w:pPr>
              <w:spacing w:after="0"/>
              <w:rPr>
                <w:sz w:val="16"/>
                <w:szCs w:val="16"/>
                <w:color w:val="auto"/>
              </w:rPr>
            </w:pPr>
          </w:p>
        </w:tc>
        <w:tc>
          <w:tcPr>
            <w:tcW w:w="9420" w:type="dxa"/>
            <w:vAlign w:val="bottom"/>
            <w:shd w:val="clear" w:color="auto" w:fill="D9D9D9"/>
          </w:tcPr>
          <w:p>
            <w:pPr>
              <w:ind w:left="400"/>
              <w:spacing w:after="0"/>
              <w:rPr>
                <w:sz w:val="20"/>
                <w:szCs w:val="20"/>
                <w:color w:val="auto"/>
              </w:rPr>
            </w:pPr>
            <w:r>
              <w:rPr>
                <w:rFonts w:ascii="Arial" w:cs="Arial" w:eastAsia="Arial" w:hAnsi="Arial"/>
                <w:sz w:val="16"/>
                <w:szCs w:val="16"/>
                <w:color w:val="auto"/>
              </w:rPr>
              <w:t>shipment of household goods, automobile shipment, home finding trip, temporary living, destination home purchase</w:t>
            </w:r>
          </w:p>
        </w:tc>
        <w:tc>
          <w:tcPr>
            <w:tcW w:w="20" w:type="dxa"/>
            <w:vAlign w:val="bottom"/>
          </w:tcPr>
          <w:p>
            <w:pPr>
              <w:spacing w:after="0"/>
              <w:rPr>
                <w:sz w:val="16"/>
                <w:szCs w:val="16"/>
                <w:color w:val="auto"/>
              </w:rPr>
            </w:pPr>
          </w:p>
        </w:tc>
      </w:tr>
      <w:tr>
        <w:trPr>
          <w:trHeight w:val="203"/>
        </w:trPr>
        <w:tc>
          <w:tcPr>
            <w:tcW w:w="1820" w:type="dxa"/>
            <w:vAlign w:val="bottom"/>
            <w:shd w:val="clear" w:color="auto" w:fill="D9D9D9"/>
          </w:tcPr>
          <w:p>
            <w:pPr>
              <w:spacing w:after="0"/>
              <w:rPr>
                <w:sz w:val="17"/>
                <w:szCs w:val="17"/>
                <w:color w:val="auto"/>
              </w:rPr>
            </w:pPr>
          </w:p>
        </w:tc>
        <w:tc>
          <w:tcPr>
            <w:tcW w:w="9420" w:type="dxa"/>
            <w:vAlign w:val="bottom"/>
            <w:shd w:val="clear" w:color="auto" w:fill="D9D9D9"/>
          </w:tcPr>
          <w:p>
            <w:pPr>
              <w:ind w:left="400"/>
              <w:spacing w:after="0"/>
              <w:rPr>
                <w:sz w:val="20"/>
                <w:szCs w:val="20"/>
                <w:color w:val="auto"/>
              </w:rPr>
            </w:pPr>
            <w:r>
              <w:rPr>
                <w:rFonts w:ascii="Arial" w:cs="Arial" w:eastAsia="Arial" w:hAnsi="Arial"/>
                <w:sz w:val="16"/>
                <w:szCs w:val="16"/>
                <w:color w:val="auto"/>
              </w:rPr>
              <w:t>assistance, and a “gross-up” to help offset the tax impact of these expenses that are reimbursed and/or paid.</w:t>
            </w:r>
          </w:p>
        </w:tc>
        <w:tc>
          <w:tcPr>
            <w:tcW w:w="20" w:type="dxa"/>
            <w:vAlign w:val="bottom"/>
          </w:tcPr>
          <w:p>
            <w:pPr>
              <w:spacing w:after="0"/>
              <w:rPr>
                <w:sz w:val="17"/>
                <w:szCs w:val="17"/>
                <w:color w:val="auto"/>
              </w:rPr>
            </w:pPr>
          </w:p>
        </w:tc>
      </w:tr>
      <w:tr>
        <w:trPr>
          <w:trHeight w:val="436"/>
        </w:trPr>
        <w:tc>
          <w:tcPr>
            <w:tcW w:w="1820" w:type="dxa"/>
            <w:vAlign w:val="bottom"/>
          </w:tcPr>
          <w:p>
            <w:pPr>
              <w:spacing w:after="0"/>
              <w:rPr>
                <w:sz w:val="24"/>
                <w:szCs w:val="24"/>
                <w:color w:val="auto"/>
              </w:rPr>
            </w:pPr>
          </w:p>
        </w:tc>
        <w:tc>
          <w:tcPr>
            <w:tcW w:w="9420" w:type="dxa"/>
            <w:vAlign w:val="bottom"/>
          </w:tcPr>
          <w:p>
            <w:pPr>
              <w:ind w:left="370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4"/>
                <w:szCs w:val="24"/>
                <w:color w:val="auto"/>
              </w:rPr>
            </w:pPr>
          </w:p>
        </w:tc>
      </w:tr>
      <w:tr>
        <w:trPr>
          <w:trHeight w:val="98"/>
        </w:trPr>
        <w:tc>
          <w:tcPr>
            <w:tcW w:w="1820" w:type="dxa"/>
            <w:vAlign w:val="bottom"/>
            <w:tcBorders>
              <w:bottom w:val="single" w:sz="8" w:color="9A9A9A"/>
            </w:tcBorders>
          </w:tcPr>
          <w:p>
            <w:pPr>
              <w:spacing w:after="0"/>
              <w:rPr>
                <w:sz w:val="8"/>
                <w:szCs w:val="8"/>
                <w:color w:val="auto"/>
              </w:rPr>
            </w:pPr>
          </w:p>
        </w:tc>
        <w:tc>
          <w:tcPr>
            <w:tcW w:w="94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319" w:lineRule="exact"/>
        <w:rPr>
          <w:sz w:val="20"/>
          <w:szCs w:val="20"/>
          <w:color w:val="auto"/>
        </w:rPr>
      </w:pPr>
    </w:p>
    <w:p>
      <w:pPr>
        <w:ind w:right="260" w:firstLine="401"/>
        <w:spacing w:after="0" w:line="271" w:lineRule="auto"/>
        <w:rPr>
          <w:sz w:val="20"/>
          <w:szCs w:val="20"/>
          <w:color w:val="auto"/>
        </w:rPr>
      </w:pPr>
      <w:r>
        <w:rPr>
          <w:rFonts w:ascii="Arial" w:cs="Arial" w:eastAsia="Arial" w:hAnsi="Arial"/>
          <w:sz w:val="18"/>
          <w:szCs w:val="18"/>
          <w:color w:val="auto"/>
        </w:rPr>
        <w:t>Specific amounts included in the fiscal 2022 “All Other Compensation” column of the “Summary Compensation Table” are in the table below.</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shd w:val="clear" w:color="auto" w:fill="C00000"/>
          </w:tcPr>
          <w:p>
            <w:pPr>
              <w:spacing w:after="0"/>
              <w:rPr>
                <w:sz w:val="14"/>
                <w:szCs w:val="14"/>
                <w:color w:val="auto"/>
              </w:rPr>
            </w:pPr>
          </w:p>
        </w:tc>
        <w:tc>
          <w:tcPr>
            <w:tcW w:w="2240" w:type="dxa"/>
            <w:vAlign w:val="bottom"/>
            <w:shd w:val="clear" w:color="auto" w:fill="C00000"/>
          </w:tcPr>
          <w:p>
            <w:pPr>
              <w:jc w:val="center"/>
              <w:ind w:left="664"/>
              <w:spacing w:after="0"/>
              <w:rPr>
                <w:sz w:val="20"/>
                <w:szCs w:val="20"/>
                <w:color w:val="auto"/>
              </w:rPr>
            </w:pPr>
            <w:r>
              <w:rPr>
                <w:rFonts w:ascii="Arial" w:cs="Arial" w:eastAsia="Arial" w:hAnsi="Arial"/>
                <w:sz w:val="14"/>
                <w:szCs w:val="14"/>
                <w:b w:val="1"/>
                <w:bCs w:val="1"/>
                <w:color w:val="FFFFFF"/>
              </w:rPr>
              <w:t>Retirement Plan</w:t>
            </w:r>
          </w:p>
        </w:tc>
        <w:tc>
          <w:tcPr>
            <w:tcW w:w="1640" w:type="dxa"/>
            <w:vAlign w:val="bottom"/>
            <w:shd w:val="clear" w:color="auto" w:fill="C00000"/>
          </w:tcPr>
          <w:p>
            <w:pPr>
              <w:jc w:val="center"/>
              <w:ind w:right="104"/>
              <w:spacing w:after="0"/>
              <w:rPr>
                <w:sz w:val="20"/>
                <w:szCs w:val="20"/>
                <w:color w:val="auto"/>
              </w:rPr>
            </w:pPr>
            <w:r>
              <w:rPr>
                <w:rFonts w:ascii="Arial" w:cs="Arial" w:eastAsia="Arial" w:hAnsi="Arial"/>
                <w:sz w:val="14"/>
                <w:szCs w:val="14"/>
                <w:b w:val="1"/>
                <w:bCs w:val="1"/>
                <w:color w:val="FFFFFF"/>
              </w:rPr>
              <w:t>Nonqualified Plan</w:t>
            </w:r>
          </w:p>
        </w:tc>
        <w:tc>
          <w:tcPr>
            <w:tcW w:w="1360" w:type="dxa"/>
            <w:vAlign w:val="bottom"/>
            <w:shd w:val="clear" w:color="auto" w:fill="C00000"/>
          </w:tcPr>
          <w:p>
            <w:pPr>
              <w:jc w:val="center"/>
              <w:ind w:right="144"/>
              <w:spacing w:after="0"/>
              <w:rPr>
                <w:sz w:val="20"/>
                <w:szCs w:val="20"/>
                <w:color w:val="auto"/>
              </w:rPr>
            </w:pPr>
            <w:r>
              <w:rPr>
                <w:rFonts w:ascii="Arial" w:cs="Arial" w:eastAsia="Arial" w:hAnsi="Arial"/>
                <w:sz w:val="14"/>
                <w:szCs w:val="14"/>
                <w:b w:val="1"/>
                <w:bCs w:val="1"/>
                <w:color w:val="FFFFFF"/>
              </w:rPr>
              <w:t>Charitable</w:t>
            </w:r>
          </w:p>
        </w:tc>
        <w:tc>
          <w:tcPr>
            <w:tcW w:w="1440" w:type="dxa"/>
            <w:vAlign w:val="bottom"/>
            <w:shd w:val="clear" w:color="auto" w:fill="C00000"/>
          </w:tcPr>
          <w:p>
            <w:pPr>
              <w:spacing w:after="0"/>
              <w:rPr>
                <w:sz w:val="14"/>
                <w:szCs w:val="14"/>
                <w:color w:val="auto"/>
              </w:rPr>
            </w:pPr>
          </w:p>
        </w:tc>
        <w:tc>
          <w:tcPr>
            <w:tcW w:w="1500" w:type="dxa"/>
            <w:vAlign w:val="bottom"/>
            <w:shd w:val="clear" w:color="auto" w:fill="C00000"/>
          </w:tcPr>
          <w:p>
            <w:pPr>
              <w:jc w:val="center"/>
              <w:ind w:right="284"/>
              <w:spacing w:after="0"/>
              <w:rPr>
                <w:sz w:val="20"/>
                <w:szCs w:val="20"/>
                <w:color w:val="auto"/>
              </w:rPr>
            </w:pPr>
            <w:r>
              <w:rPr>
                <w:rFonts w:ascii="Arial" w:cs="Arial" w:eastAsia="Arial" w:hAnsi="Arial"/>
                <w:sz w:val="14"/>
                <w:szCs w:val="14"/>
                <w:b w:val="1"/>
                <w:bCs w:val="1"/>
                <w:color w:val="FFFFFF"/>
              </w:rPr>
              <w:t>Relocation</w:t>
            </w:r>
          </w:p>
        </w:tc>
        <w:tc>
          <w:tcPr>
            <w:tcW w:w="1120" w:type="dxa"/>
            <w:vAlign w:val="bottom"/>
            <w:shd w:val="clear" w:color="auto" w:fill="C00000"/>
          </w:tcPr>
          <w:p>
            <w:pPr>
              <w:spacing w:after="0"/>
              <w:rPr>
                <w:sz w:val="14"/>
                <w:szCs w:val="14"/>
                <w:color w:val="auto"/>
              </w:rPr>
            </w:pPr>
          </w:p>
        </w:tc>
      </w:tr>
      <w:tr>
        <w:trPr>
          <w:trHeight w:val="167"/>
        </w:trPr>
        <w:tc>
          <w:tcPr>
            <w:tcW w:w="1940" w:type="dxa"/>
            <w:vAlign w:val="bottom"/>
            <w:shd w:val="clear" w:color="auto" w:fill="C00000"/>
          </w:tcPr>
          <w:p>
            <w:pPr>
              <w:spacing w:after="0"/>
              <w:rPr>
                <w:sz w:val="14"/>
                <w:szCs w:val="14"/>
                <w:color w:val="auto"/>
              </w:rPr>
            </w:pPr>
          </w:p>
        </w:tc>
        <w:tc>
          <w:tcPr>
            <w:tcW w:w="2240" w:type="dxa"/>
            <w:vAlign w:val="bottom"/>
            <w:shd w:val="clear" w:color="auto" w:fill="C00000"/>
          </w:tcPr>
          <w:p>
            <w:pPr>
              <w:jc w:val="center"/>
              <w:ind w:left="664"/>
              <w:spacing w:after="0" w:line="167" w:lineRule="exact"/>
              <w:rPr>
                <w:sz w:val="20"/>
                <w:szCs w:val="20"/>
                <w:color w:val="auto"/>
              </w:rPr>
            </w:pPr>
            <w:r>
              <w:rPr>
                <w:rFonts w:ascii="Arial" w:cs="Arial" w:eastAsia="Arial" w:hAnsi="Arial"/>
                <w:sz w:val="12"/>
                <w:szCs w:val="12"/>
                <w:b w:val="1"/>
                <w:bCs w:val="1"/>
                <w:color w:val="FFFFFF"/>
              </w:rPr>
              <w:t>Contributions</w:t>
            </w:r>
            <w:r>
              <w:rPr>
                <w:rFonts w:ascii="Arial" w:cs="Arial" w:eastAsia="Arial" w:hAnsi="Arial"/>
                <w:sz w:val="19"/>
                <w:szCs w:val="19"/>
                <w:b w:val="1"/>
                <w:bCs w:val="1"/>
                <w:color w:val="FFFFFF"/>
                <w:vertAlign w:val="superscript"/>
              </w:rPr>
              <w:t>(1)</w:t>
            </w:r>
          </w:p>
        </w:tc>
        <w:tc>
          <w:tcPr>
            <w:tcW w:w="1640" w:type="dxa"/>
            <w:vAlign w:val="bottom"/>
            <w:shd w:val="clear" w:color="auto" w:fill="C00000"/>
          </w:tcPr>
          <w:p>
            <w:pPr>
              <w:jc w:val="center"/>
              <w:ind w:right="104"/>
              <w:spacing w:after="0" w:line="167" w:lineRule="exact"/>
              <w:rPr>
                <w:sz w:val="20"/>
                <w:szCs w:val="20"/>
                <w:color w:val="auto"/>
              </w:rPr>
            </w:pPr>
            <w:r>
              <w:rPr>
                <w:rFonts w:ascii="Arial" w:cs="Arial" w:eastAsia="Arial" w:hAnsi="Arial"/>
                <w:sz w:val="12"/>
                <w:szCs w:val="12"/>
                <w:b w:val="1"/>
                <w:bCs w:val="1"/>
                <w:color w:val="FFFFFF"/>
              </w:rPr>
              <w:t>Contributions</w:t>
            </w:r>
            <w:r>
              <w:rPr>
                <w:rFonts w:ascii="Arial" w:cs="Arial" w:eastAsia="Arial" w:hAnsi="Arial"/>
                <w:sz w:val="19"/>
                <w:szCs w:val="19"/>
                <w:b w:val="1"/>
                <w:bCs w:val="1"/>
                <w:color w:val="FFFFFF"/>
                <w:vertAlign w:val="superscript"/>
              </w:rPr>
              <w:t>(2)</w:t>
            </w:r>
          </w:p>
        </w:tc>
        <w:tc>
          <w:tcPr>
            <w:tcW w:w="1360" w:type="dxa"/>
            <w:vAlign w:val="bottom"/>
            <w:shd w:val="clear" w:color="auto" w:fill="C00000"/>
          </w:tcPr>
          <w:p>
            <w:pPr>
              <w:jc w:val="center"/>
              <w:ind w:right="164"/>
              <w:spacing w:after="0" w:line="167" w:lineRule="exact"/>
              <w:rPr>
                <w:sz w:val="20"/>
                <w:szCs w:val="20"/>
                <w:color w:val="auto"/>
              </w:rPr>
            </w:pPr>
            <w:r>
              <w:rPr>
                <w:rFonts w:ascii="Arial" w:cs="Arial" w:eastAsia="Arial" w:hAnsi="Arial"/>
                <w:sz w:val="12"/>
                <w:szCs w:val="12"/>
                <w:b w:val="1"/>
                <w:bCs w:val="1"/>
                <w:color w:val="FFFFFF"/>
              </w:rPr>
              <w:t>Giving</w:t>
            </w:r>
            <w:r>
              <w:rPr>
                <w:rFonts w:ascii="Arial" w:cs="Arial" w:eastAsia="Arial" w:hAnsi="Arial"/>
                <w:sz w:val="19"/>
                <w:szCs w:val="19"/>
                <w:b w:val="1"/>
                <w:bCs w:val="1"/>
                <w:color w:val="FFFFFF"/>
                <w:vertAlign w:val="superscript"/>
              </w:rPr>
              <w:t>(3)</w:t>
            </w:r>
          </w:p>
        </w:tc>
        <w:tc>
          <w:tcPr>
            <w:tcW w:w="1440" w:type="dxa"/>
            <w:vAlign w:val="bottom"/>
            <w:shd w:val="clear" w:color="auto" w:fill="C00000"/>
          </w:tcPr>
          <w:p>
            <w:pPr>
              <w:jc w:val="right"/>
              <w:ind w:right="283"/>
              <w:spacing w:after="0" w:line="167" w:lineRule="exact"/>
              <w:rPr>
                <w:sz w:val="20"/>
                <w:szCs w:val="20"/>
                <w:color w:val="auto"/>
              </w:rPr>
            </w:pPr>
            <w:r>
              <w:rPr>
                <w:rFonts w:ascii="Arial" w:cs="Arial" w:eastAsia="Arial" w:hAnsi="Arial"/>
                <w:sz w:val="12"/>
                <w:szCs w:val="12"/>
                <w:b w:val="1"/>
                <w:bCs w:val="1"/>
                <w:color w:val="FFFFFF"/>
              </w:rPr>
              <w:t>Perquisites</w:t>
            </w:r>
            <w:r>
              <w:rPr>
                <w:rFonts w:ascii="Arial" w:cs="Arial" w:eastAsia="Arial" w:hAnsi="Arial"/>
                <w:sz w:val="19"/>
                <w:szCs w:val="19"/>
                <w:b w:val="1"/>
                <w:bCs w:val="1"/>
                <w:color w:val="FFFFFF"/>
                <w:vertAlign w:val="superscript"/>
              </w:rPr>
              <w:t>(4)</w:t>
            </w:r>
          </w:p>
        </w:tc>
        <w:tc>
          <w:tcPr>
            <w:tcW w:w="1500" w:type="dxa"/>
            <w:vAlign w:val="bottom"/>
            <w:shd w:val="clear" w:color="auto" w:fill="C00000"/>
          </w:tcPr>
          <w:p>
            <w:pPr>
              <w:jc w:val="center"/>
              <w:ind w:right="264"/>
              <w:spacing w:after="0" w:line="167" w:lineRule="exact"/>
              <w:rPr>
                <w:sz w:val="20"/>
                <w:szCs w:val="20"/>
                <w:color w:val="auto"/>
              </w:rPr>
            </w:pPr>
            <w:r>
              <w:rPr>
                <w:rFonts w:ascii="Arial" w:cs="Arial" w:eastAsia="Arial" w:hAnsi="Arial"/>
                <w:sz w:val="12"/>
                <w:szCs w:val="12"/>
                <w:b w:val="1"/>
                <w:bCs w:val="1"/>
                <w:color w:val="FFFFFF"/>
              </w:rPr>
              <w:t>Benefits</w:t>
            </w:r>
            <w:r>
              <w:rPr>
                <w:rFonts w:ascii="Arial" w:cs="Arial" w:eastAsia="Arial" w:hAnsi="Arial"/>
                <w:sz w:val="19"/>
                <w:szCs w:val="19"/>
                <w:b w:val="1"/>
                <w:bCs w:val="1"/>
                <w:color w:val="FFFFFF"/>
                <w:vertAlign w:val="superscript"/>
              </w:rPr>
              <w:t>(5)</w:t>
            </w:r>
          </w:p>
        </w:tc>
        <w:tc>
          <w:tcPr>
            <w:tcW w:w="1120" w:type="dxa"/>
            <w:vAlign w:val="bottom"/>
            <w:shd w:val="clear" w:color="auto" w:fill="C00000"/>
          </w:tcPr>
          <w:p>
            <w:pPr>
              <w:jc w:val="right"/>
              <w:ind w:right="402"/>
              <w:spacing w:after="0"/>
              <w:rPr>
                <w:sz w:val="20"/>
                <w:szCs w:val="20"/>
                <w:color w:val="auto"/>
              </w:rPr>
            </w:pPr>
            <w:r>
              <w:rPr>
                <w:rFonts w:ascii="Arial" w:cs="Arial" w:eastAsia="Arial" w:hAnsi="Arial"/>
                <w:sz w:val="14"/>
                <w:szCs w:val="14"/>
                <w:b w:val="1"/>
                <w:bCs w:val="1"/>
                <w:color w:val="FFFFFF"/>
              </w:rPr>
              <w:t>Total</w:t>
            </w:r>
          </w:p>
        </w:tc>
      </w:tr>
      <w:tr>
        <w:trPr>
          <w:trHeight w:val="171"/>
        </w:trPr>
        <w:tc>
          <w:tcPr>
            <w:tcW w:w="194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Name</w:t>
            </w:r>
          </w:p>
        </w:tc>
        <w:tc>
          <w:tcPr>
            <w:tcW w:w="2240" w:type="dxa"/>
            <w:vAlign w:val="bottom"/>
            <w:shd w:val="clear" w:color="auto" w:fill="C00000"/>
          </w:tcPr>
          <w:p>
            <w:pPr>
              <w:jc w:val="center"/>
              <w:ind w:left="664"/>
              <w:spacing w:after="0"/>
              <w:rPr>
                <w:sz w:val="20"/>
                <w:szCs w:val="20"/>
                <w:color w:val="auto"/>
              </w:rPr>
            </w:pPr>
            <w:r>
              <w:rPr>
                <w:rFonts w:ascii="Arial" w:cs="Arial" w:eastAsia="Arial" w:hAnsi="Arial"/>
                <w:sz w:val="14"/>
                <w:szCs w:val="14"/>
                <w:b w:val="1"/>
                <w:bCs w:val="1"/>
                <w:color w:val="FFFFFF"/>
              </w:rPr>
              <w:t>($)</w:t>
            </w:r>
          </w:p>
        </w:tc>
        <w:tc>
          <w:tcPr>
            <w:tcW w:w="1640" w:type="dxa"/>
            <w:vAlign w:val="bottom"/>
            <w:shd w:val="clear" w:color="auto" w:fill="C00000"/>
          </w:tcPr>
          <w:p>
            <w:pPr>
              <w:jc w:val="center"/>
              <w:ind w:right="104"/>
              <w:spacing w:after="0"/>
              <w:rPr>
                <w:sz w:val="20"/>
                <w:szCs w:val="20"/>
                <w:color w:val="auto"/>
              </w:rPr>
            </w:pPr>
            <w:r>
              <w:rPr>
                <w:rFonts w:ascii="Arial" w:cs="Arial" w:eastAsia="Arial" w:hAnsi="Arial"/>
                <w:sz w:val="14"/>
                <w:szCs w:val="14"/>
                <w:b w:val="1"/>
                <w:bCs w:val="1"/>
                <w:color w:val="FFFFFF"/>
              </w:rPr>
              <w:t>($)</w:t>
            </w:r>
          </w:p>
        </w:tc>
        <w:tc>
          <w:tcPr>
            <w:tcW w:w="1360" w:type="dxa"/>
            <w:vAlign w:val="bottom"/>
            <w:shd w:val="clear" w:color="auto" w:fill="C00000"/>
          </w:tcPr>
          <w:p>
            <w:pPr>
              <w:jc w:val="center"/>
              <w:ind w:right="144"/>
              <w:spacing w:after="0"/>
              <w:rPr>
                <w:sz w:val="20"/>
                <w:szCs w:val="20"/>
                <w:color w:val="auto"/>
              </w:rPr>
            </w:pPr>
            <w:r>
              <w:rPr>
                <w:rFonts w:ascii="Arial" w:cs="Arial" w:eastAsia="Arial" w:hAnsi="Arial"/>
                <w:sz w:val="14"/>
                <w:szCs w:val="14"/>
                <w:b w:val="1"/>
                <w:bCs w:val="1"/>
                <w:color w:val="FFFFFF"/>
              </w:rPr>
              <w:t>($)</w:t>
            </w:r>
          </w:p>
        </w:tc>
        <w:tc>
          <w:tcPr>
            <w:tcW w:w="1440" w:type="dxa"/>
            <w:vAlign w:val="bottom"/>
            <w:shd w:val="clear" w:color="auto" w:fill="C00000"/>
          </w:tcPr>
          <w:p>
            <w:pPr>
              <w:jc w:val="right"/>
              <w:ind w:right="663"/>
              <w:spacing w:after="0"/>
              <w:rPr>
                <w:sz w:val="20"/>
                <w:szCs w:val="20"/>
                <w:color w:val="auto"/>
              </w:rPr>
            </w:pPr>
            <w:r>
              <w:rPr>
                <w:rFonts w:ascii="Arial" w:cs="Arial" w:eastAsia="Arial" w:hAnsi="Arial"/>
                <w:sz w:val="14"/>
                <w:szCs w:val="14"/>
                <w:b w:val="1"/>
                <w:bCs w:val="1"/>
                <w:color w:val="FFFFFF"/>
              </w:rPr>
              <w:t>($)</w:t>
            </w:r>
          </w:p>
        </w:tc>
        <w:tc>
          <w:tcPr>
            <w:tcW w:w="1500" w:type="dxa"/>
            <w:vAlign w:val="bottom"/>
            <w:shd w:val="clear" w:color="auto" w:fill="C00000"/>
          </w:tcPr>
          <w:p>
            <w:pPr>
              <w:jc w:val="center"/>
              <w:ind w:right="284"/>
              <w:spacing w:after="0"/>
              <w:rPr>
                <w:sz w:val="20"/>
                <w:szCs w:val="20"/>
                <w:color w:val="auto"/>
              </w:rPr>
            </w:pPr>
            <w:r>
              <w:rPr>
                <w:rFonts w:ascii="Arial" w:cs="Arial" w:eastAsia="Arial" w:hAnsi="Arial"/>
                <w:sz w:val="14"/>
                <w:szCs w:val="14"/>
                <w:b w:val="1"/>
                <w:bCs w:val="1"/>
                <w:color w:val="FFFFFF"/>
              </w:rPr>
              <w:t>($)</w:t>
            </w:r>
          </w:p>
        </w:tc>
        <w:tc>
          <w:tcPr>
            <w:tcW w:w="1120" w:type="dxa"/>
            <w:vAlign w:val="bottom"/>
            <w:shd w:val="clear" w:color="auto" w:fill="C00000"/>
          </w:tcPr>
          <w:p>
            <w:pPr>
              <w:jc w:val="right"/>
              <w:ind w:right="482"/>
              <w:spacing w:after="0"/>
              <w:rPr>
                <w:sz w:val="20"/>
                <w:szCs w:val="20"/>
                <w:color w:val="auto"/>
              </w:rPr>
            </w:pPr>
            <w:r>
              <w:rPr>
                <w:rFonts w:ascii="Arial" w:cs="Arial" w:eastAsia="Arial" w:hAnsi="Arial"/>
                <w:sz w:val="14"/>
                <w:szCs w:val="14"/>
                <w:b w:val="1"/>
                <w:bCs w:val="1"/>
                <w:color w:val="FFFFFF"/>
              </w:rPr>
              <w:t>($)</w:t>
            </w:r>
          </w:p>
        </w:tc>
      </w:tr>
      <w:tr>
        <w:trPr>
          <w:trHeight w:val="230"/>
        </w:trPr>
        <w:tc>
          <w:tcPr>
            <w:tcW w:w="1940" w:type="dxa"/>
            <w:vAlign w:val="bottom"/>
          </w:tcPr>
          <w:p>
            <w:pPr>
              <w:spacing w:after="0"/>
              <w:rPr>
                <w:sz w:val="20"/>
                <w:szCs w:val="20"/>
                <w:color w:val="auto"/>
              </w:rPr>
            </w:pPr>
            <w:r>
              <w:rPr>
                <w:rFonts w:ascii="Arial" w:cs="Arial" w:eastAsia="Arial" w:hAnsi="Arial"/>
                <w:sz w:val="16"/>
                <w:szCs w:val="16"/>
                <w:color w:val="auto"/>
              </w:rPr>
              <w:t>Mr. Olson</w:t>
            </w:r>
          </w:p>
        </w:tc>
        <w:tc>
          <w:tcPr>
            <w:tcW w:w="2240" w:type="dxa"/>
            <w:vAlign w:val="bottom"/>
          </w:tcPr>
          <w:p>
            <w:pPr>
              <w:jc w:val="right"/>
              <w:ind w:right="44"/>
              <w:spacing w:after="0"/>
              <w:rPr>
                <w:sz w:val="20"/>
                <w:szCs w:val="20"/>
                <w:color w:val="auto"/>
              </w:rPr>
            </w:pPr>
            <w:r>
              <w:rPr>
                <w:rFonts w:ascii="Arial" w:cs="Arial" w:eastAsia="Arial" w:hAnsi="Arial"/>
                <w:sz w:val="16"/>
                <w:szCs w:val="16"/>
                <w:color w:val="auto"/>
              </w:rPr>
              <w:t>27,058</w:t>
            </w:r>
          </w:p>
        </w:tc>
        <w:tc>
          <w:tcPr>
            <w:tcW w:w="1640" w:type="dxa"/>
            <w:vAlign w:val="bottom"/>
          </w:tcPr>
          <w:p>
            <w:pPr>
              <w:jc w:val="right"/>
              <w:ind w:right="124"/>
              <w:spacing w:after="0"/>
              <w:rPr>
                <w:sz w:val="20"/>
                <w:szCs w:val="20"/>
                <w:color w:val="auto"/>
              </w:rPr>
            </w:pPr>
            <w:r>
              <w:rPr>
                <w:rFonts w:ascii="Arial" w:cs="Arial" w:eastAsia="Arial" w:hAnsi="Arial"/>
                <w:sz w:val="16"/>
                <w:szCs w:val="16"/>
                <w:color w:val="auto"/>
              </w:rPr>
              <w:t>194,281</w:t>
            </w:r>
          </w:p>
        </w:tc>
        <w:tc>
          <w:tcPr>
            <w:tcW w:w="1360" w:type="dxa"/>
            <w:vAlign w:val="bottom"/>
          </w:tcPr>
          <w:p>
            <w:pPr>
              <w:jc w:val="right"/>
              <w:ind w:right="84"/>
              <w:spacing w:after="0"/>
              <w:rPr>
                <w:sz w:val="20"/>
                <w:szCs w:val="20"/>
                <w:color w:val="auto"/>
              </w:rPr>
            </w:pPr>
            <w:r>
              <w:rPr>
                <w:rFonts w:ascii="Arial" w:cs="Arial" w:eastAsia="Arial" w:hAnsi="Arial"/>
                <w:sz w:val="16"/>
                <w:szCs w:val="16"/>
                <w:color w:val="auto"/>
              </w:rPr>
              <w:t>3,000</w:t>
            </w:r>
          </w:p>
        </w:tc>
        <w:tc>
          <w:tcPr>
            <w:tcW w:w="1440" w:type="dxa"/>
            <w:vAlign w:val="bottom"/>
          </w:tcPr>
          <w:p>
            <w:pPr>
              <w:jc w:val="right"/>
              <w:ind w:right="123"/>
              <w:spacing w:after="0"/>
              <w:rPr>
                <w:sz w:val="20"/>
                <w:szCs w:val="20"/>
                <w:color w:val="auto"/>
              </w:rPr>
            </w:pPr>
            <w:r>
              <w:rPr>
                <w:rFonts w:ascii="Arial" w:cs="Arial" w:eastAsia="Arial" w:hAnsi="Arial"/>
                <w:sz w:val="16"/>
                <w:szCs w:val="16"/>
                <w:color w:val="auto"/>
              </w:rPr>
              <w:t>29,247</w:t>
            </w:r>
          </w:p>
        </w:tc>
        <w:tc>
          <w:tcPr>
            <w:tcW w:w="1500" w:type="dxa"/>
            <w:vAlign w:val="bottom"/>
          </w:tcPr>
          <w:p>
            <w:pPr>
              <w:jc w:val="right"/>
              <w:ind w:right="224"/>
              <w:spacing w:after="0"/>
              <w:rPr>
                <w:sz w:val="20"/>
                <w:szCs w:val="20"/>
                <w:color w:val="auto"/>
              </w:rPr>
            </w:pPr>
            <w:r>
              <w:rPr>
                <w:rFonts w:ascii="Arial" w:cs="Arial" w:eastAsia="Arial" w:hAnsi="Arial"/>
                <w:sz w:val="16"/>
                <w:szCs w:val="16"/>
                <w:color w:val="auto"/>
              </w:rPr>
              <w:t>0</w:t>
            </w:r>
          </w:p>
        </w:tc>
        <w:tc>
          <w:tcPr>
            <w:tcW w:w="1120" w:type="dxa"/>
            <w:vAlign w:val="bottom"/>
          </w:tcPr>
          <w:p>
            <w:pPr>
              <w:jc w:val="right"/>
              <w:spacing w:after="0"/>
              <w:rPr>
                <w:sz w:val="20"/>
                <w:szCs w:val="20"/>
                <w:color w:val="auto"/>
              </w:rPr>
            </w:pPr>
            <w:r>
              <w:rPr>
                <w:rFonts w:ascii="Arial" w:cs="Arial" w:eastAsia="Arial" w:hAnsi="Arial"/>
                <w:sz w:val="16"/>
                <w:szCs w:val="16"/>
                <w:color w:val="auto"/>
              </w:rPr>
              <w:t>253,586</w:t>
            </w:r>
          </w:p>
        </w:tc>
      </w:tr>
      <w:tr>
        <w:trPr>
          <w:trHeight w:val="203"/>
        </w:trPr>
        <w:tc>
          <w:tcPr>
            <w:tcW w:w="1940" w:type="dxa"/>
            <w:vAlign w:val="bottom"/>
            <w:shd w:val="clear" w:color="auto" w:fill="D9D9D9"/>
          </w:tcPr>
          <w:p>
            <w:pPr>
              <w:spacing w:after="0"/>
              <w:rPr>
                <w:sz w:val="20"/>
                <w:szCs w:val="20"/>
                <w:color w:val="auto"/>
              </w:rPr>
            </w:pPr>
            <w:r>
              <w:rPr>
                <w:rFonts w:ascii="Arial" w:cs="Arial" w:eastAsia="Arial" w:hAnsi="Arial"/>
                <w:sz w:val="16"/>
                <w:szCs w:val="16"/>
                <w:color w:val="auto"/>
              </w:rPr>
              <w:t>Ms. Peterson</w:t>
            </w:r>
          </w:p>
        </w:tc>
        <w:tc>
          <w:tcPr>
            <w:tcW w:w="2240" w:type="dxa"/>
            <w:vAlign w:val="bottom"/>
            <w:shd w:val="clear" w:color="auto" w:fill="D9D9D9"/>
          </w:tcPr>
          <w:p>
            <w:pPr>
              <w:jc w:val="right"/>
              <w:ind w:right="44"/>
              <w:spacing w:after="0"/>
              <w:rPr>
                <w:sz w:val="20"/>
                <w:szCs w:val="20"/>
                <w:color w:val="auto"/>
              </w:rPr>
            </w:pPr>
            <w:r>
              <w:rPr>
                <w:rFonts w:ascii="Arial" w:cs="Arial" w:eastAsia="Arial" w:hAnsi="Arial"/>
                <w:sz w:val="16"/>
                <w:szCs w:val="16"/>
                <w:color w:val="auto"/>
              </w:rPr>
              <w:t>27,058</w:t>
            </w:r>
          </w:p>
        </w:tc>
        <w:tc>
          <w:tcPr>
            <w:tcW w:w="1640" w:type="dxa"/>
            <w:vAlign w:val="bottom"/>
            <w:shd w:val="clear" w:color="auto" w:fill="D9D9D9"/>
          </w:tcPr>
          <w:p>
            <w:pPr>
              <w:jc w:val="right"/>
              <w:ind w:right="124"/>
              <w:spacing w:after="0"/>
              <w:rPr>
                <w:sz w:val="20"/>
                <w:szCs w:val="20"/>
                <w:color w:val="auto"/>
              </w:rPr>
            </w:pPr>
            <w:r>
              <w:rPr>
                <w:rFonts w:ascii="Arial" w:cs="Arial" w:eastAsia="Arial" w:hAnsi="Arial"/>
                <w:sz w:val="16"/>
                <w:szCs w:val="16"/>
                <w:color w:val="auto"/>
              </w:rPr>
              <w:t>69,072</w:t>
            </w:r>
          </w:p>
        </w:tc>
        <w:tc>
          <w:tcPr>
            <w:tcW w:w="1360" w:type="dxa"/>
            <w:vAlign w:val="bottom"/>
            <w:shd w:val="clear" w:color="auto" w:fill="D9D9D9"/>
          </w:tcPr>
          <w:p>
            <w:pPr>
              <w:jc w:val="right"/>
              <w:ind w:right="84"/>
              <w:spacing w:after="0"/>
              <w:rPr>
                <w:sz w:val="20"/>
                <w:szCs w:val="20"/>
                <w:color w:val="auto"/>
              </w:rPr>
            </w:pPr>
            <w:r>
              <w:rPr>
                <w:rFonts w:ascii="Arial" w:cs="Arial" w:eastAsia="Arial" w:hAnsi="Arial"/>
                <w:sz w:val="16"/>
                <w:szCs w:val="16"/>
                <w:color w:val="auto"/>
              </w:rPr>
              <w:t>3,000</w:t>
            </w:r>
          </w:p>
        </w:tc>
        <w:tc>
          <w:tcPr>
            <w:tcW w:w="1440" w:type="dxa"/>
            <w:vAlign w:val="bottom"/>
            <w:shd w:val="clear" w:color="auto" w:fill="D9D9D9"/>
          </w:tcPr>
          <w:p>
            <w:pPr>
              <w:jc w:val="right"/>
              <w:ind w:right="123"/>
              <w:spacing w:after="0"/>
              <w:rPr>
                <w:sz w:val="20"/>
                <w:szCs w:val="20"/>
                <w:color w:val="auto"/>
              </w:rPr>
            </w:pPr>
            <w:r>
              <w:rPr>
                <w:rFonts w:ascii="Arial" w:cs="Arial" w:eastAsia="Arial" w:hAnsi="Arial"/>
                <w:sz w:val="16"/>
                <w:szCs w:val="16"/>
                <w:color w:val="auto"/>
              </w:rPr>
              <w:t>49,781</w:t>
            </w:r>
          </w:p>
        </w:tc>
        <w:tc>
          <w:tcPr>
            <w:tcW w:w="1500" w:type="dxa"/>
            <w:vAlign w:val="bottom"/>
            <w:shd w:val="clear" w:color="auto" w:fill="D9D9D9"/>
          </w:tcPr>
          <w:p>
            <w:pPr>
              <w:jc w:val="right"/>
              <w:ind w:right="224"/>
              <w:spacing w:after="0"/>
              <w:rPr>
                <w:sz w:val="20"/>
                <w:szCs w:val="20"/>
                <w:color w:val="auto"/>
              </w:rPr>
            </w:pPr>
            <w:r>
              <w:rPr>
                <w:rFonts w:ascii="Arial" w:cs="Arial" w:eastAsia="Arial" w:hAnsi="Arial"/>
                <w:sz w:val="16"/>
                <w:szCs w:val="16"/>
                <w:color w:val="auto"/>
              </w:rPr>
              <w:t>0</w:t>
            </w:r>
          </w:p>
        </w:tc>
        <w:tc>
          <w:tcPr>
            <w:tcW w:w="11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148,911</w:t>
            </w:r>
          </w:p>
        </w:tc>
      </w:tr>
      <w:tr>
        <w:trPr>
          <w:trHeight w:val="203"/>
        </w:trPr>
        <w:tc>
          <w:tcPr>
            <w:tcW w:w="1940" w:type="dxa"/>
            <w:vAlign w:val="bottom"/>
          </w:tcPr>
          <w:p>
            <w:pPr>
              <w:spacing w:after="0"/>
              <w:rPr>
                <w:sz w:val="20"/>
                <w:szCs w:val="20"/>
                <w:color w:val="auto"/>
              </w:rPr>
            </w:pPr>
            <w:r>
              <w:rPr>
                <w:rFonts w:ascii="Arial" w:cs="Arial" w:eastAsia="Arial" w:hAnsi="Arial"/>
                <w:sz w:val="16"/>
                <w:szCs w:val="16"/>
                <w:color w:val="auto"/>
              </w:rPr>
              <w:t>Mr. Carpenter</w:t>
            </w:r>
          </w:p>
        </w:tc>
        <w:tc>
          <w:tcPr>
            <w:tcW w:w="2240" w:type="dxa"/>
            <w:vAlign w:val="bottom"/>
          </w:tcPr>
          <w:p>
            <w:pPr>
              <w:jc w:val="right"/>
              <w:ind w:right="44"/>
              <w:spacing w:after="0"/>
              <w:rPr>
                <w:sz w:val="20"/>
                <w:szCs w:val="20"/>
                <w:color w:val="auto"/>
              </w:rPr>
            </w:pPr>
            <w:r>
              <w:rPr>
                <w:rFonts w:ascii="Arial" w:cs="Arial" w:eastAsia="Arial" w:hAnsi="Arial"/>
                <w:sz w:val="16"/>
                <w:szCs w:val="16"/>
                <w:color w:val="auto"/>
              </w:rPr>
              <w:t>21,742</w:t>
            </w:r>
          </w:p>
        </w:tc>
        <w:tc>
          <w:tcPr>
            <w:tcW w:w="1640" w:type="dxa"/>
            <w:vAlign w:val="bottom"/>
          </w:tcPr>
          <w:p>
            <w:pPr>
              <w:jc w:val="right"/>
              <w:ind w:right="124"/>
              <w:spacing w:after="0"/>
              <w:rPr>
                <w:sz w:val="20"/>
                <w:szCs w:val="20"/>
                <w:color w:val="auto"/>
              </w:rPr>
            </w:pPr>
            <w:r>
              <w:rPr>
                <w:rFonts w:ascii="Arial" w:cs="Arial" w:eastAsia="Arial" w:hAnsi="Arial"/>
                <w:sz w:val="16"/>
                <w:szCs w:val="16"/>
                <w:color w:val="auto"/>
              </w:rPr>
              <w:t>27,153</w:t>
            </w:r>
          </w:p>
        </w:tc>
        <w:tc>
          <w:tcPr>
            <w:tcW w:w="1360" w:type="dxa"/>
            <w:vAlign w:val="bottom"/>
          </w:tcPr>
          <w:p>
            <w:pPr>
              <w:jc w:val="right"/>
              <w:ind w:right="84"/>
              <w:spacing w:after="0"/>
              <w:rPr>
                <w:sz w:val="20"/>
                <w:szCs w:val="20"/>
                <w:color w:val="auto"/>
              </w:rPr>
            </w:pPr>
            <w:r>
              <w:rPr>
                <w:rFonts w:ascii="Arial" w:cs="Arial" w:eastAsia="Arial" w:hAnsi="Arial"/>
                <w:sz w:val="16"/>
                <w:szCs w:val="16"/>
                <w:color w:val="auto"/>
              </w:rPr>
              <w:t>0</w:t>
            </w:r>
          </w:p>
        </w:tc>
        <w:tc>
          <w:tcPr>
            <w:tcW w:w="1440" w:type="dxa"/>
            <w:vAlign w:val="bottom"/>
          </w:tcPr>
          <w:p>
            <w:pPr>
              <w:jc w:val="right"/>
              <w:ind w:right="123"/>
              <w:spacing w:after="0"/>
              <w:rPr>
                <w:sz w:val="20"/>
                <w:szCs w:val="20"/>
                <w:color w:val="auto"/>
              </w:rPr>
            </w:pPr>
            <w:r>
              <w:rPr>
                <w:rFonts w:ascii="Arial" w:cs="Arial" w:eastAsia="Arial" w:hAnsi="Arial"/>
                <w:sz w:val="16"/>
                <w:szCs w:val="16"/>
                <w:color w:val="auto"/>
              </w:rPr>
              <w:t>15,625</w:t>
            </w:r>
          </w:p>
        </w:tc>
        <w:tc>
          <w:tcPr>
            <w:tcW w:w="1500" w:type="dxa"/>
            <w:vAlign w:val="bottom"/>
          </w:tcPr>
          <w:p>
            <w:pPr>
              <w:jc w:val="right"/>
              <w:ind w:right="224"/>
              <w:spacing w:after="0"/>
              <w:rPr>
                <w:sz w:val="20"/>
                <w:szCs w:val="20"/>
                <w:color w:val="auto"/>
              </w:rPr>
            </w:pPr>
            <w:r>
              <w:rPr>
                <w:rFonts w:ascii="Arial" w:cs="Arial" w:eastAsia="Arial" w:hAnsi="Arial"/>
                <w:sz w:val="16"/>
                <w:szCs w:val="16"/>
                <w:color w:val="auto"/>
              </w:rPr>
              <w:t>50,234</w:t>
            </w:r>
          </w:p>
        </w:tc>
        <w:tc>
          <w:tcPr>
            <w:tcW w:w="1120" w:type="dxa"/>
            <w:vAlign w:val="bottom"/>
          </w:tcPr>
          <w:p>
            <w:pPr>
              <w:jc w:val="right"/>
              <w:spacing w:after="0"/>
              <w:rPr>
                <w:sz w:val="20"/>
                <w:szCs w:val="20"/>
                <w:color w:val="auto"/>
              </w:rPr>
            </w:pPr>
            <w:r>
              <w:rPr>
                <w:rFonts w:ascii="Arial" w:cs="Arial" w:eastAsia="Arial" w:hAnsi="Arial"/>
                <w:sz w:val="16"/>
                <w:szCs w:val="16"/>
                <w:color w:val="auto"/>
              </w:rPr>
              <w:t>114,754</w:t>
            </w:r>
          </w:p>
        </w:tc>
      </w:tr>
      <w:tr>
        <w:trPr>
          <w:trHeight w:val="203"/>
        </w:trPr>
        <w:tc>
          <w:tcPr>
            <w:tcW w:w="1940" w:type="dxa"/>
            <w:vAlign w:val="bottom"/>
            <w:shd w:val="clear" w:color="auto" w:fill="D9D9D9"/>
          </w:tcPr>
          <w:p>
            <w:pPr>
              <w:spacing w:after="0"/>
              <w:rPr>
                <w:sz w:val="20"/>
                <w:szCs w:val="20"/>
                <w:color w:val="auto"/>
              </w:rPr>
            </w:pPr>
            <w:r>
              <w:rPr>
                <w:rFonts w:ascii="Arial" w:cs="Arial" w:eastAsia="Arial" w:hAnsi="Arial"/>
                <w:sz w:val="16"/>
                <w:szCs w:val="16"/>
                <w:color w:val="auto"/>
              </w:rPr>
              <w:t>Mr. Rodier</w:t>
            </w:r>
          </w:p>
        </w:tc>
        <w:tc>
          <w:tcPr>
            <w:tcW w:w="2240" w:type="dxa"/>
            <w:vAlign w:val="bottom"/>
            <w:shd w:val="clear" w:color="auto" w:fill="D9D9D9"/>
          </w:tcPr>
          <w:p>
            <w:pPr>
              <w:jc w:val="right"/>
              <w:ind w:right="44"/>
              <w:spacing w:after="0"/>
              <w:rPr>
                <w:sz w:val="20"/>
                <w:szCs w:val="20"/>
                <w:color w:val="auto"/>
              </w:rPr>
            </w:pPr>
            <w:r>
              <w:rPr>
                <w:rFonts w:ascii="Arial" w:cs="Arial" w:eastAsia="Arial" w:hAnsi="Arial"/>
                <w:sz w:val="16"/>
                <w:szCs w:val="16"/>
                <w:color w:val="auto"/>
              </w:rPr>
              <w:t>24,690</w:t>
            </w:r>
          </w:p>
        </w:tc>
        <w:tc>
          <w:tcPr>
            <w:tcW w:w="1640" w:type="dxa"/>
            <w:vAlign w:val="bottom"/>
            <w:shd w:val="clear" w:color="auto" w:fill="D9D9D9"/>
          </w:tcPr>
          <w:p>
            <w:pPr>
              <w:jc w:val="right"/>
              <w:ind w:right="124"/>
              <w:spacing w:after="0"/>
              <w:rPr>
                <w:sz w:val="20"/>
                <w:szCs w:val="20"/>
                <w:color w:val="auto"/>
              </w:rPr>
            </w:pPr>
            <w:r>
              <w:rPr>
                <w:rFonts w:ascii="Arial" w:cs="Arial" w:eastAsia="Arial" w:hAnsi="Arial"/>
                <w:sz w:val="16"/>
                <w:szCs w:val="16"/>
                <w:color w:val="auto"/>
              </w:rPr>
              <w:t>56,484</w:t>
            </w:r>
          </w:p>
        </w:tc>
        <w:tc>
          <w:tcPr>
            <w:tcW w:w="1360" w:type="dxa"/>
            <w:vAlign w:val="bottom"/>
            <w:shd w:val="clear" w:color="auto" w:fill="D9D9D9"/>
          </w:tcPr>
          <w:p>
            <w:pPr>
              <w:jc w:val="right"/>
              <w:ind w:right="84"/>
              <w:spacing w:after="0"/>
              <w:rPr>
                <w:sz w:val="20"/>
                <w:szCs w:val="20"/>
                <w:color w:val="auto"/>
              </w:rPr>
            </w:pPr>
            <w:r>
              <w:rPr>
                <w:rFonts w:ascii="Arial" w:cs="Arial" w:eastAsia="Arial" w:hAnsi="Arial"/>
                <w:sz w:val="16"/>
                <w:szCs w:val="16"/>
                <w:color w:val="auto"/>
              </w:rPr>
              <w:t>3,000</w:t>
            </w:r>
          </w:p>
        </w:tc>
        <w:tc>
          <w:tcPr>
            <w:tcW w:w="1440" w:type="dxa"/>
            <w:vAlign w:val="bottom"/>
            <w:shd w:val="clear" w:color="auto" w:fill="D9D9D9"/>
          </w:tcPr>
          <w:p>
            <w:pPr>
              <w:jc w:val="right"/>
              <w:ind w:right="123"/>
              <w:spacing w:after="0"/>
              <w:rPr>
                <w:sz w:val="20"/>
                <w:szCs w:val="20"/>
                <w:color w:val="auto"/>
              </w:rPr>
            </w:pPr>
            <w:r>
              <w:rPr>
                <w:rFonts w:ascii="Arial" w:cs="Arial" w:eastAsia="Arial" w:hAnsi="Arial"/>
                <w:sz w:val="16"/>
                <w:szCs w:val="16"/>
                <w:color w:val="auto"/>
              </w:rPr>
              <w:t>30,794</w:t>
            </w:r>
          </w:p>
        </w:tc>
        <w:tc>
          <w:tcPr>
            <w:tcW w:w="1500" w:type="dxa"/>
            <w:vAlign w:val="bottom"/>
            <w:shd w:val="clear" w:color="auto" w:fill="D9D9D9"/>
          </w:tcPr>
          <w:p>
            <w:pPr>
              <w:jc w:val="right"/>
              <w:ind w:right="224"/>
              <w:spacing w:after="0"/>
              <w:rPr>
                <w:sz w:val="20"/>
                <w:szCs w:val="20"/>
                <w:color w:val="auto"/>
              </w:rPr>
            </w:pPr>
            <w:r>
              <w:rPr>
                <w:rFonts w:ascii="Arial" w:cs="Arial" w:eastAsia="Arial" w:hAnsi="Arial"/>
                <w:sz w:val="16"/>
                <w:szCs w:val="16"/>
                <w:color w:val="auto"/>
              </w:rPr>
              <w:t>0</w:t>
            </w:r>
          </w:p>
        </w:tc>
        <w:tc>
          <w:tcPr>
            <w:tcW w:w="11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114,968</w:t>
            </w:r>
          </w:p>
        </w:tc>
      </w:tr>
      <w:tr>
        <w:trPr>
          <w:trHeight w:val="241"/>
        </w:trPr>
        <w:tc>
          <w:tcPr>
            <w:tcW w:w="1940" w:type="dxa"/>
            <w:vAlign w:val="bottom"/>
          </w:tcPr>
          <w:p>
            <w:pPr>
              <w:spacing w:after="0"/>
              <w:rPr>
                <w:sz w:val="20"/>
                <w:szCs w:val="20"/>
                <w:color w:val="auto"/>
              </w:rPr>
            </w:pPr>
            <w:r>
              <w:rPr>
                <w:rFonts w:ascii="Arial" w:cs="Arial" w:eastAsia="Arial" w:hAnsi="Arial"/>
                <w:sz w:val="16"/>
                <w:szCs w:val="16"/>
                <w:color w:val="auto"/>
              </w:rPr>
              <w:t>Ms. Dahl</w:t>
            </w:r>
          </w:p>
        </w:tc>
        <w:tc>
          <w:tcPr>
            <w:tcW w:w="2240" w:type="dxa"/>
            <w:vAlign w:val="bottom"/>
          </w:tcPr>
          <w:p>
            <w:pPr>
              <w:jc w:val="right"/>
              <w:ind w:right="44"/>
              <w:spacing w:after="0"/>
              <w:rPr>
                <w:sz w:val="20"/>
                <w:szCs w:val="20"/>
                <w:color w:val="auto"/>
              </w:rPr>
            </w:pPr>
            <w:r>
              <w:rPr>
                <w:rFonts w:ascii="Arial" w:cs="Arial" w:eastAsia="Arial" w:hAnsi="Arial"/>
                <w:sz w:val="16"/>
                <w:szCs w:val="16"/>
                <w:color w:val="auto"/>
              </w:rPr>
              <w:t>27,058</w:t>
            </w:r>
          </w:p>
        </w:tc>
        <w:tc>
          <w:tcPr>
            <w:tcW w:w="1640" w:type="dxa"/>
            <w:vAlign w:val="bottom"/>
          </w:tcPr>
          <w:p>
            <w:pPr>
              <w:jc w:val="right"/>
              <w:ind w:right="124"/>
              <w:spacing w:after="0"/>
              <w:rPr>
                <w:sz w:val="20"/>
                <w:szCs w:val="20"/>
                <w:color w:val="auto"/>
              </w:rPr>
            </w:pPr>
            <w:r>
              <w:rPr>
                <w:rFonts w:ascii="Arial" w:cs="Arial" w:eastAsia="Arial" w:hAnsi="Arial"/>
                <w:sz w:val="16"/>
                <w:szCs w:val="16"/>
                <w:color w:val="auto"/>
              </w:rPr>
              <w:t>47,437</w:t>
            </w:r>
          </w:p>
        </w:tc>
        <w:tc>
          <w:tcPr>
            <w:tcW w:w="1360" w:type="dxa"/>
            <w:vAlign w:val="bottom"/>
          </w:tcPr>
          <w:p>
            <w:pPr>
              <w:jc w:val="right"/>
              <w:ind w:right="84"/>
              <w:spacing w:after="0"/>
              <w:rPr>
                <w:sz w:val="20"/>
                <w:szCs w:val="20"/>
                <w:color w:val="auto"/>
              </w:rPr>
            </w:pPr>
            <w:r>
              <w:rPr>
                <w:rFonts w:ascii="Arial" w:cs="Arial" w:eastAsia="Arial" w:hAnsi="Arial"/>
                <w:sz w:val="16"/>
                <w:szCs w:val="16"/>
                <w:color w:val="auto"/>
              </w:rPr>
              <w:t>3,000</w:t>
            </w:r>
          </w:p>
        </w:tc>
        <w:tc>
          <w:tcPr>
            <w:tcW w:w="1440" w:type="dxa"/>
            <w:vAlign w:val="bottom"/>
          </w:tcPr>
          <w:p>
            <w:pPr>
              <w:jc w:val="right"/>
              <w:ind w:right="123"/>
              <w:spacing w:after="0"/>
              <w:rPr>
                <w:sz w:val="20"/>
                <w:szCs w:val="20"/>
                <w:color w:val="auto"/>
              </w:rPr>
            </w:pPr>
            <w:r>
              <w:rPr>
                <w:rFonts w:ascii="Arial" w:cs="Arial" w:eastAsia="Arial" w:hAnsi="Arial"/>
                <w:sz w:val="16"/>
                <w:szCs w:val="16"/>
                <w:color w:val="auto"/>
              </w:rPr>
              <w:t>38,035</w:t>
            </w:r>
          </w:p>
        </w:tc>
        <w:tc>
          <w:tcPr>
            <w:tcW w:w="1500" w:type="dxa"/>
            <w:vAlign w:val="bottom"/>
          </w:tcPr>
          <w:p>
            <w:pPr>
              <w:jc w:val="right"/>
              <w:ind w:right="224"/>
              <w:spacing w:after="0"/>
              <w:rPr>
                <w:sz w:val="20"/>
                <w:szCs w:val="20"/>
                <w:color w:val="auto"/>
              </w:rPr>
            </w:pPr>
            <w:r>
              <w:rPr>
                <w:rFonts w:ascii="Arial" w:cs="Arial" w:eastAsia="Arial" w:hAnsi="Arial"/>
                <w:sz w:val="16"/>
                <w:szCs w:val="16"/>
                <w:color w:val="auto"/>
              </w:rPr>
              <w:t>0</w:t>
            </w:r>
          </w:p>
        </w:tc>
        <w:tc>
          <w:tcPr>
            <w:tcW w:w="1120" w:type="dxa"/>
            <w:vAlign w:val="bottom"/>
          </w:tcPr>
          <w:p>
            <w:pPr>
              <w:jc w:val="right"/>
              <w:spacing w:after="0"/>
              <w:rPr>
                <w:sz w:val="20"/>
                <w:szCs w:val="20"/>
                <w:color w:val="auto"/>
              </w:rPr>
            </w:pPr>
            <w:r>
              <w:rPr>
                <w:rFonts w:ascii="Arial" w:cs="Arial" w:eastAsia="Arial" w:hAnsi="Arial"/>
                <w:sz w:val="16"/>
                <w:szCs w:val="16"/>
                <w:color w:val="auto"/>
              </w:rPr>
              <w:t>115,530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2040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25" w:lineRule="exact"/>
        <w:rPr>
          <w:sz w:val="20"/>
          <w:szCs w:val="20"/>
          <w:color w:val="auto"/>
        </w:rPr>
      </w:pPr>
    </w:p>
    <w:p>
      <w:pPr>
        <w:ind w:left="400" w:hanging="392"/>
        <w:spacing w:after="0"/>
        <w:tabs>
          <w:tab w:leader="none" w:pos="4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Amounts reported represent Company matching contributions and a discretionary investment fund contribution.</w:t>
      </w:r>
    </w:p>
    <w:p>
      <w:pPr>
        <w:spacing w:after="0" w:line="49" w:lineRule="exact"/>
        <w:rPr>
          <w:rFonts w:ascii="Arial" w:cs="Arial" w:eastAsia="Arial" w:hAnsi="Arial"/>
          <w:sz w:val="18"/>
          <w:szCs w:val="18"/>
          <w:color w:val="auto"/>
        </w:rPr>
      </w:pPr>
    </w:p>
    <w:p>
      <w:pPr>
        <w:ind w:left="400" w:hanging="392"/>
        <w:spacing w:after="0"/>
        <w:tabs>
          <w:tab w:leader="none" w:pos="4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Amounts reported represent Company contributions to the Supplemental Benefit Plan.</w:t>
      </w:r>
    </w:p>
    <w:p>
      <w:pPr>
        <w:spacing w:after="0" w:line="49" w:lineRule="exact"/>
        <w:rPr>
          <w:rFonts w:ascii="Arial" w:cs="Arial" w:eastAsia="Arial" w:hAnsi="Arial"/>
          <w:sz w:val="18"/>
          <w:szCs w:val="18"/>
          <w:color w:val="auto"/>
        </w:rPr>
      </w:pPr>
    </w:p>
    <w:p>
      <w:pPr>
        <w:ind w:left="400" w:hanging="392"/>
        <w:spacing w:after="0"/>
        <w:tabs>
          <w:tab w:leader="none" w:pos="4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Amounts reported represent matching contributions for charitable donations made by our executive officers.</w:t>
      </w:r>
    </w:p>
    <w:p>
      <w:pPr>
        <w:spacing w:after="0" w:line="49" w:lineRule="exact"/>
        <w:rPr>
          <w:rFonts w:ascii="Arial" w:cs="Arial" w:eastAsia="Arial" w:hAnsi="Arial"/>
          <w:sz w:val="18"/>
          <w:szCs w:val="18"/>
          <w:color w:val="auto"/>
        </w:rPr>
      </w:pPr>
    </w:p>
    <w:p>
      <w:pPr>
        <w:ind w:left="400" w:right="340" w:hanging="392"/>
        <w:spacing w:after="0" w:line="247" w:lineRule="auto"/>
        <w:tabs>
          <w:tab w:leader="none" w:pos="4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Amounts reported represent Company paid amounts for automobile lease plus reportable income for personal use of the automobile; Company paid amounts for financial planning expenses and executive physical expenses; value of Company products received for personal use; and incremental travel costs paid by the Company for spouses of our executive officers in connection with certain off-site, business-related.</w:t>
      </w:r>
    </w:p>
    <w:p>
      <w:pPr>
        <w:spacing w:after="0" w:line="11" w:lineRule="exact"/>
        <w:rPr>
          <w:rFonts w:ascii="Arial" w:cs="Arial" w:eastAsia="Arial" w:hAnsi="Arial"/>
          <w:sz w:val="18"/>
          <w:szCs w:val="18"/>
          <w:color w:val="auto"/>
        </w:rPr>
      </w:pPr>
    </w:p>
    <w:p>
      <w:pPr>
        <w:ind w:left="400" w:hanging="392"/>
        <w:spacing w:after="0"/>
        <w:tabs>
          <w:tab w:leader="none" w:pos="4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Amounts reported represent Company paid relocation expenses.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Grants of Plan-Based Awards for Fiscal 2022</w:t>
      </w:r>
    </w:p>
    <w:p>
      <w:pPr>
        <w:spacing w:after="0" w:line="99" w:lineRule="exact"/>
        <w:rPr>
          <w:sz w:val="20"/>
          <w:szCs w:val="20"/>
          <w:color w:val="auto"/>
        </w:rPr>
      </w:pPr>
    </w:p>
    <w:p>
      <w:pPr>
        <w:ind w:right="180" w:firstLine="401"/>
        <w:spacing w:after="0" w:line="253" w:lineRule="auto"/>
        <w:rPr>
          <w:sz w:val="20"/>
          <w:szCs w:val="20"/>
          <w:color w:val="auto"/>
        </w:rPr>
      </w:pPr>
      <w:r>
        <w:rPr>
          <w:rFonts w:ascii="Arial" w:cs="Arial" w:eastAsia="Arial" w:hAnsi="Arial"/>
          <w:sz w:val="18"/>
          <w:szCs w:val="18"/>
          <w:color w:val="auto"/>
        </w:rPr>
        <w:t>During fiscal 2022, plan-based awards granted to our NEOs included annual cash incentive awards, performance share awards, restricted stock unit awards, and stock option awards. The following table summarizes all plan-based awards granted to our NEOs during fiscal 2022.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240" w:type="dxa"/>
            <w:vAlign w:val="bottom"/>
            <w:shd w:val="clear" w:color="auto" w:fill="C00000"/>
          </w:tcPr>
          <w:p>
            <w:pPr>
              <w:spacing w:after="0"/>
              <w:rPr>
                <w:sz w:val="12"/>
                <w:szCs w:val="12"/>
                <w:color w:val="auto"/>
              </w:rPr>
            </w:pPr>
          </w:p>
        </w:tc>
        <w:tc>
          <w:tcPr>
            <w:tcW w:w="680" w:type="dxa"/>
            <w:vAlign w:val="bottom"/>
            <w:shd w:val="clear" w:color="auto" w:fill="C00000"/>
          </w:tcPr>
          <w:p>
            <w:pPr>
              <w:spacing w:after="0"/>
              <w:rPr>
                <w:sz w:val="12"/>
                <w:szCs w:val="12"/>
                <w:color w:val="auto"/>
              </w:rPr>
            </w:pPr>
          </w:p>
        </w:tc>
        <w:tc>
          <w:tcPr>
            <w:tcW w:w="720" w:type="dxa"/>
            <w:vAlign w:val="bottom"/>
            <w:shd w:val="clear" w:color="auto" w:fill="C00000"/>
          </w:tcPr>
          <w:p>
            <w:pPr>
              <w:spacing w:after="0"/>
              <w:rPr>
                <w:sz w:val="12"/>
                <w:szCs w:val="12"/>
                <w:color w:val="auto"/>
              </w:rPr>
            </w:pPr>
          </w:p>
        </w:tc>
        <w:tc>
          <w:tcPr>
            <w:tcW w:w="740" w:type="dxa"/>
            <w:vAlign w:val="bottom"/>
            <w:shd w:val="clear" w:color="auto" w:fill="C00000"/>
          </w:tcPr>
          <w:p>
            <w:pPr>
              <w:spacing w:after="0"/>
              <w:rPr>
                <w:sz w:val="12"/>
                <w:szCs w:val="12"/>
                <w:color w:val="auto"/>
              </w:rPr>
            </w:pPr>
          </w:p>
        </w:tc>
        <w:tc>
          <w:tcPr>
            <w:tcW w:w="720" w:type="dxa"/>
            <w:vAlign w:val="bottom"/>
            <w:shd w:val="clear" w:color="auto" w:fill="C00000"/>
          </w:tcPr>
          <w:p>
            <w:pPr>
              <w:spacing w:after="0"/>
              <w:rPr>
                <w:sz w:val="12"/>
                <w:szCs w:val="12"/>
                <w:color w:val="auto"/>
              </w:rPr>
            </w:pPr>
          </w:p>
        </w:tc>
        <w:tc>
          <w:tcPr>
            <w:tcW w:w="640" w:type="dxa"/>
            <w:vAlign w:val="bottom"/>
            <w:shd w:val="clear" w:color="auto" w:fill="C00000"/>
          </w:tcPr>
          <w:p>
            <w:pPr>
              <w:spacing w:after="0"/>
              <w:rPr>
                <w:sz w:val="12"/>
                <w:szCs w:val="12"/>
                <w:color w:val="auto"/>
              </w:rPr>
            </w:pPr>
          </w:p>
        </w:tc>
        <w:tc>
          <w:tcPr>
            <w:tcW w:w="700" w:type="dxa"/>
            <w:vAlign w:val="bottom"/>
            <w:shd w:val="clear" w:color="auto" w:fill="C00000"/>
          </w:tcPr>
          <w:p>
            <w:pPr>
              <w:spacing w:after="0"/>
              <w:rPr>
                <w:sz w:val="12"/>
                <w:szCs w:val="12"/>
                <w:color w:val="auto"/>
              </w:rPr>
            </w:pPr>
          </w:p>
        </w:tc>
        <w:tc>
          <w:tcPr>
            <w:tcW w:w="700" w:type="dxa"/>
            <w:vAlign w:val="bottom"/>
            <w:shd w:val="clear" w:color="auto" w:fill="C00000"/>
          </w:tcPr>
          <w:p>
            <w:pPr>
              <w:spacing w:after="0"/>
              <w:rPr>
                <w:sz w:val="12"/>
                <w:szCs w:val="12"/>
                <w:color w:val="auto"/>
              </w:rPr>
            </w:pPr>
          </w:p>
        </w:tc>
        <w:tc>
          <w:tcPr>
            <w:tcW w:w="740" w:type="dxa"/>
            <w:vAlign w:val="bottom"/>
            <w:shd w:val="clear" w:color="auto" w:fill="C00000"/>
          </w:tcPr>
          <w:p>
            <w:pPr>
              <w:spacing w:after="0"/>
              <w:rPr>
                <w:sz w:val="12"/>
                <w:szCs w:val="12"/>
                <w:color w:val="auto"/>
              </w:rPr>
            </w:pPr>
          </w:p>
        </w:tc>
        <w:tc>
          <w:tcPr>
            <w:tcW w:w="840" w:type="dxa"/>
            <w:vAlign w:val="bottom"/>
            <w:shd w:val="clear" w:color="auto" w:fill="C00000"/>
          </w:tcPr>
          <w:p>
            <w:pPr>
              <w:jc w:val="center"/>
              <w:ind w:right="42"/>
              <w:spacing w:after="0"/>
              <w:rPr>
                <w:sz w:val="20"/>
                <w:szCs w:val="20"/>
                <w:color w:val="auto"/>
              </w:rPr>
            </w:pPr>
            <w:r>
              <w:rPr>
                <w:rFonts w:ascii="Arial" w:cs="Arial" w:eastAsia="Arial" w:hAnsi="Arial"/>
                <w:sz w:val="12"/>
                <w:szCs w:val="12"/>
                <w:b w:val="1"/>
                <w:bCs w:val="1"/>
                <w:color w:val="FFFFFF"/>
                <w:w w:val="98"/>
              </w:rPr>
              <w:t>All Other</w:t>
            </w:r>
          </w:p>
        </w:tc>
        <w:tc>
          <w:tcPr>
            <w:tcW w:w="860" w:type="dxa"/>
            <w:vAlign w:val="bottom"/>
            <w:shd w:val="clear" w:color="auto" w:fill="C00000"/>
          </w:tcPr>
          <w:p>
            <w:pPr>
              <w:jc w:val="center"/>
              <w:ind w:right="22"/>
              <w:spacing w:after="0"/>
              <w:rPr>
                <w:sz w:val="20"/>
                <w:szCs w:val="20"/>
                <w:color w:val="auto"/>
              </w:rPr>
            </w:pPr>
            <w:r>
              <w:rPr>
                <w:rFonts w:ascii="Arial" w:cs="Arial" w:eastAsia="Arial" w:hAnsi="Arial"/>
                <w:sz w:val="12"/>
                <w:szCs w:val="12"/>
                <w:b w:val="1"/>
                <w:bCs w:val="1"/>
                <w:color w:val="FFFFFF"/>
                <w:w w:val="98"/>
              </w:rPr>
              <w:t>All Other</w:t>
            </w:r>
          </w:p>
        </w:tc>
        <w:tc>
          <w:tcPr>
            <w:tcW w:w="880" w:type="dxa"/>
            <w:vAlign w:val="bottom"/>
            <w:shd w:val="clear" w:color="auto" w:fill="C00000"/>
          </w:tcPr>
          <w:p>
            <w:pPr>
              <w:spacing w:after="0"/>
              <w:rPr>
                <w:sz w:val="12"/>
                <w:szCs w:val="12"/>
                <w:color w:val="auto"/>
              </w:rPr>
            </w:pPr>
          </w:p>
        </w:tc>
        <w:tc>
          <w:tcPr>
            <w:tcW w:w="780" w:type="dxa"/>
            <w:vAlign w:val="bottom"/>
            <w:shd w:val="clear" w:color="auto" w:fill="C00000"/>
          </w:tcPr>
          <w:p>
            <w:pPr>
              <w:spacing w:after="0"/>
              <w:rPr>
                <w:sz w:val="12"/>
                <w:szCs w:val="12"/>
                <w:color w:val="auto"/>
              </w:rPr>
            </w:pPr>
          </w:p>
        </w:tc>
      </w:tr>
      <w:tr>
        <w:trPr>
          <w:trHeight w:val="135"/>
        </w:trPr>
        <w:tc>
          <w:tcPr>
            <w:tcW w:w="2240" w:type="dxa"/>
            <w:vAlign w:val="bottom"/>
            <w:shd w:val="clear" w:color="auto" w:fill="C00000"/>
          </w:tcPr>
          <w:p>
            <w:pPr>
              <w:spacing w:after="0"/>
              <w:rPr>
                <w:sz w:val="11"/>
                <w:szCs w:val="11"/>
                <w:color w:val="auto"/>
              </w:rPr>
            </w:pPr>
          </w:p>
        </w:tc>
        <w:tc>
          <w:tcPr>
            <w:tcW w:w="680" w:type="dxa"/>
            <w:vAlign w:val="bottom"/>
            <w:shd w:val="clear" w:color="auto" w:fill="C00000"/>
          </w:tcPr>
          <w:p>
            <w:pPr>
              <w:spacing w:after="0"/>
              <w:rPr>
                <w:sz w:val="11"/>
                <w:szCs w:val="11"/>
                <w:color w:val="auto"/>
              </w:rPr>
            </w:pPr>
          </w:p>
        </w:tc>
        <w:tc>
          <w:tcPr>
            <w:tcW w:w="720" w:type="dxa"/>
            <w:vAlign w:val="bottom"/>
            <w:shd w:val="clear" w:color="auto" w:fill="C00000"/>
          </w:tcPr>
          <w:p>
            <w:pPr>
              <w:spacing w:after="0"/>
              <w:rPr>
                <w:sz w:val="11"/>
                <w:szCs w:val="11"/>
                <w:color w:val="auto"/>
              </w:rPr>
            </w:pPr>
          </w:p>
        </w:tc>
        <w:tc>
          <w:tcPr>
            <w:tcW w:w="740" w:type="dxa"/>
            <w:vAlign w:val="bottom"/>
            <w:shd w:val="clear" w:color="auto" w:fill="C00000"/>
          </w:tcPr>
          <w:p>
            <w:pPr>
              <w:spacing w:after="0"/>
              <w:rPr>
                <w:sz w:val="11"/>
                <w:szCs w:val="11"/>
                <w:color w:val="auto"/>
              </w:rPr>
            </w:pPr>
          </w:p>
        </w:tc>
        <w:tc>
          <w:tcPr>
            <w:tcW w:w="720" w:type="dxa"/>
            <w:vAlign w:val="bottom"/>
            <w:shd w:val="clear" w:color="auto" w:fill="C00000"/>
          </w:tcPr>
          <w:p>
            <w:pPr>
              <w:spacing w:after="0"/>
              <w:rPr>
                <w:sz w:val="11"/>
                <w:szCs w:val="11"/>
                <w:color w:val="auto"/>
              </w:rPr>
            </w:pPr>
          </w:p>
        </w:tc>
        <w:tc>
          <w:tcPr>
            <w:tcW w:w="640" w:type="dxa"/>
            <w:vAlign w:val="bottom"/>
            <w:shd w:val="clear" w:color="auto" w:fill="C00000"/>
          </w:tcPr>
          <w:p>
            <w:pPr>
              <w:spacing w:after="0"/>
              <w:rPr>
                <w:sz w:val="11"/>
                <w:szCs w:val="11"/>
                <w:color w:val="auto"/>
              </w:rPr>
            </w:pPr>
          </w:p>
        </w:tc>
        <w:tc>
          <w:tcPr>
            <w:tcW w:w="700" w:type="dxa"/>
            <w:vAlign w:val="bottom"/>
            <w:shd w:val="clear" w:color="auto" w:fill="C00000"/>
          </w:tcPr>
          <w:p>
            <w:pPr>
              <w:spacing w:after="0"/>
              <w:rPr>
                <w:sz w:val="11"/>
                <w:szCs w:val="11"/>
                <w:color w:val="auto"/>
              </w:rPr>
            </w:pPr>
          </w:p>
        </w:tc>
        <w:tc>
          <w:tcPr>
            <w:tcW w:w="700" w:type="dxa"/>
            <w:vAlign w:val="bottom"/>
            <w:shd w:val="clear" w:color="auto" w:fill="C00000"/>
          </w:tcPr>
          <w:p>
            <w:pPr>
              <w:spacing w:after="0"/>
              <w:rPr>
                <w:sz w:val="11"/>
                <w:szCs w:val="11"/>
                <w:color w:val="auto"/>
              </w:rPr>
            </w:pPr>
          </w:p>
        </w:tc>
        <w:tc>
          <w:tcPr>
            <w:tcW w:w="740" w:type="dxa"/>
            <w:vAlign w:val="bottom"/>
            <w:shd w:val="clear" w:color="auto" w:fill="C00000"/>
          </w:tcPr>
          <w:p>
            <w:pPr>
              <w:spacing w:after="0"/>
              <w:rPr>
                <w:sz w:val="11"/>
                <w:szCs w:val="11"/>
                <w:color w:val="auto"/>
              </w:rPr>
            </w:pPr>
          </w:p>
        </w:tc>
        <w:tc>
          <w:tcPr>
            <w:tcW w:w="840" w:type="dxa"/>
            <w:vAlign w:val="bottom"/>
            <w:shd w:val="clear" w:color="auto" w:fill="C00000"/>
          </w:tcPr>
          <w:p>
            <w:pPr>
              <w:jc w:val="center"/>
              <w:ind w:right="22"/>
              <w:spacing w:after="0" w:line="135" w:lineRule="exact"/>
              <w:rPr>
                <w:sz w:val="20"/>
                <w:szCs w:val="20"/>
                <w:color w:val="auto"/>
              </w:rPr>
            </w:pPr>
            <w:r>
              <w:rPr>
                <w:rFonts w:ascii="Arial" w:cs="Arial" w:eastAsia="Arial" w:hAnsi="Arial"/>
                <w:sz w:val="12"/>
                <w:szCs w:val="12"/>
                <w:b w:val="1"/>
                <w:bCs w:val="1"/>
                <w:color w:val="FFFFFF"/>
                <w:w w:val="97"/>
              </w:rPr>
              <w:t>Stock</w:t>
            </w:r>
          </w:p>
        </w:tc>
        <w:tc>
          <w:tcPr>
            <w:tcW w:w="860" w:type="dxa"/>
            <w:vAlign w:val="bottom"/>
            <w:shd w:val="clear" w:color="auto" w:fill="C00000"/>
          </w:tcPr>
          <w:p>
            <w:pPr>
              <w:jc w:val="center"/>
              <w:ind w:right="22"/>
              <w:spacing w:after="0" w:line="135" w:lineRule="exact"/>
              <w:rPr>
                <w:sz w:val="20"/>
                <w:szCs w:val="20"/>
                <w:color w:val="auto"/>
              </w:rPr>
            </w:pPr>
            <w:r>
              <w:rPr>
                <w:rFonts w:ascii="Arial" w:cs="Arial" w:eastAsia="Arial" w:hAnsi="Arial"/>
                <w:sz w:val="12"/>
                <w:szCs w:val="12"/>
                <w:b w:val="1"/>
                <w:bCs w:val="1"/>
                <w:color w:val="FFFFFF"/>
                <w:w w:val="98"/>
              </w:rPr>
              <w:t>Option</w:t>
            </w:r>
          </w:p>
        </w:tc>
        <w:tc>
          <w:tcPr>
            <w:tcW w:w="880" w:type="dxa"/>
            <w:vAlign w:val="bottom"/>
            <w:shd w:val="clear" w:color="auto" w:fill="C00000"/>
          </w:tcPr>
          <w:p>
            <w:pPr>
              <w:spacing w:after="0"/>
              <w:rPr>
                <w:sz w:val="11"/>
                <w:szCs w:val="11"/>
                <w:color w:val="auto"/>
              </w:rPr>
            </w:pPr>
          </w:p>
        </w:tc>
        <w:tc>
          <w:tcPr>
            <w:tcW w:w="780" w:type="dxa"/>
            <w:vAlign w:val="bottom"/>
            <w:shd w:val="clear" w:color="auto" w:fill="C00000"/>
          </w:tcPr>
          <w:p>
            <w:pPr>
              <w:jc w:val="center"/>
              <w:spacing w:after="0" w:line="135" w:lineRule="exact"/>
              <w:rPr>
                <w:sz w:val="20"/>
                <w:szCs w:val="20"/>
                <w:color w:val="auto"/>
              </w:rPr>
            </w:pPr>
            <w:r>
              <w:rPr>
                <w:rFonts w:ascii="Arial" w:cs="Arial" w:eastAsia="Arial" w:hAnsi="Arial"/>
                <w:sz w:val="12"/>
                <w:szCs w:val="12"/>
                <w:b w:val="1"/>
                <w:bCs w:val="1"/>
                <w:color w:val="FFFFFF"/>
                <w:w w:val="99"/>
              </w:rPr>
              <w:t>Grant</w:t>
            </w:r>
          </w:p>
        </w:tc>
      </w:tr>
      <w:tr>
        <w:trPr>
          <w:trHeight w:val="135"/>
        </w:trPr>
        <w:tc>
          <w:tcPr>
            <w:tcW w:w="2240" w:type="dxa"/>
            <w:vAlign w:val="bottom"/>
            <w:shd w:val="clear" w:color="auto" w:fill="C00000"/>
          </w:tcPr>
          <w:p>
            <w:pPr>
              <w:spacing w:after="0"/>
              <w:rPr>
                <w:sz w:val="11"/>
                <w:szCs w:val="11"/>
                <w:color w:val="auto"/>
              </w:rPr>
            </w:pPr>
          </w:p>
        </w:tc>
        <w:tc>
          <w:tcPr>
            <w:tcW w:w="680" w:type="dxa"/>
            <w:vAlign w:val="bottom"/>
            <w:shd w:val="clear" w:color="auto" w:fill="C00000"/>
          </w:tcPr>
          <w:p>
            <w:pPr>
              <w:spacing w:after="0"/>
              <w:rPr>
                <w:sz w:val="11"/>
                <w:szCs w:val="11"/>
                <w:color w:val="auto"/>
              </w:rPr>
            </w:pPr>
          </w:p>
        </w:tc>
        <w:tc>
          <w:tcPr>
            <w:tcW w:w="720" w:type="dxa"/>
            <w:vAlign w:val="bottom"/>
            <w:shd w:val="clear" w:color="auto" w:fill="C00000"/>
          </w:tcPr>
          <w:p>
            <w:pPr>
              <w:spacing w:after="0"/>
              <w:rPr>
                <w:sz w:val="11"/>
                <w:szCs w:val="11"/>
                <w:color w:val="auto"/>
              </w:rPr>
            </w:pPr>
          </w:p>
        </w:tc>
        <w:tc>
          <w:tcPr>
            <w:tcW w:w="740" w:type="dxa"/>
            <w:vAlign w:val="bottom"/>
            <w:shd w:val="clear" w:color="auto" w:fill="C00000"/>
          </w:tcPr>
          <w:p>
            <w:pPr>
              <w:spacing w:after="0"/>
              <w:rPr>
                <w:sz w:val="11"/>
                <w:szCs w:val="11"/>
                <w:color w:val="auto"/>
              </w:rPr>
            </w:pPr>
          </w:p>
        </w:tc>
        <w:tc>
          <w:tcPr>
            <w:tcW w:w="720" w:type="dxa"/>
            <w:vAlign w:val="bottom"/>
            <w:shd w:val="clear" w:color="auto" w:fill="C00000"/>
          </w:tcPr>
          <w:p>
            <w:pPr>
              <w:spacing w:after="0"/>
              <w:rPr>
                <w:sz w:val="11"/>
                <w:szCs w:val="11"/>
                <w:color w:val="auto"/>
              </w:rPr>
            </w:pPr>
          </w:p>
        </w:tc>
        <w:tc>
          <w:tcPr>
            <w:tcW w:w="640" w:type="dxa"/>
            <w:vAlign w:val="bottom"/>
            <w:shd w:val="clear" w:color="auto" w:fill="C00000"/>
          </w:tcPr>
          <w:p>
            <w:pPr>
              <w:spacing w:after="0"/>
              <w:rPr>
                <w:sz w:val="11"/>
                <w:szCs w:val="11"/>
                <w:color w:val="auto"/>
              </w:rPr>
            </w:pPr>
          </w:p>
        </w:tc>
        <w:tc>
          <w:tcPr>
            <w:tcW w:w="700" w:type="dxa"/>
            <w:vAlign w:val="bottom"/>
            <w:shd w:val="clear" w:color="auto" w:fill="C00000"/>
          </w:tcPr>
          <w:p>
            <w:pPr>
              <w:spacing w:after="0"/>
              <w:rPr>
                <w:sz w:val="11"/>
                <w:szCs w:val="11"/>
                <w:color w:val="auto"/>
              </w:rPr>
            </w:pPr>
          </w:p>
        </w:tc>
        <w:tc>
          <w:tcPr>
            <w:tcW w:w="700" w:type="dxa"/>
            <w:vAlign w:val="bottom"/>
            <w:shd w:val="clear" w:color="auto" w:fill="C00000"/>
          </w:tcPr>
          <w:p>
            <w:pPr>
              <w:spacing w:after="0"/>
              <w:rPr>
                <w:sz w:val="11"/>
                <w:szCs w:val="11"/>
                <w:color w:val="auto"/>
              </w:rPr>
            </w:pPr>
          </w:p>
        </w:tc>
        <w:tc>
          <w:tcPr>
            <w:tcW w:w="740" w:type="dxa"/>
            <w:vAlign w:val="bottom"/>
            <w:shd w:val="clear" w:color="auto" w:fill="C00000"/>
          </w:tcPr>
          <w:p>
            <w:pPr>
              <w:spacing w:after="0"/>
              <w:rPr>
                <w:sz w:val="11"/>
                <w:szCs w:val="11"/>
                <w:color w:val="auto"/>
              </w:rPr>
            </w:pPr>
          </w:p>
        </w:tc>
        <w:tc>
          <w:tcPr>
            <w:tcW w:w="840" w:type="dxa"/>
            <w:vAlign w:val="bottom"/>
            <w:shd w:val="clear" w:color="auto" w:fill="C00000"/>
          </w:tcPr>
          <w:p>
            <w:pPr>
              <w:jc w:val="center"/>
              <w:ind w:right="42"/>
              <w:spacing w:after="0" w:line="135" w:lineRule="exact"/>
              <w:rPr>
                <w:sz w:val="20"/>
                <w:szCs w:val="20"/>
                <w:color w:val="auto"/>
              </w:rPr>
            </w:pPr>
            <w:r>
              <w:rPr>
                <w:rFonts w:ascii="Arial" w:cs="Arial" w:eastAsia="Arial" w:hAnsi="Arial"/>
                <w:sz w:val="12"/>
                <w:szCs w:val="12"/>
                <w:b w:val="1"/>
                <w:bCs w:val="1"/>
                <w:color w:val="FFFFFF"/>
                <w:w w:val="97"/>
              </w:rPr>
              <w:t>Awards:</w:t>
            </w:r>
          </w:p>
        </w:tc>
        <w:tc>
          <w:tcPr>
            <w:tcW w:w="860" w:type="dxa"/>
            <w:vAlign w:val="bottom"/>
            <w:shd w:val="clear" w:color="auto" w:fill="C00000"/>
          </w:tcPr>
          <w:p>
            <w:pPr>
              <w:jc w:val="center"/>
              <w:ind w:right="22"/>
              <w:spacing w:after="0" w:line="135" w:lineRule="exact"/>
              <w:rPr>
                <w:sz w:val="20"/>
                <w:szCs w:val="20"/>
                <w:color w:val="auto"/>
              </w:rPr>
            </w:pPr>
            <w:r>
              <w:rPr>
                <w:rFonts w:ascii="Arial" w:cs="Arial" w:eastAsia="Arial" w:hAnsi="Arial"/>
                <w:sz w:val="12"/>
                <w:szCs w:val="12"/>
                <w:b w:val="1"/>
                <w:bCs w:val="1"/>
                <w:color w:val="FFFFFF"/>
                <w:w w:val="97"/>
              </w:rPr>
              <w:t>Awards:</w:t>
            </w:r>
          </w:p>
        </w:tc>
        <w:tc>
          <w:tcPr>
            <w:tcW w:w="880" w:type="dxa"/>
            <w:vAlign w:val="bottom"/>
            <w:shd w:val="clear" w:color="auto" w:fill="C00000"/>
          </w:tcPr>
          <w:p>
            <w:pPr>
              <w:jc w:val="center"/>
              <w:ind w:right="62"/>
              <w:spacing w:after="0" w:line="135" w:lineRule="exact"/>
              <w:rPr>
                <w:sz w:val="20"/>
                <w:szCs w:val="20"/>
                <w:color w:val="auto"/>
              </w:rPr>
            </w:pPr>
            <w:r>
              <w:rPr>
                <w:rFonts w:ascii="Arial" w:cs="Arial" w:eastAsia="Arial" w:hAnsi="Arial"/>
                <w:sz w:val="12"/>
                <w:szCs w:val="12"/>
                <w:b w:val="1"/>
                <w:bCs w:val="1"/>
                <w:color w:val="FFFFFF"/>
                <w:w w:val="97"/>
              </w:rPr>
              <w:t>Exercise</w:t>
            </w:r>
          </w:p>
        </w:tc>
        <w:tc>
          <w:tcPr>
            <w:tcW w:w="780" w:type="dxa"/>
            <w:vAlign w:val="bottom"/>
            <w:shd w:val="clear" w:color="auto" w:fill="C00000"/>
          </w:tcPr>
          <w:p>
            <w:pPr>
              <w:jc w:val="center"/>
              <w:spacing w:after="0" w:line="135" w:lineRule="exact"/>
              <w:rPr>
                <w:sz w:val="20"/>
                <w:szCs w:val="20"/>
                <w:color w:val="auto"/>
              </w:rPr>
            </w:pPr>
            <w:r>
              <w:rPr>
                <w:rFonts w:ascii="Arial" w:cs="Arial" w:eastAsia="Arial" w:hAnsi="Arial"/>
                <w:sz w:val="12"/>
                <w:szCs w:val="12"/>
                <w:b w:val="1"/>
                <w:bCs w:val="1"/>
                <w:color w:val="FFFFFF"/>
                <w:w w:val="97"/>
              </w:rPr>
              <w:t>Date Fair</w:t>
            </w:r>
          </w:p>
        </w:tc>
      </w:tr>
      <w:tr>
        <w:trPr>
          <w:trHeight w:val="135"/>
        </w:trPr>
        <w:tc>
          <w:tcPr>
            <w:tcW w:w="2240" w:type="dxa"/>
            <w:vAlign w:val="bottom"/>
            <w:shd w:val="clear" w:color="auto" w:fill="C00000"/>
          </w:tcPr>
          <w:p>
            <w:pPr>
              <w:spacing w:after="0"/>
              <w:rPr>
                <w:sz w:val="11"/>
                <w:szCs w:val="11"/>
                <w:color w:val="auto"/>
              </w:rPr>
            </w:pPr>
          </w:p>
        </w:tc>
        <w:tc>
          <w:tcPr>
            <w:tcW w:w="680" w:type="dxa"/>
            <w:vAlign w:val="bottom"/>
            <w:shd w:val="clear" w:color="auto" w:fill="C00000"/>
          </w:tcPr>
          <w:p>
            <w:pPr>
              <w:spacing w:after="0"/>
              <w:rPr>
                <w:sz w:val="11"/>
                <w:szCs w:val="11"/>
                <w:color w:val="auto"/>
              </w:rPr>
            </w:pPr>
          </w:p>
        </w:tc>
        <w:tc>
          <w:tcPr>
            <w:tcW w:w="720" w:type="dxa"/>
            <w:vAlign w:val="bottom"/>
            <w:shd w:val="clear" w:color="auto" w:fill="C00000"/>
          </w:tcPr>
          <w:p>
            <w:pPr>
              <w:spacing w:after="0"/>
              <w:rPr>
                <w:sz w:val="11"/>
                <w:szCs w:val="11"/>
                <w:color w:val="auto"/>
              </w:rPr>
            </w:pPr>
          </w:p>
        </w:tc>
        <w:tc>
          <w:tcPr>
            <w:tcW w:w="2100" w:type="dxa"/>
            <w:vAlign w:val="bottom"/>
            <w:gridSpan w:val="3"/>
            <w:shd w:val="clear" w:color="auto" w:fill="C00000"/>
          </w:tcPr>
          <w:p>
            <w:pPr>
              <w:jc w:val="center"/>
              <w:spacing w:after="0" w:line="135" w:lineRule="exact"/>
              <w:rPr>
                <w:sz w:val="20"/>
                <w:szCs w:val="20"/>
                <w:color w:val="auto"/>
              </w:rPr>
            </w:pPr>
            <w:r>
              <w:rPr>
                <w:rFonts w:ascii="Arial" w:cs="Arial" w:eastAsia="Arial" w:hAnsi="Arial"/>
                <w:sz w:val="12"/>
                <w:szCs w:val="12"/>
                <w:b w:val="1"/>
                <w:bCs w:val="1"/>
                <w:color w:val="FFFFFF"/>
                <w:w w:val="97"/>
              </w:rPr>
              <w:t>Estimated Future Payouts</w:t>
            </w:r>
          </w:p>
        </w:tc>
        <w:tc>
          <w:tcPr>
            <w:tcW w:w="2140" w:type="dxa"/>
            <w:vAlign w:val="bottom"/>
            <w:gridSpan w:val="3"/>
            <w:shd w:val="clear" w:color="auto" w:fill="C00000"/>
          </w:tcPr>
          <w:p>
            <w:pPr>
              <w:jc w:val="center"/>
              <w:ind w:right="2"/>
              <w:spacing w:after="0" w:line="135" w:lineRule="exact"/>
              <w:rPr>
                <w:sz w:val="20"/>
                <w:szCs w:val="20"/>
                <w:color w:val="auto"/>
              </w:rPr>
            </w:pPr>
            <w:r>
              <w:rPr>
                <w:rFonts w:ascii="Arial" w:cs="Arial" w:eastAsia="Arial" w:hAnsi="Arial"/>
                <w:sz w:val="12"/>
                <w:szCs w:val="12"/>
                <w:b w:val="1"/>
                <w:bCs w:val="1"/>
                <w:color w:val="FFFFFF"/>
                <w:w w:val="97"/>
              </w:rPr>
              <w:t>Estimated Future Payouts</w:t>
            </w:r>
          </w:p>
        </w:tc>
        <w:tc>
          <w:tcPr>
            <w:tcW w:w="840" w:type="dxa"/>
            <w:vAlign w:val="bottom"/>
            <w:shd w:val="clear" w:color="auto" w:fill="C00000"/>
          </w:tcPr>
          <w:p>
            <w:pPr>
              <w:jc w:val="center"/>
              <w:ind w:right="42"/>
              <w:spacing w:after="0" w:line="135" w:lineRule="exact"/>
              <w:rPr>
                <w:sz w:val="20"/>
                <w:szCs w:val="20"/>
                <w:color w:val="auto"/>
              </w:rPr>
            </w:pPr>
            <w:r>
              <w:rPr>
                <w:rFonts w:ascii="Arial" w:cs="Arial" w:eastAsia="Arial" w:hAnsi="Arial"/>
                <w:sz w:val="12"/>
                <w:szCs w:val="12"/>
                <w:b w:val="1"/>
                <w:bCs w:val="1"/>
                <w:color w:val="FFFFFF"/>
                <w:w w:val="96"/>
              </w:rPr>
              <w:t>Number of</w:t>
            </w:r>
          </w:p>
        </w:tc>
        <w:tc>
          <w:tcPr>
            <w:tcW w:w="860" w:type="dxa"/>
            <w:vAlign w:val="bottom"/>
            <w:shd w:val="clear" w:color="auto" w:fill="C00000"/>
          </w:tcPr>
          <w:p>
            <w:pPr>
              <w:jc w:val="center"/>
              <w:ind w:right="22"/>
              <w:spacing w:after="0" w:line="135" w:lineRule="exact"/>
              <w:rPr>
                <w:sz w:val="20"/>
                <w:szCs w:val="20"/>
                <w:color w:val="auto"/>
              </w:rPr>
            </w:pPr>
            <w:r>
              <w:rPr>
                <w:rFonts w:ascii="Arial" w:cs="Arial" w:eastAsia="Arial" w:hAnsi="Arial"/>
                <w:sz w:val="12"/>
                <w:szCs w:val="12"/>
                <w:b w:val="1"/>
                <w:bCs w:val="1"/>
                <w:color w:val="FFFFFF"/>
                <w:w w:val="96"/>
              </w:rPr>
              <w:t>Number of</w:t>
            </w:r>
          </w:p>
        </w:tc>
        <w:tc>
          <w:tcPr>
            <w:tcW w:w="880" w:type="dxa"/>
            <w:vAlign w:val="bottom"/>
            <w:shd w:val="clear" w:color="auto" w:fill="C00000"/>
          </w:tcPr>
          <w:p>
            <w:pPr>
              <w:jc w:val="center"/>
              <w:ind w:right="42"/>
              <w:spacing w:after="0" w:line="135" w:lineRule="exact"/>
              <w:rPr>
                <w:sz w:val="20"/>
                <w:szCs w:val="20"/>
                <w:color w:val="auto"/>
              </w:rPr>
            </w:pPr>
            <w:r>
              <w:rPr>
                <w:rFonts w:ascii="Arial" w:cs="Arial" w:eastAsia="Arial" w:hAnsi="Arial"/>
                <w:sz w:val="12"/>
                <w:szCs w:val="12"/>
                <w:b w:val="1"/>
                <w:bCs w:val="1"/>
                <w:color w:val="FFFFFF"/>
                <w:w w:val="95"/>
              </w:rPr>
              <w:t>or Base</w:t>
            </w:r>
          </w:p>
        </w:tc>
        <w:tc>
          <w:tcPr>
            <w:tcW w:w="780" w:type="dxa"/>
            <w:vAlign w:val="bottom"/>
            <w:shd w:val="clear" w:color="auto" w:fill="C00000"/>
          </w:tcPr>
          <w:p>
            <w:pPr>
              <w:jc w:val="center"/>
              <w:spacing w:after="0" w:line="135" w:lineRule="exact"/>
              <w:rPr>
                <w:sz w:val="20"/>
                <w:szCs w:val="20"/>
                <w:color w:val="auto"/>
              </w:rPr>
            </w:pPr>
            <w:r>
              <w:rPr>
                <w:rFonts w:ascii="Arial" w:cs="Arial" w:eastAsia="Arial" w:hAnsi="Arial"/>
                <w:sz w:val="12"/>
                <w:szCs w:val="12"/>
                <w:b w:val="1"/>
                <w:bCs w:val="1"/>
                <w:color w:val="FFFFFF"/>
                <w:w w:val="94"/>
              </w:rPr>
              <w:t>Value of</w:t>
            </w:r>
          </w:p>
        </w:tc>
      </w:tr>
      <w:tr>
        <w:trPr>
          <w:trHeight w:val="126"/>
        </w:trPr>
        <w:tc>
          <w:tcPr>
            <w:tcW w:w="2240" w:type="dxa"/>
            <w:vAlign w:val="bottom"/>
            <w:shd w:val="clear" w:color="auto" w:fill="C00000"/>
          </w:tcPr>
          <w:p>
            <w:pPr>
              <w:spacing w:after="0"/>
              <w:rPr>
                <w:sz w:val="10"/>
                <w:szCs w:val="10"/>
                <w:color w:val="auto"/>
              </w:rPr>
            </w:pPr>
          </w:p>
        </w:tc>
        <w:tc>
          <w:tcPr>
            <w:tcW w:w="680" w:type="dxa"/>
            <w:vAlign w:val="bottom"/>
            <w:shd w:val="clear" w:color="auto" w:fill="C00000"/>
          </w:tcPr>
          <w:p>
            <w:pPr>
              <w:spacing w:after="0"/>
              <w:rPr>
                <w:sz w:val="10"/>
                <w:szCs w:val="10"/>
                <w:color w:val="auto"/>
              </w:rPr>
            </w:pPr>
          </w:p>
        </w:tc>
        <w:tc>
          <w:tcPr>
            <w:tcW w:w="720" w:type="dxa"/>
            <w:vAlign w:val="bottom"/>
            <w:shd w:val="clear" w:color="auto" w:fill="C00000"/>
          </w:tcPr>
          <w:p>
            <w:pPr>
              <w:spacing w:after="0"/>
              <w:rPr>
                <w:sz w:val="10"/>
                <w:szCs w:val="10"/>
                <w:color w:val="auto"/>
              </w:rPr>
            </w:pPr>
          </w:p>
        </w:tc>
        <w:tc>
          <w:tcPr>
            <w:tcW w:w="2100" w:type="dxa"/>
            <w:vAlign w:val="bottom"/>
            <w:gridSpan w:val="3"/>
            <w:shd w:val="clear" w:color="auto" w:fill="C00000"/>
          </w:tcPr>
          <w:p>
            <w:pPr>
              <w:jc w:val="center"/>
              <w:spacing w:after="0" w:line="126" w:lineRule="exact"/>
              <w:rPr>
                <w:sz w:val="20"/>
                <w:szCs w:val="20"/>
                <w:color w:val="auto"/>
              </w:rPr>
            </w:pPr>
            <w:r>
              <w:rPr>
                <w:rFonts w:ascii="Arial" w:cs="Arial" w:eastAsia="Arial" w:hAnsi="Arial"/>
                <w:sz w:val="12"/>
                <w:szCs w:val="12"/>
                <w:b w:val="1"/>
                <w:bCs w:val="1"/>
                <w:color w:val="FFFFFF"/>
                <w:w w:val="97"/>
              </w:rPr>
              <w:t>Under Non-Equity Incentive</w:t>
            </w:r>
          </w:p>
        </w:tc>
        <w:tc>
          <w:tcPr>
            <w:tcW w:w="2140" w:type="dxa"/>
            <w:vAlign w:val="bottom"/>
            <w:gridSpan w:val="3"/>
            <w:shd w:val="clear" w:color="auto" w:fill="C00000"/>
          </w:tcPr>
          <w:p>
            <w:pPr>
              <w:jc w:val="center"/>
              <w:ind w:right="2"/>
              <w:spacing w:after="0" w:line="126" w:lineRule="exact"/>
              <w:rPr>
                <w:sz w:val="20"/>
                <w:szCs w:val="20"/>
                <w:color w:val="auto"/>
              </w:rPr>
            </w:pPr>
            <w:r>
              <w:rPr>
                <w:rFonts w:ascii="Arial" w:cs="Arial" w:eastAsia="Arial" w:hAnsi="Arial"/>
                <w:sz w:val="12"/>
                <w:szCs w:val="12"/>
                <w:b w:val="1"/>
                <w:bCs w:val="1"/>
                <w:color w:val="FFFFFF"/>
                <w:w w:val="98"/>
              </w:rPr>
              <w:t>Under Equity Incentive Plan</w:t>
            </w:r>
          </w:p>
        </w:tc>
        <w:tc>
          <w:tcPr>
            <w:tcW w:w="840" w:type="dxa"/>
            <w:vAlign w:val="bottom"/>
            <w:shd w:val="clear" w:color="auto" w:fill="C00000"/>
          </w:tcPr>
          <w:p>
            <w:pPr>
              <w:jc w:val="center"/>
              <w:ind w:right="22"/>
              <w:spacing w:after="0" w:line="126" w:lineRule="exact"/>
              <w:rPr>
                <w:sz w:val="20"/>
                <w:szCs w:val="20"/>
                <w:color w:val="auto"/>
              </w:rPr>
            </w:pPr>
            <w:r>
              <w:rPr>
                <w:rFonts w:ascii="Arial" w:cs="Arial" w:eastAsia="Arial" w:hAnsi="Arial"/>
                <w:sz w:val="12"/>
                <w:szCs w:val="12"/>
                <w:b w:val="1"/>
                <w:bCs w:val="1"/>
                <w:color w:val="FFFFFF"/>
                <w:w w:val="95"/>
              </w:rPr>
              <w:t>Shares of</w:t>
            </w:r>
          </w:p>
        </w:tc>
        <w:tc>
          <w:tcPr>
            <w:tcW w:w="860" w:type="dxa"/>
            <w:vAlign w:val="bottom"/>
            <w:shd w:val="clear" w:color="auto" w:fill="C00000"/>
          </w:tcPr>
          <w:p>
            <w:pPr>
              <w:jc w:val="center"/>
              <w:ind w:right="42"/>
              <w:spacing w:after="0" w:line="126" w:lineRule="exact"/>
              <w:rPr>
                <w:sz w:val="20"/>
                <w:szCs w:val="20"/>
                <w:color w:val="auto"/>
              </w:rPr>
            </w:pPr>
            <w:r>
              <w:rPr>
                <w:rFonts w:ascii="Arial" w:cs="Arial" w:eastAsia="Arial" w:hAnsi="Arial"/>
                <w:sz w:val="12"/>
                <w:szCs w:val="12"/>
                <w:b w:val="1"/>
                <w:bCs w:val="1"/>
                <w:color w:val="FFFFFF"/>
                <w:w w:val="97"/>
              </w:rPr>
              <w:t>Securities</w:t>
            </w:r>
          </w:p>
        </w:tc>
        <w:tc>
          <w:tcPr>
            <w:tcW w:w="880" w:type="dxa"/>
            <w:vAlign w:val="bottom"/>
            <w:shd w:val="clear" w:color="auto" w:fill="C00000"/>
          </w:tcPr>
          <w:p>
            <w:pPr>
              <w:jc w:val="center"/>
              <w:ind w:right="42"/>
              <w:spacing w:after="0" w:line="126" w:lineRule="exact"/>
              <w:rPr>
                <w:sz w:val="20"/>
                <w:szCs w:val="20"/>
                <w:color w:val="auto"/>
              </w:rPr>
            </w:pPr>
            <w:r>
              <w:rPr>
                <w:rFonts w:ascii="Arial" w:cs="Arial" w:eastAsia="Arial" w:hAnsi="Arial"/>
                <w:sz w:val="12"/>
                <w:szCs w:val="12"/>
                <w:b w:val="1"/>
                <w:bCs w:val="1"/>
                <w:color w:val="FFFFFF"/>
                <w:w w:val="95"/>
              </w:rPr>
              <w:t>Price of</w:t>
            </w:r>
          </w:p>
        </w:tc>
        <w:tc>
          <w:tcPr>
            <w:tcW w:w="780" w:type="dxa"/>
            <w:vAlign w:val="bottom"/>
            <w:shd w:val="clear" w:color="auto" w:fill="C00000"/>
          </w:tcPr>
          <w:p>
            <w:pPr>
              <w:jc w:val="center"/>
              <w:spacing w:after="0" w:line="126" w:lineRule="exact"/>
              <w:rPr>
                <w:sz w:val="20"/>
                <w:szCs w:val="20"/>
                <w:color w:val="auto"/>
              </w:rPr>
            </w:pPr>
            <w:r>
              <w:rPr>
                <w:rFonts w:ascii="Arial" w:cs="Arial" w:eastAsia="Arial" w:hAnsi="Arial"/>
                <w:sz w:val="12"/>
                <w:szCs w:val="12"/>
                <w:b w:val="1"/>
                <w:bCs w:val="1"/>
                <w:color w:val="FFFFFF"/>
                <w:w w:val="97"/>
              </w:rPr>
              <w:t>Stock and</w:t>
            </w:r>
          </w:p>
        </w:tc>
      </w:tr>
      <w:tr>
        <w:trPr>
          <w:trHeight w:val="154"/>
        </w:trPr>
        <w:tc>
          <w:tcPr>
            <w:tcW w:w="2240" w:type="dxa"/>
            <w:vAlign w:val="bottom"/>
            <w:shd w:val="clear" w:color="auto" w:fill="C00000"/>
          </w:tcPr>
          <w:p>
            <w:pPr>
              <w:spacing w:after="0"/>
              <w:rPr>
                <w:sz w:val="13"/>
                <w:szCs w:val="13"/>
                <w:color w:val="auto"/>
              </w:rPr>
            </w:pPr>
          </w:p>
        </w:tc>
        <w:tc>
          <w:tcPr>
            <w:tcW w:w="680" w:type="dxa"/>
            <w:vAlign w:val="bottom"/>
            <w:shd w:val="clear" w:color="auto" w:fill="C00000"/>
          </w:tcPr>
          <w:p>
            <w:pPr>
              <w:spacing w:after="0"/>
              <w:rPr>
                <w:sz w:val="13"/>
                <w:szCs w:val="13"/>
                <w:color w:val="auto"/>
              </w:rPr>
            </w:pPr>
          </w:p>
        </w:tc>
        <w:tc>
          <w:tcPr>
            <w:tcW w:w="720" w:type="dxa"/>
            <w:vAlign w:val="bottom"/>
            <w:shd w:val="clear" w:color="auto" w:fill="C00000"/>
          </w:tcPr>
          <w:p>
            <w:pPr>
              <w:spacing w:after="0"/>
              <w:rPr>
                <w:sz w:val="13"/>
                <w:szCs w:val="13"/>
                <w:color w:val="auto"/>
              </w:rPr>
            </w:pPr>
          </w:p>
        </w:tc>
        <w:tc>
          <w:tcPr>
            <w:tcW w:w="1460" w:type="dxa"/>
            <w:vAlign w:val="bottom"/>
            <w:gridSpan w:val="2"/>
            <w:shd w:val="clear" w:color="auto" w:fill="C00000"/>
          </w:tcPr>
          <w:p>
            <w:pPr>
              <w:jc w:val="center"/>
              <w:ind w:left="582"/>
              <w:spacing w:after="0" w:line="154" w:lineRule="exact"/>
              <w:rPr>
                <w:sz w:val="20"/>
                <w:szCs w:val="20"/>
                <w:color w:val="auto"/>
              </w:rPr>
            </w:pPr>
            <w:r>
              <w:rPr>
                <w:rFonts w:ascii="Arial" w:cs="Arial" w:eastAsia="Arial" w:hAnsi="Arial"/>
                <w:sz w:val="11"/>
                <w:szCs w:val="11"/>
                <w:b w:val="1"/>
                <w:bCs w:val="1"/>
                <w:color w:val="FFFFFF"/>
              </w:rPr>
              <w:t>Plan Awards</w:t>
            </w:r>
            <w:r>
              <w:rPr>
                <w:rFonts w:ascii="Arial" w:cs="Arial" w:eastAsia="Arial" w:hAnsi="Arial"/>
                <w:sz w:val="17"/>
                <w:szCs w:val="17"/>
                <w:b w:val="1"/>
                <w:bCs w:val="1"/>
                <w:color w:val="FFFFFF"/>
                <w:vertAlign w:val="superscript"/>
              </w:rPr>
              <w:t>(1)</w:t>
            </w:r>
          </w:p>
        </w:tc>
        <w:tc>
          <w:tcPr>
            <w:tcW w:w="640" w:type="dxa"/>
            <w:vAlign w:val="bottom"/>
            <w:shd w:val="clear" w:color="auto" w:fill="C00000"/>
          </w:tcPr>
          <w:p>
            <w:pPr>
              <w:spacing w:after="0"/>
              <w:rPr>
                <w:sz w:val="13"/>
                <w:szCs w:val="13"/>
                <w:color w:val="auto"/>
              </w:rPr>
            </w:pPr>
          </w:p>
        </w:tc>
        <w:tc>
          <w:tcPr>
            <w:tcW w:w="700" w:type="dxa"/>
            <w:vAlign w:val="bottom"/>
            <w:shd w:val="clear" w:color="auto" w:fill="C00000"/>
          </w:tcPr>
          <w:p>
            <w:pPr>
              <w:spacing w:after="0"/>
              <w:rPr>
                <w:sz w:val="13"/>
                <w:szCs w:val="13"/>
                <w:color w:val="auto"/>
              </w:rPr>
            </w:pPr>
          </w:p>
        </w:tc>
        <w:tc>
          <w:tcPr>
            <w:tcW w:w="700" w:type="dxa"/>
            <w:vAlign w:val="bottom"/>
            <w:shd w:val="clear" w:color="auto" w:fill="C00000"/>
          </w:tcPr>
          <w:p>
            <w:pPr>
              <w:jc w:val="center"/>
              <w:spacing w:after="0" w:line="154" w:lineRule="exact"/>
              <w:rPr>
                <w:sz w:val="20"/>
                <w:szCs w:val="20"/>
                <w:color w:val="auto"/>
              </w:rPr>
            </w:pPr>
            <w:r>
              <w:rPr>
                <w:rFonts w:ascii="Arial" w:cs="Arial" w:eastAsia="Arial" w:hAnsi="Arial"/>
                <w:sz w:val="11"/>
                <w:szCs w:val="11"/>
                <w:b w:val="1"/>
                <w:bCs w:val="1"/>
                <w:color w:val="FFFFFF"/>
              </w:rPr>
              <w:t>Awards</w:t>
            </w:r>
            <w:r>
              <w:rPr>
                <w:rFonts w:ascii="Arial" w:cs="Arial" w:eastAsia="Arial" w:hAnsi="Arial"/>
                <w:sz w:val="17"/>
                <w:szCs w:val="17"/>
                <w:b w:val="1"/>
                <w:bCs w:val="1"/>
                <w:color w:val="FFFFFF"/>
                <w:vertAlign w:val="superscript"/>
              </w:rPr>
              <w:t>(2)</w:t>
            </w:r>
          </w:p>
        </w:tc>
        <w:tc>
          <w:tcPr>
            <w:tcW w:w="740" w:type="dxa"/>
            <w:vAlign w:val="bottom"/>
            <w:shd w:val="clear" w:color="auto" w:fill="C00000"/>
          </w:tcPr>
          <w:p>
            <w:pPr>
              <w:spacing w:after="0"/>
              <w:rPr>
                <w:sz w:val="13"/>
                <w:szCs w:val="13"/>
                <w:color w:val="auto"/>
              </w:rPr>
            </w:pPr>
          </w:p>
        </w:tc>
        <w:tc>
          <w:tcPr>
            <w:tcW w:w="840" w:type="dxa"/>
            <w:vAlign w:val="bottom"/>
            <w:shd w:val="clear" w:color="auto" w:fill="C00000"/>
          </w:tcPr>
          <w:p>
            <w:pPr>
              <w:jc w:val="center"/>
              <w:ind w:right="22"/>
              <w:spacing w:after="0"/>
              <w:rPr>
                <w:sz w:val="20"/>
                <w:szCs w:val="20"/>
                <w:color w:val="auto"/>
              </w:rPr>
            </w:pPr>
            <w:r>
              <w:rPr>
                <w:rFonts w:ascii="Arial" w:cs="Arial" w:eastAsia="Arial" w:hAnsi="Arial"/>
                <w:sz w:val="12"/>
                <w:szCs w:val="12"/>
                <w:b w:val="1"/>
                <w:bCs w:val="1"/>
                <w:color w:val="FFFFFF"/>
                <w:w w:val="99"/>
              </w:rPr>
              <w:t>Stock or</w:t>
            </w:r>
          </w:p>
        </w:tc>
        <w:tc>
          <w:tcPr>
            <w:tcW w:w="860" w:type="dxa"/>
            <w:vAlign w:val="bottom"/>
            <w:shd w:val="clear" w:color="auto" w:fill="C00000"/>
          </w:tcPr>
          <w:p>
            <w:pPr>
              <w:jc w:val="center"/>
              <w:ind w:right="22"/>
              <w:spacing w:after="0"/>
              <w:rPr>
                <w:sz w:val="20"/>
                <w:szCs w:val="20"/>
                <w:color w:val="auto"/>
              </w:rPr>
            </w:pPr>
            <w:r>
              <w:rPr>
                <w:rFonts w:ascii="Arial" w:cs="Arial" w:eastAsia="Arial" w:hAnsi="Arial"/>
                <w:sz w:val="12"/>
                <w:szCs w:val="12"/>
                <w:b w:val="1"/>
                <w:bCs w:val="1"/>
                <w:color w:val="FFFFFF"/>
                <w:w w:val="98"/>
              </w:rPr>
              <w:t>Underlying</w:t>
            </w:r>
          </w:p>
        </w:tc>
        <w:tc>
          <w:tcPr>
            <w:tcW w:w="880" w:type="dxa"/>
            <w:vAlign w:val="bottom"/>
            <w:shd w:val="clear" w:color="auto" w:fill="C00000"/>
          </w:tcPr>
          <w:p>
            <w:pPr>
              <w:jc w:val="center"/>
              <w:ind w:right="42"/>
              <w:spacing w:after="0"/>
              <w:rPr>
                <w:sz w:val="20"/>
                <w:szCs w:val="20"/>
                <w:color w:val="auto"/>
              </w:rPr>
            </w:pPr>
            <w:r>
              <w:rPr>
                <w:rFonts w:ascii="Arial" w:cs="Arial" w:eastAsia="Arial" w:hAnsi="Arial"/>
                <w:sz w:val="12"/>
                <w:szCs w:val="12"/>
                <w:b w:val="1"/>
                <w:bCs w:val="1"/>
                <w:color w:val="FFFFFF"/>
                <w:w w:val="98"/>
              </w:rPr>
              <w:t>Option</w:t>
            </w:r>
          </w:p>
        </w:tc>
        <w:tc>
          <w:tcPr>
            <w:tcW w:w="780" w:type="dxa"/>
            <w:vAlign w:val="bottom"/>
            <w:shd w:val="clear" w:color="auto" w:fill="C00000"/>
          </w:tcPr>
          <w:p>
            <w:pPr>
              <w:jc w:val="center"/>
              <w:spacing w:after="0"/>
              <w:rPr>
                <w:sz w:val="20"/>
                <w:szCs w:val="20"/>
                <w:color w:val="auto"/>
              </w:rPr>
            </w:pPr>
            <w:r>
              <w:rPr>
                <w:rFonts w:ascii="Arial" w:cs="Arial" w:eastAsia="Arial" w:hAnsi="Arial"/>
                <w:sz w:val="12"/>
                <w:szCs w:val="12"/>
                <w:b w:val="1"/>
                <w:bCs w:val="1"/>
                <w:color w:val="FFFFFF"/>
                <w:w w:val="98"/>
              </w:rPr>
              <w:t>Option</w:t>
            </w:r>
          </w:p>
        </w:tc>
      </w:tr>
      <w:tr>
        <w:trPr>
          <w:trHeight w:val="152"/>
        </w:trPr>
        <w:tc>
          <w:tcPr>
            <w:tcW w:w="2240" w:type="dxa"/>
            <w:vAlign w:val="bottom"/>
            <w:shd w:val="clear" w:color="auto" w:fill="C00000"/>
          </w:tcPr>
          <w:p>
            <w:pPr>
              <w:spacing w:after="0"/>
              <w:rPr>
                <w:sz w:val="13"/>
                <w:szCs w:val="13"/>
                <w:color w:val="auto"/>
              </w:rPr>
            </w:pPr>
          </w:p>
        </w:tc>
        <w:tc>
          <w:tcPr>
            <w:tcW w:w="680" w:type="dxa"/>
            <w:vAlign w:val="bottom"/>
            <w:shd w:val="clear" w:color="auto" w:fill="C00000"/>
          </w:tcPr>
          <w:p>
            <w:pPr>
              <w:jc w:val="center"/>
              <w:ind w:left="2"/>
              <w:spacing w:after="0"/>
              <w:rPr>
                <w:sz w:val="20"/>
                <w:szCs w:val="20"/>
                <w:color w:val="auto"/>
              </w:rPr>
            </w:pPr>
            <w:r>
              <w:rPr>
                <w:rFonts w:ascii="Arial" w:cs="Arial" w:eastAsia="Arial" w:hAnsi="Arial"/>
                <w:sz w:val="12"/>
                <w:szCs w:val="12"/>
                <w:b w:val="1"/>
                <w:bCs w:val="1"/>
                <w:color w:val="FFFFFF"/>
                <w:w w:val="93"/>
              </w:rPr>
              <w:t>Grant</w:t>
            </w:r>
          </w:p>
        </w:tc>
        <w:tc>
          <w:tcPr>
            <w:tcW w:w="720" w:type="dxa"/>
            <w:vAlign w:val="bottom"/>
            <w:shd w:val="clear" w:color="auto" w:fill="C00000"/>
          </w:tcPr>
          <w:p>
            <w:pPr>
              <w:jc w:val="center"/>
              <w:spacing w:after="0"/>
              <w:rPr>
                <w:sz w:val="20"/>
                <w:szCs w:val="20"/>
                <w:color w:val="auto"/>
              </w:rPr>
            </w:pPr>
            <w:r>
              <w:rPr>
                <w:rFonts w:ascii="Arial" w:cs="Arial" w:eastAsia="Arial" w:hAnsi="Arial"/>
                <w:sz w:val="12"/>
                <w:szCs w:val="12"/>
                <w:b w:val="1"/>
                <w:bCs w:val="1"/>
                <w:color w:val="FFFFFF"/>
                <w:w w:val="99"/>
              </w:rPr>
              <w:t>Approval</w:t>
            </w:r>
          </w:p>
        </w:tc>
        <w:tc>
          <w:tcPr>
            <w:tcW w:w="740" w:type="dxa"/>
            <w:vAlign w:val="bottom"/>
            <w:shd w:val="clear" w:color="auto" w:fill="C00000"/>
          </w:tcPr>
          <w:p>
            <w:pPr>
              <w:jc w:val="right"/>
              <w:ind w:right="42"/>
              <w:spacing w:after="0"/>
              <w:rPr>
                <w:sz w:val="20"/>
                <w:szCs w:val="20"/>
                <w:color w:val="auto"/>
              </w:rPr>
            </w:pPr>
            <w:r>
              <w:rPr>
                <w:rFonts w:ascii="Arial" w:cs="Arial" w:eastAsia="Arial" w:hAnsi="Arial"/>
                <w:sz w:val="12"/>
                <w:szCs w:val="12"/>
                <w:b w:val="1"/>
                <w:bCs w:val="1"/>
                <w:color w:val="FFFFFF"/>
              </w:rPr>
              <w:t>Threshold</w:t>
            </w:r>
          </w:p>
        </w:tc>
        <w:tc>
          <w:tcPr>
            <w:tcW w:w="720" w:type="dxa"/>
            <w:vAlign w:val="bottom"/>
            <w:shd w:val="clear" w:color="auto" w:fill="C00000"/>
          </w:tcPr>
          <w:p>
            <w:pPr>
              <w:jc w:val="center"/>
              <w:ind w:right="62"/>
              <w:spacing w:after="0"/>
              <w:rPr>
                <w:sz w:val="20"/>
                <w:szCs w:val="20"/>
                <w:color w:val="auto"/>
              </w:rPr>
            </w:pPr>
            <w:r>
              <w:rPr>
                <w:rFonts w:ascii="Arial" w:cs="Arial" w:eastAsia="Arial" w:hAnsi="Arial"/>
                <w:sz w:val="12"/>
                <w:szCs w:val="12"/>
                <w:b w:val="1"/>
                <w:bCs w:val="1"/>
                <w:color w:val="FFFFFF"/>
                <w:w w:val="98"/>
              </w:rPr>
              <w:t>Target</w:t>
            </w:r>
          </w:p>
        </w:tc>
        <w:tc>
          <w:tcPr>
            <w:tcW w:w="640" w:type="dxa"/>
            <w:vAlign w:val="bottom"/>
            <w:shd w:val="clear" w:color="auto" w:fill="C00000"/>
          </w:tcPr>
          <w:p>
            <w:pPr>
              <w:jc w:val="right"/>
              <w:ind w:right="42"/>
              <w:spacing w:after="0"/>
              <w:rPr>
                <w:sz w:val="20"/>
                <w:szCs w:val="20"/>
                <w:color w:val="auto"/>
              </w:rPr>
            </w:pPr>
            <w:r>
              <w:rPr>
                <w:rFonts w:ascii="Arial" w:cs="Arial" w:eastAsia="Arial" w:hAnsi="Arial"/>
                <w:sz w:val="12"/>
                <w:szCs w:val="12"/>
                <w:b w:val="1"/>
                <w:bCs w:val="1"/>
                <w:color w:val="FFFFFF"/>
                <w:w w:val="93"/>
              </w:rPr>
              <w:t>Maximum</w:t>
            </w:r>
          </w:p>
        </w:tc>
        <w:tc>
          <w:tcPr>
            <w:tcW w:w="700" w:type="dxa"/>
            <w:vAlign w:val="bottom"/>
            <w:shd w:val="clear" w:color="auto" w:fill="C00000"/>
          </w:tcPr>
          <w:p>
            <w:pPr>
              <w:jc w:val="right"/>
              <w:ind w:right="22"/>
              <w:spacing w:after="0"/>
              <w:rPr>
                <w:sz w:val="20"/>
                <w:szCs w:val="20"/>
                <w:color w:val="auto"/>
              </w:rPr>
            </w:pPr>
            <w:r>
              <w:rPr>
                <w:rFonts w:ascii="Arial" w:cs="Arial" w:eastAsia="Arial" w:hAnsi="Arial"/>
                <w:sz w:val="12"/>
                <w:szCs w:val="12"/>
                <w:b w:val="1"/>
                <w:bCs w:val="1"/>
                <w:color w:val="FFFFFF"/>
              </w:rPr>
              <w:t>Threshold</w:t>
            </w:r>
          </w:p>
        </w:tc>
        <w:tc>
          <w:tcPr>
            <w:tcW w:w="700" w:type="dxa"/>
            <w:vAlign w:val="bottom"/>
            <w:shd w:val="clear" w:color="auto" w:fill="C00000"/>
          </w:tcPr>
          <w:p>
            <w:pPr>
              <w:jc w:val="center"/>
              <w:spacing w:after="0"/>
              <w:rPr>
                <w:sz w:val="20"/>
                <w:szCs w:val="20"/>
                <w:color w:val="auto"/>
              </w:rPr>
            </w:pPr>
            <w:r>
              <w:rPr>
                <w:rFonts w:ascii="Arial" w:cs="Arial" w:eastAsia="Arial" w:hAnsi="Arial"/>
                <w:sz w:val="12"/>
                <w:szCs w:val="12"/>
                <w:b w:val="1"/>
                <w:bCs w:val="1"/>
                <w:color w:val="FFFFFF"/>
                <w:w w:val="98"/>
              </w:rPr>
              <w:t>Target</w:t>
            </w:r>
          </w:p>
        </w:tc>
        <w:tc>
          <w:tcPr>
            <w:tcW w:w="740" w:type="dxa"/>
            <w:vAlign w:val="bottom"/>
            <w:shd w:val="clear" w:color="auto" w:fill="C00000"/>
          </w:tcPr>
          <w:p>
            <w:pPr>
              <w:jc w:val="right"/>
              <w:ind w:right="82"/>
              <w:spacing w:after="0"/>
              <w:rPr>
                <w:sz w:val="20"/>
                <w:szCs w:val="20"/>
                <w:color w:val="auto"/>
              </w:rPr>
            </w:pPr>
            <w:r>
              <w:rPr>
                <w:rFonts w:ascii="Arial" w:cs="Arial" w:eastAsia="Arial" w:hAnsi="Arial"/>
                <w:sz w:val="12"/>
                <w:szCs w:val="12"/>
                <w:b w:val="1"/>
                <w:bCs w:val="1"/>
                <w:color w:val="FFFFFF"/>
              </w:rPr>
              <w:t>Maximum</w:t>
            </w:r>
          </w:p>
        </w:tc>
        <w:tc>
          <w:tcPr>
            <w:tcW w:w="840" w:type="dxa"/>
            <w:vAlign w:val="bottom"/>
            <w:shd w:val="clear" w:color="auto" w:fill="C00000"/>
          </w:tcPr>
          <w:p>
            <w:pPr>
              <w:jc w:val="center"/>
              <w:ind w:right="42"/>
              <w:spacing w:after="0" w:line="152" w:lineRule="exact"/>
              <w:rPr>
                <w:sz w:val="20"/>
                <w:szCs w:val="20"/>
                <w:color w:val="auto"/>
              </w:rPr>
            </w:pPr>
            <w:r>
              <w:rPr>
                <w:rFonts w:ascii="Arial" w:cs="Arial" w:eastAsia="Arial" w:hAnsi="Arial"/>
                <w:sz w:val="11"/>
                <w:szCs w:val="11"/>
                <w:b w:val="1"/>
                <w:bCs w:val="1"/>
                <w:color w:val="FFFFFF"/>
              </w:rPr>
              <w:t>Units</w:t>
            </w:r>
            <w:r>
              <w:rPr>
                <w:rFonts w:ascii="Arial" w:cs="Arial" w:eastAsia="Arial" w:hAnsi="Arial"/>
                <w:sz w:val="17"/>
                <w:szCs w:val="17"/>
                <w:b w:val="1"/>
                <w:bCs w:val="1"/>
                <w:color w:val="FFFFFF"/>
                <w:vertAlign w:val="superscript"/>
              </w:rPr>
              <w:t>(3)</w:t>
            </w:r>
          </w:p>
        </w:tc>
        <w:tc>
          <w:tcPr>
            <w:tcW w:w="860" w:type="dxa"/>
            <w:vAlign w:val="bottom"/>
            <w:shd w:val="clear" w:color="auto" w:fill="C00000"/>
          </w:tcPr>
          <w:p>
            <w:pPr>
              <w:jc w:val="center"/>
              <w:ind w:right="42"/>
              <w:spacing w:after="0" w:line="152" w:lineRule="exact"/>
              <w:rPr>
                <w:sz w:val="20"/>
                <w:szCs w:val="20"/>
                <w:color w:val="auto"/>
              </w:rPr>
            </w:pPr>
            <w:r>
              <w:rPr>
                <w:rFonts w:ascii="Arial" w:cs="Arial" w:eastAsia="Arial" w:hAnsi="Arial"/>
                <w:sz w:val="11"/>
                <w:szCs w:val="11"/>
                <w:b w:val="1"/>
                <w:bCs w:val="1"/>
                <w:color w:val="FFFFFF"/>
              </w:rPr>
              <w:t>Options</w:t>
            </w:r>
            <w:r>
              <w:rPr>
                <w:rFonts w:ascii="Arial" w:cs="Arial" w:eastAsia="Arial" w:hAnsi="Arial"/>
                <w:sz w:val="17"/>
                <w:szCs w:val="17"/>
                <w:b w:val="1"/>
                <w:bCs w:val="1"/>
                <w:color w:val="FFFFFF"/>
                <w:vertAlign w:val="superscript"/>
              </w:rPr>
              <w:t>(4)</w:t>
            </w:r>
          </w:p>
        </w:tc>
        <w:tc>
          <w:tcPr>
            <w:tcW w:w="880" w:type="dxa"/>
            <w:vAlign w:val="bottom"/>
            <w:shd w:val="clear" w:color="auto" w:fill="C00000"/>
          </w:tcPr>
          <w:p>
            <w:pPr>
              <w:jc w:val="center"/>
              <w:ind w:right="42"/>
              <w:spacing w:after="0" w:line="152" w:lineRule="exact"/>
              <w:rPr>
                <w:sz w:val="20"/>
                <w:szCs w:val="20"/>
                <w:color w:val="auto"/>
              </w:rPr>
            </w:pPr>
            <w:r>
              <w:rPr>
                <w:rFonts w:ascii="Arial" w:cs="Arial" w:eastAsia="Arial" w:hAnsi="Arial"/>
                <w:sz w:val="11"/>
                <w:szCs w:val="11"/>
                <w:b w:val="1"/>
                <w:bCs w:val="1"/>
                <w:color w:val="FFFFFF"/>
              </w:rPr>
              <w:t>Awards</w:t>
            </w:r>
            <w:r>
              <w:rPr>
                <w:rFonts w:ascii="Arial" w:cs="Arial" w:eastAsia="Arial" w:hAnsi="Arial"/>
                <w:sz w:val="17"/>
                <w:szCs w:val="17"/>
                <w:b w:val="1"/>
                <w:bCs w:val="1"/>
                <w:color w:val="FFFFFF"/>
                <w:vertAlign w:val="superscript"/>
              </w:rPr>
              <w:t>(5)</w:t>
            </w:r>
          </w:p>
        </w:tc>
        <w:tc>
          <w:tcPr>
            <w:tcW w:w="780" w:type="dxa"/>
            <w:vAlign w:val="bottom"/>
            <w:shd w:val="clear" w:color="auto" w:fill="C00000"/>
          </w:tcPr>
          <w:p>
            <w:pPr>
              <w:jc w:val="center"/>
              <w:spacing w:after="0" w:line="152" w:lineRule="exact"/>
              <w:rPr>
                <w:sz w:val="20"/>
                <w:szCs w:val="20"/>
                <w:color w:val="auto"/>
              </w:rPr>
            </w:pPr>
            <w:r>
              <w:rPr>
                <w:rFonts w:ascii="Arial" w:cs="Arial" w:eastAsia="Arial" w:hAnsi="Arial"/>
                <w:sz w:val="11"/>
                <w:szCs w:val="11"/>
                <w:b w:val="1"/>
                <w:bCs w:val="1"/>
                <w:color w:val="FFFFFF"/>
              </w:rPr>
              <w:t>Awards</w:t>
            </w:r>
            <w:r>
              <w:rPr>
                <w:rFonts w:ascii="Arial" w:cs="Arial" w:eastAsia="Arial" w:hAnsi="Arial"/>
                <w:sz w:val="17"/>
                <w:szCs w:val="17"/>
                <w:b w:val="1"/>
                <w:bCs w:val="1"/>
                <w:color w:val="FFFFFF"/>
                <w:vertAlign w:val="superscript"/>
              </w:rPr>
              <w:t>(6)</w:t>
            </w:r>
          </w:p>
        </w:tc>
      </w:tr>
      <w:tr>
        <w:trPr>
          <w:trHeight w:val="145"/>
        </w:trPr>
        <w:tc>
          <w:tcPr>
            <w:tcW w:w="2240" w:type="dxa"/>
            <w:vAlign w:val="bottom"/>
            <w:shd w:val="clear" w:color="auto" w:fill="C00000"/>
          </w:tcPr>
          <w:p>
            <w:pPr>
              <w:spacing w:after="0"/>
              <w:rPr>
                <w:sz w:val="20"/>
                <w:szCs w:val="20"/>
                <w:color w:val="auto"/>
              </w:rPr>
            </w:pPr>
            <w:r>
              <w:rPr>
                <w:rFonts w:ascii="Arial" w:cs="Arial" w:eastAsia="Arial" w:hAnsi="Arial"/>
                <w:sz w:val="12"/>
                <w:szCs w:val="12"/>
                <w:b w:val="1"/>
                <w:bCs w:val="1"/>
                <w:color w:val="FFFFFF"/>
              </w:rPr>
              <w:t>Name</w:t>
            </w:r>
          </w:p>
        </w:tc>
        <w:tc>
          <w:tcPr>
            <w:tcW w:w="680" w:type="dxa"/>
            <w:vAlign w:val="bottom"/>
            <w:shd w:val="clear" w:color="auto" w:fill="C00000"/>
          </w:tcPr>
          <w:p>
            <w:pPr>
              <w:jc w:val="center"/>
              <w:ind w:left="2"/>
              <w:spacing w:after="0"/>
              <w:rPr>
                <w:sz w:val="20"/>
                <w:szCs w:val="20"/>
                <w:color w:val="auto"/>
              </w:rPr>
            </w:pPr>
            <w:r>
              <w:rPr>
                <w:rFonts w:ascii="Arial" w:cs="Arial" w:eastAsia="Arial" w:hAnsi="Arial"/>
                <w:sz w:val="12"/>
                <w:szCs w:val="12"/>
                <w:b w:val="1"/>
                <w:bCs w:val="1"/>
                <w:color w:val="FFFFFF"/>
                <w:w w:val="99"/>
              </w:rPr>
              <w:t>Date</w:t>
            </w:r>
          </w:p>
        </w:tc>
        <w:tc>
          <w:tcPr>
            <w:tcW w:w="720" w:type="dxa"/>
            <w:vAlign w:val="bottom"/>
            <w:shd w:val="clear" w:color="auto" w:fill="C00000"/>
          </w:tcPr>
          <w:p>
            <w:pPr>
              <w:jc w:val="center"/>
              <w:spacing w:after="0"/>
              <w:rPr>
                <w:sz w:val="20"/>
                <w:szCs w:val="20"/>
                <w:color w:val="auto"/>
              </w:rPr>
            </w:pPr>
            <w:r>
              <w:rPr>
                <w:rFonts w:ascii="Arial" w:cs="Arial" w:eastAsia="Arial" w:hAnsi="Arial"/>
                <w:sz w:val="12"/>
                <w:szCs w:val="12"/>
                <w:b w:val="1"/>
                <w:bCs w:val="1"/>
                <w:color w:val="FFFFFF"/>
                <w:w w:val="92"/>
              </w:rPr>
              <w:t>Date</w:t>
            </w:r>
          </w:p>
        </w:tc>
        <w:tc>
          <w:tcPr>
            <w:tcW w:w="740" w:type="dxa"/>
            <w:vAlign w:val="bottom"/>
            <w:shd w:val="clear" w:color="auto" w:fill="C00000"/>
          </w:tcPr>
          <w:p>
            <w:pPr>
              <w:jc w:val="right"/>
              <w:ind w:right="262"/>
              <w:spacing w:after="0"/>
              <w:rPr>
                <w:sz w:val="20"/>
                <w:szCs w:val="20"/>
                <w:color w:val="auto"/>
              </w:rPr>
            </w:pPr>
            <w:r>
              <w:rPr>
                <w:rFonts w:ascii="Arial" w:cs="Arial" w:eastAsia="Arial" w:hAnsi="Arial"/>
                <w:sz w:val="12"/>
                <w:szCs w:val="12"/>
                <w:b w:val="1"/>
                <w:bCs w:val="1"/>
                <w:color w:val="FFFFFF"/>
              </w:rPr>
              <w:t>($)</w:t>
            </w:r>
          </w:p>
        </w:tc>
        <w:tc>
          <w:tcPr>
            <w:tcW w:w="720" w:type="dxa"/>
            <w:vAlign w:val="bottom"/>
            <w:shd w:val="clear" w:color="auto" w:fill="C00000"/>
          </w:tcPr>
          <w:p>
            <w:pPr>
              <w:jc w:val="center"/>
              <w:ind w:right="62"/>
              <w:spacing w:after="0"/>
              <w:rPr>
                <w:sz w:val="20"/>
                <w:szCs w:val="20"/>
                <w:color w:val="auto"/>
              </w:rPr>
            </w:pPr>
            <w:r>
              <w:rPr>
                <w:rFonts w:ascii="Arial" w:cs="Arial" w:eastAsia="Arial" w:hAnsi="Arial"/>
                <w:sz w:val="12"/>
                <w:szCs w:val="12"/>
                <w:b w:val="1"/>
                <w:bCs w:val="1"/>
                <w:color w:val="FFFFFF"/>
              </w:rPr>
              <w:t>($)</w:t>
            </w:r>
          </w:p>
        </w:tc>
        <w:tc>
          <w:tcPr>
            <w:tcW w:w="640" w:type="dxa"/>
            <w:vAlign w:val="bottom"/>
            <w:shd w:val="clear" w:color="auto" w:fill="C00000"/>
          </w:tcPr>
          <w:p>
            <w:pPr>
              <w:jc w:val="right"/>
              <w:ind w:right="242"/>
              <w:spacing w:after="0"/>
              <w:rPr>
                <w:sz w:val="20"/>
                <w:szCs w:val="20"/>
                <w:color w:val="auto"/>
              </w:rPr>
            </w:pPr>
            <w:r>
              <w:rPr>
                <w:rFonts w:ascii="Arial" w:cs="Arial" w:eastAsia="Arial" w:hAnsi="Arial"/>
                <w:sz w:val="12"/>
                <w:szCs w:val="12"/>
                <w:b w:val="1"/>
                <w:bCs w:val="1"/>
                <w:color w:val="FFFFFF"/>
              </w:rPr>
              <w:t>($)</w:t>
            </w:r>
          </w:p>
        </w:tc>
        <w:tc>
          <w:tcPr>
            <w:tcW w:w="700" w:type="dxa"/>
            <w:vAlign w:val="bottom"/>
            <w:shd w:val="clear" w:color="auto" w:fill="C00000"/>
          </w:tcPr>
          <w:p>
            <w:pPr>
              <w:jc w:val="right"/>
              <w:ind w:right="242"/>
              <w:spacing w:after="0"/>
              <w:rPr>
                <w:sz w:val="20"/>
                <w:szCs w:val="20"/>
                <w:color w:val="auto"/>
              </w:rPr>
            </w:pPr>
            <w:r>
              <w:rPr>
                <w:rFonts w:ascii="Arial" w:cs="Arial" w:eastAsia="Arial" w:hAnsi="Arial"/>
                <w:sz w:val="12"/>
                <w:szCs w:val="12"/>
                <w:b w:val="1"/>
                <w:bCs w:val="1"/>
                <w:color w:val="FFFFFF"/>
              </w:rPr>
              <w:t>(#)</w:t>
            </w:r>
          </w:p>
        </w:tc>
        <w:tc>
          <w:tcPr>
            <w:tcW w:w="700" w:type="dxa"/>
            <w:vAlign w:val="bottom"/>
            <w:shd w:val="clear" w:color="auto" w:fill="C00000"/>
          </w:tcPr>
          <w:p>
            <w:pPr>
              <w:jc w:val="center"/>
              <w:spacing w:after="0"/>
              <w:rPr>
                <w:sz w:val="20"/>
                <w:szCs w:val="20"/>
                <w:color w:val="auto"/>
              </w:rPr>
            </w:pPr>
            <w:r>
              <w:rPr>
                <w:rFonts w:ascii="Arial" w:cs="Arial" w:eastAsia="Arial" w:hAnsi="Arial"/>
                <w:sz w:val="12"/>
                <w:szCs w:val="12"/>
                <w:b w:val="1"/>
                <w:bCs w:val="1"/>
                <w:color w:val="FFFFFF"/>
                <w:w w:val="95"/>
              </w:rPr>
              <w:t>(#)</w:t>
            </w:r>
          </w:p>
        </w:tc>
        <w:tc>
          <w:tcPr>
            <w:tcW w:w="740" w:type="dxa"/>
            <w:vAlign w:val="bottom"/>
            <w:shd w:val="clear" w:color="auto" w:fill="C00000"/>
          </w:tcPr>
          <w:p>
            <w:pPr>
              <w:jc w:val="right"/>
              <w:ind w:right="262"/>
              <w:spacing w:after="0"/>
              <w:rPr>
                <w:sz w:val="20"/>
                <w:szCs w:val="20"/>
                <w:color w:val="auto"/>
              </w:rPr>
            </w:pPr>
            <w:r>
              <w:rPr>
                <w:rFonts w:ascii="Arial" w:cs="Arial" w:eastAsia="Arial" w:hAnsi="Arial"/>
                <w:sz w:val="12"/>
                <w:szCs w:val="12"/>
                <w:b w:val="1"/>
                <w:bCs w:val="1"/>
                <w:color w:val="FFFFFF"/>
              </w:rPr>
              <w:t>(#)</w:t>
            </w:r>
          </w:p>
        </w:tc>
        <w:tc>
          <w:tcPr>
            <w:tcW w:w="840" w:type="dxa"/>
            <w:vAlign w:val="bottom"/>
            <w:shd w:val="clear" w:color="auto" w:fill="C00000"/>
          </w:tcPr>
          <w:p>
            <w:pPr>
              <w:jc w:val="center"/>
              <w:ind w:right="42"/>
              <w:spacing w:after="0"/>
              <w:rPr>
                <w:sz w:val="20"/>
                <w:szCs w:val="20"/>
                <w:color w:val="auto"/>
              </w:rPr>
            </w:pPr>
            <w:r>
              <w:rPr>
                <w:rFonts w:ascii="Arial" w:cs="Arial" w:eastAsia="Arial" w:hAnsi="Arial"/>
                <w:sz w:val="12"/>
                <w:szCs w:val="12"/>
                <w:b w:val="1"/>
                <w:bCs w:val="1"/>
                <w:color w:val="FFFFFF"/>
                <w:w w:val="95"/>
              </w:rPr>
              <w:t>(#)</w:t>
            </w:r>
          </w:p>
        </w:tc>
        <w:tc>
          <w:tcPr>
            <w:tcW w:w="860" w:type="dxa"/>
            <w:vAlign w:val="bottom"/>
            <w:shd w:val="clear" w:color="auto" w:fill="C00000"/>
          </w:tcPr>
          <w:p>
            <w:pPr>
              <w:jc w:val="center"/>
              <w:ind w:right="22"/>
              <w:spacing w:after="0"/>
              <w:rPr>
                <w:sz w:val="20"/>
                <w:szCs w:val="20"/>
                <w:color w:val="auto"/>
              </w:rPr>
            </w:pPr>
            <w:r>
              <w:rPr>
                <w:rFonts w:ascii="Arial" w:cs="Arial" w:eastAsia="Arial" w:hAnsi="Arial"/>
                <w:sz w:val="12"/>
                <w:szCs w:val="12"/>
                <w:b w:val="1"/>
                <w:bCs w:val="1"/>
                <w:color w:val="FFFFFF"/>
                <w:w w:val="95"/>
              </w:rPr>
              <w:t>(#)</w:t>
            </w:r>
          </w:p>
        </w:tc>
        <w:tc>
          <w:tcPr>
            <w:tcW w:w="880" w:type="dxa"/>
            <w:vAlign w:val="bottom"/>
            <w:shd w:val="clear" w:color="auto" w:fill="C00000"/>
          </w:tcPr>
          <w:p>
            <w:pPr>
              <w:jc w:val="center"/>
              <w:ind w:right="62"/>
              <w:spacing w:after="0"/>
              <w:rPr>
                <w:sz w:val="20"/>
                <w:szCs w:val="20"/>
                <w:color w:val="auto"/>
              </w:rPr>
            </w:pPr>
            <w:r>
              <w:rPr>
                <w:rFonts w:ascii="Arial" w:cs="Arial" w:eastAsia="Arial" w:hAnsi="Arial"/>
                <w:sz w:val="12"/>
                <w:szCs w:val="12"/>
                <w:b w:val="1"/>
                <w:bCs w:val="1"/>
                <w:color w:val="FFFFFF"/>
                <w:w w:val="95"/>
              </w:rPr>
              <w:t>($/Sh)</w:t>
            </w:r>
          </w:p>
        </w:tc>
        <w:tc>
          <w:tcPr>
            <w:tcW w:w="780" w:type="dxa"/>
            <w:vAlign w:val="bottom"/>
            <w:shd w:val="clear" w:color="auto" w:fill="C00000"/>
          </w:tcPr>
          <w:p>
            <w:pPr>
              <w:jc w:val="center"/>
              <w:spacing w:after="0"/>
              <w:rPr>
                <w:sz w:val="20"/>
                <w:szCs w:val="20"/>
                <w:color w:val="auto"/>
              </w:rPr>
            </w:pPr>
            <w:r>
              <w:rPr>
                <w:rFonts w:ascii="Arial" w:cs="Arial" w:eastAsia="Arial" w:hAnsi="Arial"/>
                <w:sz w:val="12"/>
                <w:szCs w:val="12"/>
                <w:b w:val="1"/>
                <w:bCs w:val="1"/>
                <w:color w:val="FFFFFF"/>
                <w:w w:val="95"/>
              </w:rPr>
              <w:t>($)</w:t>
            </w:r>
          </w:p>
        </w:tc>
      </w:tr>
      <w:tr>
        <w:trPr>
          <w:trHeight w:val="154"/>
        </w:trPr>
        <w:tc>
          <w:tcPr>
            <w:tcW w:w="2240" w:type="dxa"/>
            <w:vAlign w:val="bottom"/>
          </w:tcPr>
          <w:p>
            <w:pPr>
              <w:spacing w:after="0"/>
              <w:rPr>
                <w:sz w:val="20"/>
                <w:szCs w:val="20"/>
                <w:color w:val="auto"/>
              </w:rPr>
            </w:pPr>
            <w:r>
              <w:rPr>
                <w:rFonts w:ascii="Arial" w:cs="Arial" w:eastAsia="Arial" w:hAnsi="Arial"/>
                <w:sz w:val="12"/>
                <w:szCs w:val="12"/>
                <w:color w:val="auto"/>
              </w:rPr>
              <w:t>Richard M. Olson</w:t>
            </w: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49"/>
        </w:trPr>
        <w:tc>
          <w:tcPr>
            <w:tcW w:w="2240" w:type="dxa"/>
            <w:vAlign w:val="bottom"/>
          </w:tcPr>
          <w:p>
            <w:pPr>
              <w:ind w:left="260"/>
              <w:spacing w:after="0"/>
              <w:rPr>
                <w:sz w:val="20"/>
                <w:szCs w:val="20"/>
                <w:color w:val="auto"/>
              </w:rPr>
            </w:pPr>
            <w:r>
              <w:rPr>
                <w:rFonts w:ascii="Arial" w:cs="Arial" w:eastAsia="Arial" w:hAnsi="Arial"/>
                <w:sz w:val="12"/>
                <w:szCs w:val="12"/>
                <w:color w:val="auto"/>
              </w:rPr>
              <w:t>Annual Cash Incentive</w:t>
            </w:r>
          </w:p>
        </w:tc>
        <w:tc>
          <w:tcPr>
            <w:tcW w:w="680" w:type="dxa"/>
            <w:vAlign w:val="bottom"/>
          </w:tcPr>
          <w:p>
            <w:pPr>
              <w:jc w:val="center"/>
              <w:ind w:left="22"/>
              <w:spacing w:after="0"/>
              <w:rPr>
                <w:sz w:val="20"/>
                <w:szCs w:val="20"/>
                <w:color w:val="auto"/>
              </w:rPr>
            </w:pPr>
            <w:r>
              <w:rPr>
                <w:rFonts w:ascii="Arial" w:cs="Arial" w:eastAsia="Arial" w:hAnsi="Arial"/>
                <w:sz w:val="12"/>
                <w:szCs w:val="12"/>
                <w:color w:val="auto"/>
                <w:w w:val="99"/>
              </w:rPr>
              <w:t>—</w:t>
            </w:r>
          </w:p>
        </w:tc>
        <w:tc>
          <w:tcPr>
            <w:tcW w:w="72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572,000</w:t>
            </w:r>
          </w:p>
        </w:tc>
        <w:tc>
          <w:tcPr>
            <w:tcW w:w="720" w:type="dxa"/>
            <w:vAlign w:val="bottom"/>
          </w:tcPr>
          <w:p>
            <w:pPr>
              <w:jc w:val="right"/>
              <w:ind w:right="62"/>
              <w:spacing w:after="0"/>
              <w:rPr>
                <w:sz w:val="20"/>
                <w:szCs w:val="20"/>
                <w:color w:val="auto"/>
              </w:rPr>
            </w:pPr>
            <w:r>
              <w:rPr>
                <w:rFonts w:ascii="Arial" w:cs="Arial" w:eastAsia="Arial" w:hAnsi="Arial"/>
                <w:sz w:val="12"/>
                <w:szCs w:val="12"/>
                <w:color w:val="auto"/>
              </w:rPr>
              <w:t>1,430,000</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2,860,000</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8"/>
        </w:trPr>
        <w:tc>
          <w:tcPr>
            <w:tcW w:w="2240" w:type="dxa"/>
            <w:vAlign w:val="bottom"/>
          </w:tcPr>
          <w:p>
            <w:pPr>
              <w:ind w:left="260"/>
              <w:spacing w:after="0"/>
              <w:rPr>
                <w:sz w:val="20"/>
                <w:szCs w:val="20"/>
                <w:color w:val="auto"/>
              </w:rPr>
            </w:pPr>
            <w:r>
              <w:rPr>
                <w:rFonts w:ascii="Arial" w:cs="Arial" w:eastAsia="Arial" w:hAnsi="Arial"/>
                <w:sz w:val="12"/>
                <w:szCs w:val="12"/>
                <w:color w:val="auto"/>
              </w:rPr>
              <w:t>Performance Shares</w:t>
            </w:r>
          </w:p>
        </w:tc>
        <w:tc>
          <w:tcPr>
            <w:tcW w:w="680" w:type="dxa"/>
            <w:vAlign w:val="bottom"/>
          </w:tcPr>
          <w:p>
            <w:pPr>
              <w:jc w:val="center"/>
              <w:ind w:left="2"/>
              <w:spacing w:after="0"/>
              <w:rPr>
                <w:sz w:val="20"/>
                <w:szCs w:val="20"/>
                <w:color w:val="auto"/>
              </w:rPr>
            </w:pPr>
            <w:r>
              <w:rPr>
                <w:rFonts w:ascii="Arial" w:cs="Arial" w:eastAsia="Arial" w:hAnsi="Arial"/>
                <w:sz w:val="12"/>
                <w:szCs w:val="12"/>
                <w:color w:val="auto"/>
                <w:w w:val="98"/>
              </w:rPr>
              <w:t>12/14/21</w:t>
            </w:r>
          </w:p>
        </w:tc>
        <w:tc>
          <w:tcPr>
            <w:tcW w:w="720" w:type="dxa"/>
            <w:vAlign w:val="bottom"/>
          </w:tcPr>
          <w:p>
            <w:pPr>
              <w:jc w:val="center"/>
              <w:spacing w:after="0"/>
              <w:rPr>
                <w:sz w:val="20"/>
                <w:szCs w:val="20"/>
                <w:color w:val="auto"/>
              </w:rPr>
            </w:pPr>
            <w:r>
              <w:rPr>
                <w:rFonts w:ascii="Arial" w:cs="Arial" w:eastAsia="Arial" w:hAnsi="Arial"/>
                <w:sz w:val="12"/>
                <w:szCs w:val="12"/>
                <w:color w:val="auto"/>
                <w:w w:val="94"/>
              </w:rPr>
              <w:t>12/14/21</w:t>
            </w: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10,120</w:t>
            </w: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25,300</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50,600</w:t>
            </w: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2,489,773</w:t>
            </w:r>
          </w:p>
        </w:tc>
      </w:tr>
      <w:tr>
        <w:trPr>
          <w:trHeight w:val="143"/>
        </w:trPr>
        <w:tc>
          <w:tcPr>
            <w:tcW w:w="2240" w:type="dxa"/>
            <w:vAlign w:val="bottom"/>
          </w:tcPr>
          <w:p>
            <w:pPr>
              <w:ind w:left="260"/>
              <w:spacing w:after="0"/>
              <w:rPr>
                <w:sz w:val="20"/>
                <w:szCs w:val="20"/>
                <w:color w:val="auto"/>
              </w:rPr>
            </w:pPr>
            <w:r>
              <w:rPr>
                <w:rFonts w:ascii="Arial" w:cs="Arial" w:eastAsia="Arial" w:hAnsi="Arial"/>
                <w:sz w:val="12"/>
                <w:szCs w:val="12"/>
                <w:color w:val="auto"/>
              </w:rPr>
              <w:t>Stock Options</w:t>
            </w:r>
          </w:p>
        </w:tc>
        <w:tc>
          <w:tcPr>
            <w:tcW w:w="680" w:type="dxa"/>
            <w:vAlign w:val="bottom"/>
          </w:tcPr>
          <w:p>
            <w:pPr>
              <w:jc w:val="center"/>
              <w:ind w:left="2"/>
              <w:spacing w:after="0"/>
              <w:rPr>
                <w:sz w:val="20"/>
                <w:szCs w:val="20"/>
                <w:color w:val="auto"/>
              </w:rPr>
            </w:pPr>
            <w:r>
              <w:rPr>
                <w:rFonts w:ascii="Arial" w:cs="Arial" w:eastAsia="Arial" w:hAnsi="Arial"/>
                <w:sz w:val="12"/>
                <w:szCs w:val="12"/>
                <w:color w:val="auto"/>
                <w:w w:val="98"/>
              </w:rPr>
              <w:t>12/16/21</w:t>
            </w:r>
          </w:p>
        </w:tc>
        <w:tc>
          <w:tcPr>
            <w:tcW w:w="720" w:type="dxa"/>
            <w:vAlign w:val="bottom"/>
          </w:tcPr>
          <w:p>
            <w:pPr>
              <w:jc w:val="center"/>
              <w:spacing w:after="0"/>
              <w:rPr>
                <w:sz w:val="20"/>
                <w:szCs w:val="20"/>
                <w:color w:val="auto"/>
              </w:rPr>
            </w:pPr>
            <w:r>
              <w:rPr>
                <w:rFonts w:ascii="Arial" w:cs="Arial" w:eastAsia="Arial" w:hAnsi="Arial"/>
                <w:sz w:val="12"/>
                <w:szCs w:val="12"/>
                <w:color w:val="auto"/>
                <w:w w:val="94"/>
              </w:rPr>
              <w:t>12/14/21</w:t>
            </w: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jc w:val="right"/>
              <w:ind w:right="42"/>
              <w:spacing w:after="0"/>
              <w:rPr>
                <w:sz w:val="20"/>
                <w:szCs w:val="20"/>
                <w:color w:val="auto"/>
              </w:rPr>
            </w:pPr>
            <w:r>
              <w:rPr>
                <w:rFonts w:ascii="Arial" w:cs="Arial" w:eastAsia="Arial" w:hAnsi="Arial"/>
                <w:sz w:val="12"/>
                <w:szCs w:val="12"/>
                <w:color w:val="auto"/>
              </w:rPr>
              <w:t>109,100</w:t>
            </w:r>
          </w:p>
        </w:tc>
        <w:tc>
          <w:tcPr>
            <w:tcW w:w="880" w:type="dxa"/>
            <w:vAlign w:val="bottom"/>
          </w:tcPr>
          <w:p>
            <w:pPr>
              <w:jc w:val="right"/>
              <w:ind w:right="62"/>
              <w:spacing w:after="0"/>
              <w:rPr>
                <w:sz w:val="20"/>
                <w:szCs w:val="20"/>
                <w:color w:val="auto"/>
              </w:rPr>
            </w:pPr>
            <w:r>
              <w:rPr>
                <w:rFonts w:ascii="Arial" w:cs="Arial" w:eastAsia="Arial" w:hAnsi="Arial"/>
                <w:sz w:val="12"/>
                <w:szCs w:val="12"/>
                <w:color w:val="auto"/>
              </w:rPr>
              <w:t>99.34</w:t>
            </w:r>
          </w:p>
        </w:tc>
        <w:tc>
          <w:tcPr>
            <w:tcW w:w="780" w:type="dxa"/>
            <w:vAlign w:val="bottom"/>
          </w:tcPr>
          <w:p>
            <w:pPr>
              <w:jc w:val="right"/>
              <w:spacing w:after="0"/>
              <w:rPr>
                <w:sz w:val="20"/>
                <w:szCs w:val="20"/>
                <w:color w:val="auto"/>
              </w:rPr>
            </w:pPr>
            <w:r>
              <w:rPr>
                <w:rFonts w:ascii="Arial" w:cs="Arial" w:eastAsia="Arial" w:hAnsi="Arial"/>
                <w:sz w:val="12"/>
                <w:szCs w:val="12"/>
                <w:color w:val="auto"/>
              </w:rPr>
              <w:t>2,507,118</w:t>
            </w:r>
          </w:p>
        </w:tc>
      </w:tr>
      <w:tr>
        <w:trPr>
          <w:trHeight w:val="149"/>
        </w:trPr>
        <w:tc>
          <w:tcPr>
            <w:tcW w:w="2240" w:type="dxa"/>
            <w:vAlign w:val="bottom"/>
            <w:shd w:val="clear" w:color="auto" w:fill="D9D9D9"/>
          </w:tcPr>
          <w:p>
            <w:pPr>
              <w:spacing w:after="0"/>
              <w:rPr>
                <w:sz w:val="20"/>
                <w:szCs w:val="20"/>
                <w:color w:val="auto"/>
              </w:rPr>
            </w:pPr>
            <w:r>
              <w:rPr>
                <w:rFonts w:ascii="Arial" w:cs="Arial" w:eastAsia="Arial" w:hAnsi="Arial"/>
                <w:sz w:val="12"/>
                <w:szCs w:val="12"/>
                <w:color w:val="auto"/>
              </w:rPr>
              <w:t>Renee J. Peterson</w:t>
            </w:r>
          </w:p>
        </w:tc>
        <w:tc>
          <w:tcPr>
            <w:tcW w:w="680" w:type="dxa"/>
            <w:vAlign w:val="bottom"/>
            <w:shd w:val="clear" w:color="auto" w:fill="D9D9D9"/>
          </w:tcPr>
          <w:p>
            <w:pPr>
              <w:spacing w:after="0"/>
              <w:rPr>
                <w:sz w:val="12"/>
                <w:szCs w:val="12"/>
                <w:color w:val="auto"/>
              </w:rPr>
            </w:pPr>
          </w:p>
        </w:tc>
        <w:tc>
          <w:tcPr>
            <w:tcW w:w="720" w:type="dxa"/>
            <w:vAlign w:val="bottom"/>
            <w:shd w:val="clear" w:color="auto" w:fill="D9D9D9"/>
          </w:tcPr>
          <w:p>
            <w:pPr>
              <w:spacing w:after="0"/>
              <w:rPr>
                <w:sz w:val="12"/>
                <w:szCs w:val="12"/>
                <w:color w:val="auto"/>
              </w:rPr>
            </w:pPr>
          </w:p>
        </w:tc>
        <w:tc>
          <w:tcPr>
            <w:tcW w:w="740" w:type="dxa"/>
            <w:vAlign w:val="bottom"/>
            <w:shd w:val="clear" w:color="auto" w:fill="D9D9D9"/>
          </w:tcPr>
          <w:p>
            <w:pPr>
              <w:spacing w:after="0"/>
              <w:rPr>
                <w:sz w:val="12"/>
                <w:szCs w:val="12"/>
                <w:color w:val="auto"/>
              </w:rPr>
            </w:pPr>
          </w:p>
        </w:tc>
        <w:tc>
          <w:tcPr>
            <w:tcW w:w="720" w:type="dxa"/>
            <w:vAlign w:val="bottom"/>
            <w:shd w:val="clear" w:color="auto" w:fill="D9D9D9"/>
          </w:tcPr>
          <w:p>
            <w:pPr>
              <w:spacing w:after="0"/>
              <w:rPr>
                <w:sz w:val="12"/>
                <w:szCs w:val="12"/>
                <w:color w:val="auto"/>
              </w:rPr>
            </w:pPr>
          </w:p>
        </w:tc>
        <w:tc>
          <w:tcPr>
            <w:tcW w:w="640" w:type="dxa"/>
            <w:vAlign w:val="bottom"/>
            <w:shd w:val="clear" w:color="auto" w:fill="D9D9D9"/>
          </w:tcPr>
          <w:p>
            <w:pPr>
              <w:spacing w:after="0"/>
              <w:rPr>
                <w:sz w:val="12"/>
                <w:szCs w:val="12"/>
                <w:color w:val="auto"/>
              </w:rPr>
            </w:pPr>
          </w:p>
        </w:tc>
        <w:tc>
          <w:tcPr>
            <w:tcW w:w="700" w:type="dxa"/>
            <w:vAlign w:val="bottom"/>
            <w:shd w:val="clear" w:color="auto" w:fill="D9D9D9"/>
          </w:tcPr>
          <w:p>
            <w:pPr>
              <w:spacing w:after="0"/>
              <w:rPr>
                <w:sz w:val="12"/>
                <w:szCs w:val="12"/>
                <w:color w:val="auto"/>
              </w:rPr>
            </w:pPr>
          </w:p>
        </w:tc>
        <w:tc>
          <w:tcPr>
            <w:tcW w:w="700" w:type="dxa"/>
            <w:vAlign w:val="bottom"/>
            <w:shd w:val="clear" w:color="auto" w:fill="D9D9D9"/>
          </w:tcPr>
          <w:p>
            <w:pPr>
              <w:spacing w:after="0"/>
              <w:rPr>
                <w:sz w:val="12"/>
                <w:szCs w:val="12"/>
                <w:color w:val="auto"/>
              </w:rPr>
            </w:pPr>
          </w:p>
        </w:tc>
        <w:tc>
          <w:tcPr>
            <w:tcW w:w="74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860" w:type="dxa"/>
            <w:vAlign w:val="bottom"/>
            <w:shd w:val="clear" w:color="auto" w:fill="D9D9D9"/>
          </w:tcPr>
          <w:p>
            <w:pPr>
              <w:spacing w:after="0"/>
              <w:rPr>
                <w:sz w:val="12"/>
                <w:szCs w:val="12"/>
                <w:color w:val="auto"/>
              </w:rPr>
            </w:pPr>
          </w:p>
        </w:tc>
        <w:tc>
          <w:tcPr>
            <w:tcW w:w="880" w:type="dxa"/>
            <w:vAlign w:val="bottom"/>
            <w:shd w:val="clear" w:color="auto" w:fill="D9D9D9"/>
          </w:tcPr>
          <w:p>
            <w:pPr>
              <w:spacing w:after="0"/>
              <w:rPr>
                <w:sz w:val="12"/>
                <w:szCs w:val="12"/>
                <w:color w:val="auto"/>
              </w:rPr>
            </w:pPr>
          </w:p>
        </w:tc>
        <w:tc>
          <w:tcPr>
            <w:tcW w:w="780" w:type="dxa"/>
            <w:vAlign w:val="bottom"/>
            <w:shd w:val="clear" w:color="auto" w:fill="D9D9D9"/>
          </w:tcPr>
          <w:p>
            <w:pPr>
              <w:spacing w:after="0"/>
              <w:rPr>
                <w:sz w:val="12"/>
                <w:szCs w:val="12"/>
                <w:color w:val="auto"/>
              </w:rPr>
            </w:pPr>
          </w:p>
        </w:tc>
      </w:tr>
      <w:tr>
        <w:trPr>
          <w:trHeight w:val="148"/>
        </w:trPr>
        <w:tc>
          <w:tcPr>
            <w:tcW w:w="2240" w:type="dxa"/>
            <w:vAlign w:val="bottom"/>
            <w:shd w:val="clear" w:color="auto" w:fill="D9D9D9"/>
          </w:tcPr>
          <w:p>
            <w:pPr>
              <w:ind w:left="260"/>
              <w:spacing w:after="0"/>
              <w:rPr>
                <w:sz w:val="20"/>
                <w:szCs w:val="20"/>
                <w:color w:val="auto"/>
              </w:rPr>
            </w:pPr>
            <w:r>
              <w:rPr>
                <w:rFonts w:ascii="Arial" w:cs="Arial" w:eastAsia="Arial" w:hAnsi="Arial"/>
                <w:sz w:val="12"/>
                <w:szCs w:val="12"/>
                <w:color w:val="auto"/>
              </w:rPr>
              <w:t>Annual Cash Incentive</w:t>
            </w:r>
          </w:p>
        </w:tc>
        <w:tc>
          <w:tcPr>
            <w:tcW w:w="680" w:type="dxa"/>
            <w:vAlign w:val="bottom"/>
            <w:shd w:val="clear" w:color="auto" w:fill="D9D9D9"/>
          </w:tcPr>
          <w:p>
            <w:pPr>
              <w:jc w:val="center"/>
              <w:ind w:left="22"/>
              <w:spacing w:after="0"/>
              <w:rPr>
                <w:sz w:val="20"/>
                <w:szCs w:val="20"/>
                <w:color w:val="auto"/>
              </w:rPr>
            </w:pPr>
            <w:r>
              <w:rPr>
                <w:rFonts w:ascii="Arial" w:cs="Arial" w:eastAsia="Arial" w:hAnsi="Arial"/>
                <w:sz w:val="12"/>
                <w:szCs w:val="12"/>
                <w:color w:val="auto"/>
                <w:w w:val="99"/>
              </w:rPr>
              <w:t>—</w:t>
            </w:r>
          </w:p>
        </w:tc>
        <w:tc>
          <w:tcPr>
            <w:tcW w:w="720" w:type="dxa"/>
            <w:vAlign w:val="bottom"/>
            <w:shd w:val="clear" w:color="auto" w:fill="D9D9D9"/>
          </w:tcPr>
          <w:p>
            <w:pPr>
              <w:jc w:val="center"/>
              <w:spacing w:after="0"/>
              <w:rPr>
                <w:sz w:val="20"/>
                <w:szCs w:val="20"/>
                <w:color w:val="auto"/>
              </w:rPr>
            </w:pPr>
            <w:r>
              <w:rPr>
                <w:rFonts w:ascii="Arial" w:cs="Arial" w:eastAsia="Arial" w:hAnsi="Arial"/>
                <w:sz w:val="12"/>
                <w:szCs w:val="12"/>
                <w:color w:val="auto"/>
                <w:w w:val="99"/>
              </w:rPr>
              <w:t>—</w:t>
            </w:r>
          </w:p>
        </w:tc>
        <w:tc>
          <w:tcPr>
            <w:tcW w:w="740" w:type="dxa"/>
            <w:vAlign w:val="bottom"/>
            <w:shd w:val="clear" w:color="auto" w:fill="D9D9D9"/>
          </w:tcPr>
          <w:p>
            <w:pPr>
              <w:jc w:val="right"/>
              <w:ind w:right="42"/>
              <w:spacing w:after="0"/>
              <w:rPr>
                <w:sz w:val="20"/>
                <w:szCs w:val="20"/>
                <w:color w:val="auto"/>
              </w:rPr>
            </w:pPr>
            <w:r>
              <w:rPr>
                <w:rFonts w:ascii="Arial" w:cs="Arial" w:eastAsia="Arial" w:hAnsi="Arial"/>
                <w:sz w:val="12"/>
                <w:szCs w:val="12"/>
                <w:color w:val="auto"/>
              </w:rPr>
              <w:t>193,600</w:t>
            </w:r>
          </w:p>
        </w:tc>
        <w:tc>
          <w:tcPr>
            <w:tcW w:w="72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484,000</w:t>
            </w:r>
          </w:p>
        </w:tc>
        <w:tc>
          <w:tcPr>
            <w:tcW w:w="640" w:type="dxa"/>
            <w:vAlign w:val="bottom"/>
            <w:shd w:val="clear" w:color="auto" w:fill="D9D9D9"/>
          </w:tcPr>
          <w:p>
            <w:pPr>
              <w:jc w:val="right"/>
              <w:ind w:right="2"/>
              <w:spacing w:after="0"/>
              <w:rPr>
                <w:sz w:val="20"/>
                <w:szCs w:val="20"/>
                <w:color w:val="auto"/>
              </w:rPr>
            </w:pPr>
            <w:r>
              <w:rPr>
                <w:rFonts w:ascii="Arial" w:cs="Arial" w:eastAsia="Arial" w:hAnsi="Arial"/>
                <w:sz w:val="12"/>
                <w:szCs w:val="12"/>
                <w:color w:val="auto"/>
              </w:rPr>
              <w:t>968,000</w:t>
            </w:r>
          </w:p>
        </w:tc>
        <w:tc>
          <w:tcPr>
            <w:tcW w:w="700" w:type="dxa"/>
            <w:vAlign w:val="bottom"/>
            <w:shd w:val="clear" w:color="auto" w:fill="D9D9D9"/>
          </w:tcPr>
          <w:p>
            <w:pPr>
              <w:spacing w:after="0"/>
              <w:rPr>
                <w:sz w:val="12"/>
                <w:szCs w:val="12"/>
                <w:color w:val="auto"/>
              </w:rPr>
            </w:pPr>
          </w:p>
        </w:tc>
        <w:tc>
          <w:tcPr>
            <w:tcW w:w="700" w:type="dxa"/>
            <w:vAlign w:val="bottom"/>
            <w:shd w:val="clear" w:color="auto" w:fill="D9D9D9"/>
          </w:tcPr>
          <w:p>
            <w:pPr>
              <w:spacing w:after="0"/>
              <w:rPr>
                <w:sz w:val="12"/>
                <w:szCs w:val="12"/>
                <w:color w:val="auto"/>
              </w:rPr>
            </w:pPr>
          </w:p>
        </w:tc>
        <w:tc>
          <w:tcPr>
            <w:tcW w:w="74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860" w:type="dxa"/>
            <w:vAlign w:val="bottom"/>
            <w:shd w:val="clear" w:color="auto" w:fill="D9D9D9"/>
          </w:tcPr>
          <w:p>
            <w:pPr>
              <w:spacing w:after="0"/>
              <w:rPr>
                <w:sz w:val="12"/>
                <w:szCs w:val="12"/>
                <w:color w:val="auto"/>
              </w:rPr>
            </w:pPr>
          </w:p>
        </w:tc>
        <w:tc>
          <w:tcPr>
            <w:tcW w:w="880" w:type="dxa"/>
            <w:vAlign w:val="bottom"/>
            <w:shd w:val="clear" w:color="auto" w:fill="D9D9D9"/>
          </w:tcPr>
          <w:p>
            <w:pPr>
              <w:spacing w:after="0"/>
              <w:rPr>
                <w:sz w:val="12"/>
                <w:szCs w:val="12"/>
                <w:color w:val="auto"/>
              </w:rPr>
            </w:pPr>
          </w:p>
        </w:tc>
        <w:tc>
          <w:tcPr>
            <w:tcW w:w="780" w:type="dxa"/>
            <w:vAlign w:val="bottom"/>
            <w:shd w:val="clear" w:color="auto" w:fill="D9D9D9"/>
          </w:tcPr>
          <w:p>
            <w:pPr>
              <w:spacing w:after="0"/>
              <w:rPr>
                <w:sz w:val="12"/>
                <w:szCs w:val="12"/>
                <w:color w:val="auto"/>
              </w:rPr>
            </w:pPr>
          </w:p>
        </w:tc>
      </w:tr>
      <w:tr>
        <w:trPr>
          <w:trHeight w:val="148"/>
        </w:trPr>
        <w:tc>
          <w:tcPr>
            <w:tcW w:w="2240" w:type="dxa"/>
            <w:vAlign w:val="bottom"/>
            <w:shd w:val="clear" w:color="auto" w:fill="D9D9D9"/>
          </w:tcPr>
          <w:p>
            <w:pPr>
              <w:ind w:left="260"/>
              <w:spacing w:after="0"/>
              <w:rPr>
                <w:sz w:val="20"/>
                <w:szCs w:val="20"/>
                <w:color w:val="auto"/>
              </w:rPr>
            </w:pPr>
            <w:r>
              <w:rPr>
                <w:rFonts w:ascii="Arial" w:cs="Arial" w:eastAsia="Arial" w:hAnsi="Arial"/>
                <w:sz w:val="12"/>
                <w:szCs w:val="12"/>
                <w:color w:val="auto"/>
              </w:rPr>
              <w:t>Performance Shares</w:t>
            </w:r>
          </w:p>
        </w:tc>
        <w:tc>
          <w:tcPr>
            <w:tcW w:w="680" w:type="dxa"/>
            <w:vAlign w:val="bottom"/>
            <w:shd w:val="clear" w:color="auto" w:fill="D9D9D9"/>
          </w:tcPr>
          <w:p>
            <w:pPr>
              <w:jc w:val="center"/>
              <w:ind w:left="2"/>
              <w:spacing w:after="0"/>
              <w:rPr>
                <w:sz w:val="20"/>
                <w:szCs w:val="20"/>
                <w:color w:val="auto"/>
              </w:rPr>
            </w:pPr>
            <w:r>
              <w:rPr>
                <w:rFonts w:ascii="Arial" w:cs="Arial" w:eastAsia="Arial" w:hAnsi="Arial"/>
                <w:sz w:val="12"/>
                <w:szCs w:val="12"/>
                <w:color w:val="auto"/>
                <w:w w:val="98"/>
              </w:rPr>
              <w:t>12/14/21</w:t>
            </w:r>
          </w:p>
        </w:tc>
        <w:tc>
          <w:tcPr>
            <w:tcW w:w="720" w:type="dxa"/>
            <w:vAlign w:val="bottom"/>
            <w:shd w:val="clear" w:color="auto" w:fill="D9D9D9"/>
          </w:tcPr>
          <w:p>
            <w:pPr>
              <w:jc w:val="center"/>
              <w:spacing w:after="0"/>
              <w:rPr>
                <w:sz w:val="20"/>
                <w:szCs w:val="20"/>
                <w:color w:val="auto"/>
              </w:rPr>
            </w:pPr>
            <w:r>
              <w:rPr>
                <w:rFonts w:ascii="Arial" w:cs="Arial" w:eastAsia="Arial" w:hAnsi="Arial"/>
                <w:sz w:val="12"/>
                <w:szCs w:val="12"/>
                <w:color w:val="auto"/>
                <w:w w:val="94"/>
              </w:rPr>
              <w:t>12/14/21</w:t>
            </w:r>
          </w:p>
        </w:tc>
        <w:tc>
          <w:tcPr>
            <w:tcW w:w="740" w:type="dxa"/>
            <w:vAlign w:val="bottom"/>
            <w:shd w:val="clear" w:color="auto" w:fill="D9D9D9"/>
          </w:tcPr>
          <w:p>
            <w:pPr>
              <w:spacing w:after="0"/>
              <w:rPr>
                <w:sz w:val="12"/>
                <w:szCs w:val="12"/>
                <w:color w:val="auto"/>
              </w:rPr>
            </w:pPr>
          </w:p>
        </w:tc>
        <w:tc>
          <w:tcPr>
            <w:tcW w:w="720" w:type="dxa"/>
            <w:vAlign w:val="bottom"/>
            <w:shd w:val="clear" w:color="auto" w:fill="D9D9D9"/>
          </w:tcPr>
          <w:p>
            <w:pPr>
              <w:spacing w:after="0"/>
              <w:rPr>
                <w:sz w:val="12"/>
                <w:szCs w:val="12"/>
                <w:color w:val="auto"/>
              </w:rPr>
            </w:pPr>
          </w:p>
        </w:tc>
        <w:tc>
          <w:tcPr>
            <w:tcW w:w="640" w:type="dxa"/>
            <w:vAlign w:val="bottom"/>
            <w:shd w:val="clear" w:color="auto" w:fill="D9D9D9"/>
          </w:tcPr>
          <w:p>
            <w:pPr>
              <w:spacing w:after="0"/>
              <w:rPr>
                <w:sz w:val="12"/>
                <w:szCs w:val="12"/>
                <w:color w:val="auto"/>
              </w:rPr>
            </w:pPr>
          </w:p>
        </w:tc>
        <w:tc>
          <w:tcPr>
            <w:tcW w:w="700" w:type="dxa"/>
            <w:vAlign w:val="bottom"/>
            <w:shd w:val="clear" w:color="auto" w:fill="D9D9D9"/>
          </w:tcPr>
          <w:p>
            <w:pPr>
              <w:jc w:val="right"/>
              <w:ind w:right="2"/>
              <w:spacing w:after="0"/>
              <w:rPr>
                <w:sz w:val="20"/>
                <w:szCs w:val="20"/>
                <w:color w:val="auto"/>
              </w:rPr>
            </w:pPr>
            <w:r>
              <w:rPr>
                <w:rFonts w:ascii="Arial" w:cs="Arial" w:eastAsia="Arial" w:hAnsi="Arial"/>
                <w:sz w:val="12"/>
                <w:szCs w:val="12"/>
                <w:color w:val="auto"/>
              </w:rPr>
              <w:t>2,680</w:t>
            </w:r>
          </w:p>
        </w:tc>
        <w:tc>
          <w:tcPr>
            <w:tcW w:w="700" w:type="dxa"/>
            <w:vAlign w:val="bottom"/>
            <w:shd w:val="clear" w:color="auto" w:fill="D9D9D9"/>
          </w:tcPr>
          <w:p>
            <w:pPr>
              <w:jc w:val="right"/>
              <w:ind w:right="2"/>
              <w:spacing w:after="0"/>
              <w:rPr>
                <w:sz w:val="20"/>
                <w:szCs w:val="20"/>
                <w:color w:val="auto"/>
              </w:rPr>
            </w:pPr>
            <w:r>
              <w:rPr>
                <w:rFonts w:ascii="Arial" w:cs="Arial" w:eastAsia="Arial" w:hAnsi="Arial"/>
                <w:sz w:val="12"/>
                <w:szCs w:val="12"/>
                <w:color w:val="auto"/>
              </w:rPr>
              <w:t>6,700</w:t>
            </w:r>
          </w:p>
        </w:tc>
        <w:tc>
          <w:tcPr>
            <w:tcW w:w="740" w:type="dxa"/>
            <w:vAlign w:val="bottom"/>
            <w:shd w:val="clear" w:color="auto" w:fill="D9D9D9"/>
          </w:tcPr>
          <w:p>
            <w:pPr>
              <w:jc w:val="right"/>
              <w:ind w:right="42"/>
              <w:spacing w:after="0"/>
              <w:rPr>
                <w:sz w:val="20"/>
                <w:szCs w:val="20"/>
                <w:color w:val="auto"/>
              </w:rPr>
            </w:pPr>
            <w:r>
              <w:rPr>
                <w:rFonts w:ascii="Arial" w:cs="Arial" w:eastAsia="Arial" w:hAnsi="Arial"/>
                <w:sz w:val="12"/>
                <w:szCs w:val="12"/>
                <w:color w:val="auto"/>
              </w:rPr>
              <w:t>13,400</w:t>
            </w:r>
          </w:p>
        </w:tc>
        <w:tc>
          <w:tcPr>
            <w:tcW w:w="840" w:type="dxa"/>
            <w:vAlign w:val="bottom"/>
            <w:shd w:val="clear" w:color="auto" w:fill="D9D9D9"/>
          </w:tcPr>
          <w:p>
            <w:pPr>
              <w:spacing w:after="0"/>
              <w:rPr>
                <w:sz w:val="12"/>
                <w:szCs w:val="12"/>
                <w:color w:val="auto"/>
              </w:rPr>
            </w:pPr>
          </w:p>
        </w:tc>
        <w:tc>
          <w:tcPr>
            <w:tcW w:w="860" w:type="dxa"/>
            <w:vAlign w:val="bottom"/>
            <w:shd w:val="clear" w:color="auto" w:fill="D9D9D9"/>
          </w:tcPr>
          <w:p>
            <w:pPr>
              <w:spacing w:after="0"/>
              <w:rPr>
                <w:sz w:val="12"/>
                <w:szCs w:val="12"/>
                <w:color w:val="auto"/>
              </w:rPr>
            </w:pPr>
          </w:p>
        </w:tc>
        <w:tc>
          <w:tcPr>
            <w:tcW w:w="880" w:type="dxa"/>
            <w:vAlign w:val="bottom"/>
            <w:shd w:val="clear" w:color="auto" w:fill="D9D9D9"/>
          </w:tcPr>
          <w:p>
            <w:pPr>
              <w:spacing w:after="0"/>
              <w:rPr>
                <w:sz w:val="12"/>
                <w:szCs w:val="12"/>
                <w:color w:val="auto"/>
              </w:rPr>
            </w:pPr>
          </w:p>
        </w:tc>
        <w:tc>
          <w:tcPr>
            <w:tcW w:w="780" w:type="dxa"/>
            <w:vAlign w:val="bottom"/>
            <w:shd w:val="clear" w:color="auto" w:fill="D9D9D9"/>
          </w:tcPr>
          <w:p>
            <w:pPr>
              <w:jc w:val="right"/>
              <w:spacing w:after="0"/>
              <w:rPr>
                <w:sz w:val="20"/>
                <w:szCs w:val="20"/>
                <w:color w:val="auto"/>
              </w:rPr>
            </w:pPr>
            <w:r>
              <w:rPr>
                <w:rFonts w:ascii="Arial" w:cs="Arial" w:eastAsia="Arial" w:hAnsi="Arial"/>
                <w:sz w:val="12"/>
                <w:szCs w:val="12"/>
                <w:color w:val="auto"/>
              </w:rPr>
              <w:t>659,347</w:t>
            </w:r>
          </w:p>
        </w:tc>
      </w:tr>
      <w:tr>
        <w:trPr>
          <w:trHeight w:val="148"/>
        </w:trPr>
        <w:tc>
          <w:tcPr>
            <w:tcW w:w="2240" w:type="dxa"/>
            <w:vAlign w:val="bottom"/>
            <w:shd w:val="clear" w:color="auto" w:fill="D9D9D9"/>
          </w:tcPr>
          <w:p>
            <w:pPr>
              <w:ind w:left="260"/>
              <w:spacing w:after="0"/>
              <w:rPr>
                <w:sz w:val="20"/>
                <w:szCs w:val="20"/>
                <w:color w:val="auto"/>
              </w:rPr>
            </w:pPr>
            <w:r>
              <w:rPr>
                <w:rFonts w:ascii="Arial" w:cs="Arial" w:eastAsia="Arial" w:hAnsi="Arial"/>
                <w:sz w:val="12"/>
                <w:szCs w:val="12"/>
                <w:color w:val="auto"/>
              </w:rPr>
              <w:t>Stock Options</w:t>
            </w:r>
          </w:p>
        </w:tc>
        <w:tc>
          <w:tcPr>
            <w:tcW w:w="680" w:type="dxa"/>
            <w:vAlign w:val="bottom"/>
            <w:shd w:val="clear" w:color="auto" w:fill="D9D9D9"/>
          </w:tcPr>
          <w:p>
            <w:pPr>
              <w:jc w:val="center"/>
              <w:ind w:left="2"/>
              <w:spacing w:after="0"/>
              <w:rPr>
                <w:sz w:val="20"/>
                <w:szCs w:val="20"/>
                <w:color w:val="auto"/>
              </w:rPr>
            </w:pPr>
            <w:r>
              <w:rPr>
                <w:rFonts w:ascii="Arial" w:cs="Arial" w:eastAsia="Arial" w:hAnsi="Arial"/>
                <w:sz w:val="12"/>
                <w:szCs w:val="12"/>
                <w:color w:val="auto"/>
                <w:w w:val="98"/>
              </w:rPr>
              <w:t>12/16/21</w:t>
            </w:r>
          </w:p>
        </w:tc>
        <w:tc>
          <w:tcPr>
            <w:tcW w:w="720" w:type="dxa"/>
            <w:vAlign w:val="bottom"/>
            <w:shd w:val="clear" w:color="auto" w:fill="D9D9D9"/>
          </w:tcPr>
          <w:p>
            <w:pPr>
              <w:jc w:val="center"/>
              <w:spacing w:after="0"/>
              <w:rPr>
                <w:sz w:val="20"/>
                <w:szCs w:val="20"/>
                <w:color w:val="auto"/>
              </w:rPr>
            </w:pPr>
            <w:r>
              <w:rPr>
                <w:rFonts w:ascii="Arial" w:cs="Arial" w:eastAsia="Arial" w:hAnsi="Arial"/>
                <w:sz w:val="12"/>
                <w:szCs w:val="12"/>
                <w:color w:val="auto"/>
                <w:w w:val="94"/>
              </w:rPr>
              <w:t>12/14/21</w:t>
            </w:r>
          </w:p>
        </w:tc>
        <w:tc>
          <w:tcPr>
            <w:tcW w:w="740" w:type="dxa"/>
            <w:vAlign w:val="bottom"/>
            <w:shd w:val="clear" w:color="auto" w:fill="D9D9D9"/>
          </w:tcPr>
          <w:p>
            <w:pPr>
              <w:spacing w:after="0"/>
              <w:rPr>
                <w:sz w:val="12"/>
                <w:szCs w:val="12"/>
                <w:color w:val="auto"/>
              </w:rPr>
            </w:pPr>
          </w:p>
        </w:tc>
        <w:tc>
          <w:tcPr>
            <w:tcW w:w="720" w:type="dxa"/>
            <w:vAlign w:val="bottom"/>
            <w:shd w:val="clear" w:color="auto" w:fill="D9D9D9"/>
          </w:tcPr>
          <w:p>
            <w:pPr>
              <w:spacing w:after="0"/>
              <w:rPr>
                <w:sz w:val="12"/>
                <w:szCs w:val="12"/>
                <w:color w:val="auto"/>
              </w:rPr>
            </w:pPr>
          </w:p>
        </w:tc>
        <w:tc>
          <w:tcPr>
            <w:tcW w:w="640" w:type="dxa"/>
            <w:vAlign w:val="bottom"/>
            <w:shd w:val="clear" w:color="auto" w:fill="D9D9D9"/>
          </w:tcPr>
          <w:p>
            <w:pPr>
              <w:spacing w:after="0"/>
              <w:rPr>
                <w:sz w:val="12"/>
                <w:szCs w:val="12"/>
                <w:color w:val="auto"/>
              </w:rPr>
            </w:pPr>
          </w:p>
        </w:tc>
        <w:tc>
          <w:tcPr>
            <w:tcW w:w="700" w:type="dxa"/>
            <w:vAlign w:val="bottom"/>
            <w:shd w:val="clear" w:color="auto" w:fill="D9D9D9"/>
          </w:tcPr>
          <w:p>
            <w:pPr>
              <w:spacing w:after="0"/>
              <w:rPr>
                <w:sz w:val="12"/>
                <w:szCs w:val="12"/>
                <w:color w:val="auto"/>
              </w:rPr>
            </w:pPr>
          </w:p>
        </w:tc>
        <w:tc>
          <w:tcPr>
            <w:tcW w:w="700" w:type="dxa"/>
            <w:vAlign w:val="bottom"/>
            <w:shd w:val="clear" w:color="auto" w:fill="D9D9D9"/>
          </w:tcPr>
          <w:p>
            <w:pPr>
              <w:spacing w:after="0"/>
              <w:rPr>
                <w:sz w:val="12"/>
                <w:szCs w:val="12"/>
                <w:color w:val="auto"/>
              </w:rPr>
            </w:pPr>
          </w:p>
        </w:tc>
        <w:tc>
          <w:tcPr>
            <w:tcW w:w="74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860" w:type="dxa"/>
            <w:vAlign w:val="bottom"/>
            <w:shd w:val="clear" w:color="auto" w:fill="D9D9D9"/>
          </w:tcPr>
          <w:p>
            <w:pPr>
              <w:jc w:val="right"/>
              <w:ind w:right="42"/>
              <w:spacing w:after="0"/>
              <w:rPr>
                <w:sz w:val="20"/>
                <w:szCs w:val="20"/>
                <w:color w:val="auto"/>
              </w:rPr>
            </w:pPr>
            <w:r>
              <w:rPr>
                <w:rFonts w:ascii="Arial" w:cs="Arial" w:eastAsia="Arial" w:hAnsi="Arial"/>
                <w:sz w:val="12"/>
                <w:szCs w:val="12"/>
                <w:color w:val="auto"/>
              </w:rPr>
              <w:t>28,800</w:t>
            </w:r>
          </w:p>
        </w:tc>
        <w:tc>
          <w:tcPr>
            <w:tcW w:w="88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99.34</w:t>
            </w:r>
          </w:p>
        </w:tc>
        <w:tc>
          <w:tcPr>
            <w:tcW w:w="780" w:type="dxa"/>
            <w:vAlign w:val="bottom"/>
            <w:shd w:val="clear" w:color="auto" w:fill="D9D9D9"/>
          </w:tcPr>
          <w:p>
            <w:pPr>
              <w:jc w:val="right"/>
              <w:spacing w:after="0"/>
              <w:rPr>
                <w:sz w:val="20"/>
                <w:szCs w:val="20"/>
                <w:color w:val="auto"/>
              </w:rPr>
            </w:pPr>
            <w:r>
              <w:rPr>
                <w:rFonts w:ascii="Arial" w:cs="Arial" w:eastAsia="Arial" w:hAnsi="Arial"/>
                <w:sz w:val="12"/>
                <w:szCs w:val="12"/>
                <w:color w:val="auto"/>
              </w:rPr>
              <w:t>661,824</w:t>
            </w:r>
          </w:p>
        </w:tc>
      </w:tr>
      <w:tr>
        <w:trPr>
          <w:trHeight w:val="154"/>
        </w:trPr>
        <w:tc>
          <w:tcPr>
            <w:tcW w:w="2240" w:type="dxa"/>
            <w:vAlign w:val="bottom"/>
          </w:tcPr>
          <w:p>
            <w:pPr>
              <w:spacing w:after="0"/>
              <w:rPr>
                <w:sz w:val="20"/>
                <w:szCs w:val="20"/>
                <w:color w:val="auto"/>
              </w:rPr>
            </w:pPr>
            <w:r>
              <w:rPr>
                <w:rFonts w:ascii="Arial" w:cs="Arial" w:eastAsia="Arial" w:hAnsi="Arial"/>
                <w:sz w:val="12"/>
                <w:szCs w:val="12"/>
                <w:color w:val="auto"/>
              </w:rPr>
              <w:t>Kevin N. Carpenter</w:t>
            </w: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48"/>
        </w:trPr>
        <w:tc>
          <w:tcPr>
            <w:tcW w:w="2240" w:type="dxa"/>
            <w:vAlign w:val="bottom"/>
          </w:tcPr>
          <w:p>
            <w:pPr>
              <w:ind w:left="260"/>
              <w:spacing w:after="0"/>
              <w:rPr>
                <w:sz w:val="20"/>
                <w:szCs w:val="20"/>
                <w:color w:val="auto"/>
              </w:rPr>
            </w:pPr>
            <w:r>
              <w:rPr>
                <w:rFonts w:ascii="Arial" w:cs="Arial" w:eastAsia="Arial" w:hAnsi="Arial"/>
                <w:sz w:val="12"/>
                <w:szCs w:val="12"/>
                <w:color w:val="auto"/>
              </w:rPr>
              <w:t>Annual Cash Incentive</w:t>
            </w:r>
          </w:p>
        </w:tc>
        <w:tc>
          <w:tcPr>
            <w:tcW w:w="680" w:type="dxa"/>
            <w:vAlign w:val="bottom"/>
          </w:tcPr>
          <w:p>
            <w:pPr>
              <w:jc w:val="center"/>
              <w:ind w:left="22"/>
              <w:spacing w:after="0"/>
              <w:rPr>
                <w:sz w:val="20"/>
                <w:szCs w:val="20"/>
                <w:color w:val="auto"/>
              </w:rPr>
            </w:pPr>
            <w:r>
              <w:rPr>
                <w:rFonts w:ascii="Arial" w:cs="Arial" w:eastAsia="Arial" w:hAnsi="Arial"/>
                <w:sz w:val="12"/>
                <w:szCs w:val="12"/>
                <w:color w:val="auto"/>
                <w:w w:val="99"/>
              </w:rPr>
              <w:t>—</w:t>
            </w:r>
          </w:p>
        </w:tc>
        <w:tc>
          <w:tcPr>
            <w:tcW w:w="72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110,400</w:t>
            </w:r>
          </w:p>
        </w:tc>
        <w:tc>
          <w:tcPr>
            <w:tcW w:w="720" w:type="dxa"/>
            <w:vAlign w:val="bottom"/>
          </w:tcPr>
          <w:p>
            <w:pPr>
              <w:jc w:val="right"/>
              <w:ind w:right="62"/>
              <w:spacing w:after="0"/>
              <w:rPr>
                <w:sz w:val="20"/>
                <w:szCs w:val="20"/>
                <w:color w:val="auto"/>
              </w:rPr>
            </w:pPr>
            <w:r>
              <w:rPr>
                <w:rFonts w:ascii="Arial" w:cs="Arial" w:eastAsia="Arial" w:hAnsi="Arial"/>
                <w:sz w:val="12"/>
                <w:szCs w:val="12"/>
                <w:color w:val="auto"/>
              </w:rPr>
              <w:t>276,000</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552,000</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8"/>
        </w:trPr>
        <w:tc>
          <w:tcPr>
            <w:tcW w:w="2240" w:type="dxa"/>
            <w:vAlign w:val="bottom"/>
          </w:tcPr>
          <w:p>
            <w:pPr>
              <w:ind w:left="260"/>
              <w:spacing w:after="0"/>
              <w:rPr>
                <w:sz w:val="20"/>
                <w:szCs w:val="20"/>
                <w:color w:val="auto"/>
              </w:rPr>
            </w:pPr>
            <w:r>
              <w:rPr>
                <w:rFonts w:ascii="Arial" w:cs="Arial" w:eastAsia="Arial" w:hAnsi="Arial"/>
                <w:sz w:val="12"/>
                <w:szCs w:val="12"/>
                <w:color w:val="auto"/>
              </w:rPr>
              <w:t>Performance Shares</w:t>
            </w:r>
          </w:p>
        </w:tc>
        <w:tc>
          <w:tcPr>
            <w:tcW w:w="680" w:type="dxa"/>
            <w:vAlign w:val="bottom"/>
          </w:tcPr>
          <w:p>
            <w:pPr>
              <w:jc w:val="center"/>
              <w:ind w:left="2"/>
              <w:spacing w:after="0"/>
              <w:rPr>
                <w:sz w:val="20"/>
                <w:szCs w:val="20"/>
                <w:color w:val="auto"/>
              </w:rPr>
            </w:pPr>
            <w:r>
              <w:rPr>
                <w:rFonts w:ascii="Arial" w:cs="Arial" w:eastAsia="Arial" w:hAnsi="Arial"/>
                <w:sz w:val="12"/>
                <w:szCs w:val="12"/>
                <w:color w:val="auto"/>
                <w:w w:val="98"/>
              </w:rPr>
              <w:t>12/14/21</w:t>
            </w:r>
          </w:p>
        </w:tc>
        <w:tc>
          <w:tcPr>
            <w:tcW w:w="720" w:type="dxa"/>
            <w:vAlign w:val="bottom"/>
          </w:tcPr>
          <w:p>
            <w:pPr>
              <w:jc w:val="center"/>
              <w:spacing w:after="0"/>
              <w:rPr>
                <w:sz w:val="20"/>
                <w:szCs w:val="20"/>
                <w:color w:val="auto"/>
              </w:rPr>
            </w:pPr>
            <w:r>
              <w:rPr>
                <w:rFonts w:ascii="Arial" w:cs="Arial" w:eastAsia="Arial" w:hAnsi="Arial"/>
                <w:sz w:val="12"/>
                <w:szCs w:val="12"/>
                <w:color w:val="auto"/>
                <w:w w:val="94"/>
              </w:rPr>
              <w:t>12/14/21</w:t>
            </w: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960</w:t>
            </w: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2,400</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4,800</w:t>
            </w: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236,184</w:t>
            </w:r>
          </w:p>
        </w:tc>
      </w:tr>
      <w:tr>
        <w:trPr>
          <w:trHeight w:val="148"/>
        </w:trPr>
        <w:tc>
          <w:tcPr>
            <w:tcW w:w="2240" w:type="dxa"/>
            <w:vAlign w:val="bottom"/>
          </w:tcPr>
          <w:p>
            <w:pPr>
              <w:ind w:left="260"/>
              <w:spacing w:after="0"/>
              <w:rPr>
                <w:sz w:val="20"/>
                <w:szCs w:val="20"/>
                <w:color w:val="auto"/>
              </w:rPr>
            </w:pPr>
            <w:r>
              <w:rPr>
                <w:rFonts w:ascii="Arial" w:cs="Arial" w:eastAsia="Arial" w:hAnsi="Arial"/>
                <w:sz w:val="12"/>
                <w:szCs w:val="12"/>
                <w:color w:val="auto"/>
              </w:rPr>
              <w:t>Stock Options</w:t>
            </w:r>
          </w:p>
        </w:tc>
        <w:tc>
          <w:tcPr>
            <w:tcW w:w="680" w:type="dxa"/>
            <w:vAlign w:val="bottom"/>
          </w:tcPr>
          <w:p>
            <w:pPr>
              <w:jc w:val="center"/>
              <w:ind w:left="2"/>
              <w:spacing w:after="0"/>
              <w:rPr>
                <w:sz w:val="20"/>
                <w:szCs w:val="20"/>
                <w:color w:val="auto"/>
              </w:rPr>
            </w:pPr>
            <w:r>
              <w:rPr>
                <w:rFonts w:ascii="Arial" w:cs="Arial" w:eastAsia="Arial" w:hAnsi="Arial"/>
                <w:sz w:val="12"/>
                <w:szCs w:val="12"/>
                <w:color w:val="auto"/>
                <w:w w:val="98"/>
              </w:rPr>
              <w:t>12/16/21</w:t>
            </w:r>
          </w:p>
        </w:tc>
        <w:tc>
          <w:tcPr>
            <w:tcW w:w="720" w:type="dxa"/>
            <w:vAlign w:val="bottom"/>
          </w:tcPr>
          <w:p>
            <w:pPr>
              <w:jc w:val="center"/>
              <w:spacing w:after="0"/>
              <w:rPr>
                <w:sz w:val="20"/>
                <w:szCs w:val="20"/>
                <w:color w:val="auto"/>
              </w:rPr>
            </w:pPr>
            <w:r>
              <w:rPr>
                <w:rFonts w:ascii="Arial" w:cs="Arial" w:eastAsia="Arial" w:hAnsi="Arial"/>
                <w:sz w:val="12"/>
                <w:szCs w:val="12"/>
                <w:color w:val="auto"/>
                <w:w w:val="94"/>
              </w:rPr>
              <w:t>12/14/21</w:t>
            </w: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jc w:val="right"/>
              <w:ind w:right="42"/>
              <w:spacing w:after="0"/>
              <w:rPr>
                <w:sz w:val="20"/>
                <w:szCs w:val="20"/>
                <w:color w:val="auto"/>
              </w:rPr>
            </w:pPr>
            <w:r>
              <w:rPr>
                <w:rFonts w:ascii="Arial" w:cs="Arial" w:eastAsia="Arial" w:hAnsi="Arial"/>
                <w:sz w:val="12"/>
                <w:szCs w:val="12"/>
                <w:color w:val="auto"/>
              </w:rPr>
              <w:t>10,300</w:t>
            </w:r>
          </w:p>
        </w:tc>
        <w:tc>
          <w:tcPr>
            <w:tcW w:w="880" w:type="dxa"/>
            <w:vAlign w:val="bottom"/>
          </w:tcPr>
          <w:p>
            <w:pPr>
              <w:jc w:val="right"/>
              <w:ind w:right="62"/>
              <w:spacing w:after="0"/>
              <w:rPr>
                <w:sz w:val="20"/>
                <w:szCs w:val="20"/>
                <w:color w:val="auto"/>
              </w:rPr>
            </w:pPr>
            <w:r>
              <w:rPr>
                <w:rFonts w:ascii="Arial" w:cs="Arial" w:eastAsia="Arial" w:hAnsi="Arial"/>
                <w:sz w:val="12"/>
                <w:szCs w:val="12"/>
                <w:color w:val="auto"/>
              </w:rPr>
              <w:t>99.34</w:t>
            </w:r>
          </w:p>
        </w:tc>
        <w:tc>
          <w:tcPr>
            <w:tcW w:w="780" w:type="dxa"/>
            <w:vAlign w:val="bottom"/>
          </w:tcPr>
          <w:p>
            <w:pPr>
              <w:jc w:val="right"/>
              <w:spacing w:after="0"/>
              <w:rPr>
                <w:sz w:val="20"/>
                <w:szCs w:val="20"/>
                <w:color w:val="auto"/>
              </w:rPr>
            </w:pPr>
            <w:r>
              <w:rPr>
                <w:rFonts w:ascii="Arial" w:cs="Arial" w:eastAsia="Arial" w:hAnsi="Arial"/>
                <w:sz w:val="12"/>
                <w:szCs w:val="12"/>
                <w:color w:val="auto"/>
              </w:rPr>
              <w:t>236,694</w:t>
            </w:r>
          </w:p>
        </w:tc>
      </w:tr>
      <w:tr>
        <w:trPr>
          <w:trHeight w:val="143"/>
        </w:trPr>
        <w:tc>
          <w:tcPr>
            <w:tcW w:w="2240" w:type="dxa"/>
            <w:vAlign w:val="bottom"/>
          </w:tcPr>
          <w:p>
            <w:pPr>
              <w:ind w:left="260"/>
              <w:spacing w:after="0"/>
              <w:rPr>
                <w:sz w:val="20"/>
                <w:szCs w:val="20"/>
                <w:color w:val="auto"/>
              </w:rPr>
            </w:pPr>
            <w:r>
              <w:rPr>
                <w:rFonts w:ascii="Arial" w:cs="Arial" w:eastAsia="Arial" w:hAnsi="Arial"/>
                <w:sz w:val="12"/>
                <w:szCs w:val="12"/>
                <w:color w:val="auto"/>
              </w:rPr>
              <w:t>Restricted Stock Units</w:t>
            </w:r>
          </w:p>
        </w:tc>
        <w:tc>
          <w:tcPr>
            <w:tcW w:w="680" w:type="dxa"/>
            <w:vAlign w:val="bottom"/>
          </w:tcPr>
          <w:p>
            <w:pPr>
              <w:jc w:val="center"/>
              <w:ind w:left="22"/>
              <w:spacing w:after="0"/>
              <w:rPr>
                <w:sz w:val="20"/>
                <w:szCs w:val="20"/>
                <w:color w:val="auto"/>
              </w:rPr>
            </w:pPr>
            <w:r>
              <w:rPr>
                <w:rFonts w:ascii="Arial" w:cs="Arial" w:eastAsia="Arial" w:hAnsi="Arial"/>
                <w:sz w:val="12"/>
                <w:szCs w:val="12"/>
                <w:color w:val="auto"/>
                <w:w w:val="94"/>
              </w:rPr>
              <w:t>11/30/21</w:t>
            </w:r>
          </w:p>
        </w:tc>
        <w:tc>
          <w:tcPr>
            <w:tcW w:w="720" w:type="dxa"/>
            <w:vAlign w:val="bottom"/>
          </w:tcPr>
          <w:p>
            <w:pPr>
              <w:jc w:val="center"/>
              <w:spacing w:after="0"/>
              <w:rPr>
                <w:sz w:val="20"/>
                <w:szCs w:val="20"/>
                <w:color w:val="auto"/>
              </w:rPr>
            </w:pPr>
            <w:r>
              <w:rPr>
                <w:rFonts w:ascii="Arial" w:cs="Arial" w:eastAsia="Arial" w:hAnsi="Arial"/>
                <w:sz w:val="12"/>
                <w:szCs w:val="12"/>
                <w:color w:val="auto"/>
                <w:w w:val="94"/>
              </w:rPr>
              <w:t>10/13/21</w:t>
            </w: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jc w:val="right"/>
              <w:ind w:right="22"/>
              <w:spacing w:after="0"/>
              <w:rPr>
                <w:sz w:val="20"/>
                <w:szCs w:val="20"/>
                <w:color w:val="auto"/>
              </w:rPr>
            </w:pPr>
            <w:r>
              <w:rPr>
                <w:rFonts w:ascii="Arial" w:cs="Arial" w:eastAsia="Arial" w:hAnsi="Arial"/>
                <w:sz w:val="12"/>
                <w:szCs w:val="12"/>
                <w:color w:val="auto"/>
              </w:rPr>
              <w:t>17,402</w:t>
            </w: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1,749,945</w:t>
            </w:r>
          </w:p>
        </w:tc>
      </w:tr>
      <w:tr>
        <w:trPr>
          <w:trHeight w:val="148"/>
        </w:trPr>
        <w:tc>
          <w:tcPr>
            <w:tcW w:w="2240" w:type="dxa"/>
            <w:vAlign w:val="bottom"/>
            <w:shd w:val="clear" w:color="auto" w:fill="D9D9D9"/>
          </w:tcPr>
          <w:p>
            <w:pPr>
              <w:spacing w:after="0"/>
              <w:rPr>
                <w:sz w:val="20"/>
                <w:szCs w:val="20"/>
                <w:color w:val="auto"/>
              </w:rPr>
            </w:pPr>
            <w:r>
              <w:rPr>
                <w:rFonts w:ascii="Arial" w:cs="Arial" w:eastAsia="Arial" w:hAnsi="Arial"/>
                <w:sz w:val="12"/>
                <w:szCs w:val="12"/>
                <w:color w:val="auto"/>
              </w:rPr>
              <w:t>Richard W. Rodier</w:t>
            </w:r>
          </w:p>
        </w:tc>
        <w:tc>
          <w:tcPr>
            <w:tcW w:w="680" w:type="dxa"/>
            <w:vAlign w:val="bottom"/>
            <w:shd w:val="clear" w:color="auto" w:fill="D9D9D9"/>
          </w:tcPr>
          <w:p>
            <w:pPr>
              <w:spacing w:after="0"/>
              <w:rPr>
                <w:sz w:val="12"/>
                <w:szCs w:val="12"/>
                <w:color w:val="auto"/>
              </w:rPr>
            </w:pPr>
          </w:p>
        </w:tc>
        <w:tc>
          <w:tcPr>
            <w:tcW w:w="720" w:type="dxa"/>
            <w:vAlign w:val="bottom"/>
            <w:shd w:val="clear" w:color="auto" w:fill="D9D9D9"/>
          </w:tcPr>
          <w:p>
            <w:pPr>
              <w:spacing w:after="0"/>
              <w:rPr>
                <w:sz w:val="12"/>
                <w:szCs w:val="12"/>
                <w:color w:val="auto"/>
              </w:rPr>
            </w:pPr>
          </w:p>
        </w:tc>
        <w:tc>
          <w:tcPr>
            <w:tcW w:w="740" w:type="dxa"/>
            <w:vAlign w:val="bottom"/>
            <w:shd w:val="clear" w:color="auto" w:fill="D9D9D9"/>
          </w:tcPr>
          <w:p>
            <w:pPr>
              <w:spacing w:after="0"/>
              <w:rPr>
                <w:sz w:val="12"/>
                <w:szCs w:val="12"/>
                <w:color w:val="auto"/>
              </w:rPr>
            </w:pPr>
          </w:p>
        </w:tc>
        <w:tc>
          <w:tcPr>
            <w:tcW w:w="720" w:type="dxa"/>
            <w:vAlign w:val="bottom"/>
            <w:shd w:val="clear" w:color="auto" w:fill="D9D9D9"/>
          </w:tcPr>
          <w:p>
            <w:pPr>
              <w:spacing w:after="0"/>
              <w:rPr>
                <w:sz w:val="12"/>
                <w:szCs w:val="12"/>
                <w:color w:val="auto"/>
              </w:rPr>
            </w:pPr>
          </w:p>
        </w:tc>
        <w:tc>
          <w:tcPr>
            <w:tcW w:w="640" w:type="dxa"/>
            <w:vAlign w:val="bottom"/>
            <w:shd w:val="clear" w:color="auto" w:fill="D9D9D9"/>
          </w:tcPr>
          <w:p>
            <w:pPr>
              <w:spacing w:after="0"/>
              <w:rPr>
                <w:sz w:val="12"/>
                <w:szCs w:val="12"/>
                <w:color w:val="auto"/>
              </w:rPr>
            </w:pPr>
          </w:p>
        </w:tc>
        <w:tc>
          <w:tcPr>
            <w:tcW w:w="700" w:type="dxa"/>
            <w:vAlign w:val="bottom"/>
            <w:shd w:val="clear" w:color="auto" w:fill="D9D9D9"/>
          </w:tcPr>
          <w:p>
            <w:pPr>
              <w:spacing w:after="0"/>
              <w:rPr>
                <w:sz w:val="12"/>
                <w:szCs w:val="12"/>
                <w:color w:val="auto"/>
              </w:rPr>
            </w:pPr>
          </w:p>
        </w:tc>
        <w:tc>
          <w:tcPr>
            <w:tcW w:w="700" w:type="dxa"/>
            <w:vAlign w:val="bottom"/>
            <w:shd w:val="clear" w:color="auto" w:fill="D9D9D9"/>
          </w:tcPr>
          <w:p>
            <w:pPr>
              <w:spacing w:after="0"/>
              <w:rPr>
                <w:sz w:val="12"/>
                <w:szCs w:val="12"/>
                <w:color w:val="auto"/>
              </w:rPr>
            </w:pPr>
          </w:p>
        </w:tc>
        <w:tc>
          <w:tcPr>
            <w:tcW w:w="74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860" w:type="dxa"/>
            <w:vAlign w:val="bottom"/>
            <w:shd w:val="clear" w:color="auto" w:fill="D9D9D9"/>
          </w:tcPr>
          <w:p>
            <w:pPr>
              <w:spacing w:after="0"/>
              <w:rPr>
                <w:sz w:val="12"/>
                <w:szCs w:val="12"/>
                <w:color w:val="auto"/>
              </w:rPr>
            </w:pPr>
          </w:p>
        </w:tc>
        <w:tc>
          <w:tcPr>
            <w:tcW w:w="880" w:type="dxa"/>
            <w:vAlign w:val="bottom"/>
            <w:shd w:val="clear" w:color="auto" w:fill="D9D9D9"/>
          </w:tcPr>
          <w:p>
            <w:pPr>
              <w:spacing w:after="0"/>
              <w:rPr>
                <w:sz w:val="12"/>
                <w:szCs w:val="12"/>
                <w:color w:val="auto"/>
              </w:rPr>
            </w:pPr>
          </w:p>
        </w:tc>
        <w:tc>
          <w:tcPr>
            <w:tcW w:w="780" w:type="dxa"/>
            <w:vAlign w:val="bottom"/>
            <w:shd w:val="clear" w:color="auto" w:fill="D9D9D9"/>
          </w:tcPr>
          <w:p>
            <w:pPr>
              <w:spacing w:after="0"/>
              <w:rPr>
                <w:sz w:val="12"/>
                <w:szCs w:val="12"/>
                <w:color w:val="auto"/>
              </w:rPr>
            </w:pPr>
          </w:p>
        </w:tc>
      </w:tr>
      <w:tr>
        <w:trPr>
          <w:trHeight w:val="149"/>
        </w:trPr>
        <w:tc>
          <w:tcPr>
            <w:tcW w:w="2240" w:type="dxa"/>
            <w:vAlign w:val="bottom"/>
            <w:shd w:val="clear" w:color="auto" w:fill="D9D9D9"/>
          </w:tcPr>
          <w:p>
            <w:pPr>
              <w:ind w:left="260"/>
              <w:spacing w:after="0"/>
              <w:rPr>
                <w:sz w:val="20"/>
                <w:szCs w:val="20"/>
                <w:color w:val="auto"/>
              </w:rPr>
            </w:pPr>
            <w:r>
              <w:rPr>
                <w:rFonts w:ascii="Arial" w:cs="Arial" w:eastAsia="Arial" w:hAnsi="Arial"/>
                <w:sz w:val="12"/>
                <w:szCs w:val="12"/>
                <w:color w:val="auto"/>
              </w:rPr>
              <w:t>Annual Cash Incentive</w:t>
            </w:r>
          </w:p>
        </w:tc>
        <w:tc>
          <w:tcPr>
            <w:tcW w:w="680" w:type="dxa"/>
            <w:vAlign w:val="bottom"/>
            <w:shd w:val="clear" w:color="auto" w:fill="D9D9D9"/>
          </w:tcPr>
          <w:p>
            <w:pPr>
              <w:jc w:val="center"/>
              <w:ind w:left="22"/>
              <w:spacing w:after="0"/>
              <w:rPr>
                <w:sz w:val="20"/>
                <w:szCs w:val="20"/>
                <w:color w:val="auto"/>
              </w:rPr>
            </w:pPr>
            <w:r>
              <w:rPr>
                <w:rFonts w:ascii="Arial" w:cs="Arial" w:eastAsia="Arial" w:hAnsi="Arial"/>
                <w:sz w:val="12"/>
                <w:szCs w:val="12"/>
                <w:color w:val="auto"/>
                <w:w w:val="99"/>
              </w:rPr>
              <w:t>—</w:t>
            </w:r>
          </w:p>
        </w:tc>
        <w:tc>
          <w:tcPr>
            <w:tcW w:w="720" w:type="dxa"/>
            <w:vAlign w:val="bottom"/>
            <w:shd w:val="clear" w:color="auto" w:fill="D9D9D9"/>
          </w:tcPr>
          <w:p>
            <w:pPr>
              <w:jc w:val="center"/>
              <w:spacing w:after="0"/>
              <w:rPr>
                <w:sz w:val="20"/>
                <w:szCs w:val="20"/>
                <w:color w:val="auto"/>
              </w:rPr>
            </w:pPr>
            <w:r>
              <w:rPr>
                <w:rFonts w:ascii="Arial" w:cs="Arial" w:eastAsia="Arial" w:hAnsi="Arial"/>
                <w:sz w:val="12"/>
                <w:szCs w:val="12"/>
                <w:color w:val="auto"/>
                <w:w w:val="99"/>
              </w:rPr>
              <w:t>—</w:t>
            </w:r>
          </w:p>
        </w:tc>
        <w:tc>
          <w:tcPr>
            <w:tcW w:w="740" w:type="dxa"/>
            <w:vAlign w:val="bottom"/>
            <w:shd w:val="clear" w:color="auto" w:fill="D9D9D9"/>
          </w:tcPr>
          <w:p>
            <w:pPr>
              <w:jc w:val="right"/>
              <w:ind w:right="42"/>
              <w:spacing w:after="0"/>
              <w:rPr>
                <w:sz w:val="20"/>
                <w:szCs w:val="20"/>
                <w:color w:val="auto"/>
              </w:rPr>
            </w:pPr>
            <w:r>
              <w:rPr>
                <w:rFonts w:ascii="Arial" w:cs="Arial" w:eastAsia="Arial" w:hAnsi="Arial"/>
                <w:sz w:val="12"/>
                <w:szCs w:val="12"/>
                <w:color w:val="auto"/>
              </w:rPr>
              <w:t>162,900</w:t>
            </w:r>
          </w:p>
        </w:tc>
        <w:tc>
          <w:tcPr>
            <w:tcW w:w="72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407,250</w:t>
            </w:r>
          </w:p>
        </w:tc>
        <w:tc>
          <w:tcPr>
            <w:tcW w:w="640" w:type="dxa"/>
            <w:vAlign w:val="bottom"/>
            <w:shd w:val="clear" w:color="auto" w:fill="D9D9D9"/>
          </w:tcPr>
          <w:p>
            <w:pPr>
              <w:jc w:val="right"/>
              <w:ind w:right="2"/>
              <w:spacing w:after="0"/>
              <w:rPr>
                <w:sz w:val="20"/>
                <w:szCs w:val="20"/>
                <w:color w:val="auto"/>
              </w:rPr>
            </w:pPr>
            <w:r>
              <w:rPr>
                <w:rFonts w:ascii="Arial" w:cs="Arial" w:eastAsia="Arial" w:hAnsi="Arial"/>
                <w:sz w:val="12"/>
                <w:szCs w:val="12"/>
                <w:color w:val="auto"/>
              </w:rPr>
              <w:t>814,500</w:t>
            </w:r>
          </w:p>
        </w:tc>
        <w:tc>
          <w:tcPr>
            <w:tcW w:w="700" w:type="dxa"/>
            <w:vAlign w:val="bottom"/>
            <w:shd w:val="clear" w:color="auto" w:fill="D9D9D9"/>
          </w:tcPr>
          <w:p>
            <w:pPr>
              <w:spacing w:after="0"/>
              <w:rPr>
                <w:sz w:val="12"/>
                <w:szCs w:val="12"/>
                <w:color w:val="auto"/>
              </w:rPr>
            </w:pPr>
          </w:p>
        </w:tc>
        <w:tc>
          <w:tcPr>
            <w:tcW w:w="700" w:type="dxa"/>
            <w:vAlign w:val="bottom"/>
            <w:shd w:val="clear" w:color="auto" w:fill="D9D9D9"/>
          </w:tcPr>
          <w:p>
            <w:pPr>
              <w:spacing w:after="0"/>
              <w:rPr>
                <w:sz w:val="12"/>
                <w:szCs w:val="12"/>
                <w:color w:val="auto"/>
              </w:rPr>
            </w:pPr>
          </w:p>
        </w:tc>
        <w:tc>
          <w:tcPr>
            <w:tcW w:w="74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860" w:type="dxa"/>
            <w:vAlign w:val="bottom"/>
            <w:shd w:val="clear" w:color="auto" w:fill="D9D9D9"/>
          </w:tcPr>
          <w:p>
            <w:pPr>
              <w:spacing w:after="0"/>
              <w:rPr>
                <w:sz w:val="12"/>
                <w:szCs w:val="12"/>
                <w:color w:val="auto"/>
              </w:rPr>
            </w:pPr>
          </w:p>
        </w:tc>
        <w:tc>
          <w:tcPr>
            <w:tcW w:w="880" w:type="dxa"/>
            <w:vAlign w:val="bottom"/>
            <w:shd w:val="clear" w:color="auto" w:fill="D9D9D9"/>
          </w:tcPr>
          <w:p>
            <w:pPr>
              <w:spacing w:after="0"/>
              <w:rPr>
                <w:sz w:val="12"/>
                <w:szCs w:val="12"/>
                <w:color w:val="auto"/>
              </w:rPr>
            </w:pPr>
          </w:p>
        </w:tc>
        <w:tc>
          <w:tcPr>
            <w:tcW w:w="780" w:type="dxa"/>
            <w:vAlign w:val="bottom"/>
            <w:shd w:val="clear" w:color="auto" w:fill="D9D9D9"/>
          </w:tcPr>
          <w:p>
            <w:pPr>
              <w:spacing w:after="0"/>
              <w:rPr>
                <w:sz w:val="12"/>
                <w:szCs w:val="12"/>
                <w:color w:val="auto"/>
              </w:rPr>
            </w:pPr>
          </w:p>
        </w:tc>
      </w:tr>
      <w:tr>
        <w:trPr>
          <w:trHeight w:val="148"/>
        </w:trPr>
        <w:tc>
          <w:tcPr>
            <w:tcW w:w="2240" w:type="dxa"/>
            <w:vAlign w:val="bottom"/>
            <w:shd w:val="clear" w:color="auto" w:fill="D9D9D9"/>
          </w:tcPr>
          <w:p>
            <w:pPr>
              <w:ind w:left="260"/>
              <w:spacing w:after="0"/>
              <w:rPr>
                <w:sz w:val="20"/>
                <w:szCs w:val="20"/>
                <w:color w:val="auto"/>
              </w:rPr>
            </w:pPr>
            <w:r>
              <w:rPr>
                <w:rFonts w:ascii="Arial" w:cs="Arial" w:eastAsia="Arial" w:hAnsi="Arial"/>
                <w:sz w:val="12"/>
                <w:szCs w:val="12"/>
                <w:color w:val="auto"/>
              </w:rPr>
              <w:t>Performance Shares</w:t>
            </w:r>
          </w:p>
        </w:tc>
        <w:tc>
          <w:tcPr>
            <w:tcW w:w="680" w:type="dxa"/>
            <w:vAlign w:val="bottom"/>
            <w:shd w:val="clear" w:color="auto" w:fill="D9D9D9"/>
          </w:tcPr>
          <w:p>
            <w:pPr>
              <w:jc w:val="center"/>
              <w:ind w:left="2"/>
              <w:spacing w:after="0"/>
              <w:rPr>
                <w:sz w:val="20"/>
                <w:szCs w:val="20"/>
                <w:color w:val="auto"/>
              </w:rPr>
            </w:pPr>
            <w:r>
              <w:rPr>
                <w:rFonts w:ascii="Arial" w:cs="Arial" w:eastAsia="Arial" w:hAnsi="Arial"/>
                <w:sz w:val="12"/>
                <w:szCs w:val="12"/>
                <w:color w:val="auto"/>
                <w:w w:val="98"/>
              </w:rPr>
              <w:t>12/14/21</w:t>
            </w:r>
          </w:p>
        </w:tc>
        <w:tc>
          <w:tcPr>
            <w:tcW w:w="720" w:type="dxa"/>
            <w:vAlign w:val="bottom"/>
            <w:shd w:val="clear" w:color="auto" w:fill="D9D9D9"/>
          </w:tcPr>
          <w:p>
            <w:pPr>
              <w:jc w:val="center"/>
              <w:spacing w:after="0"/>
              <w:rPr>
                <w:sz w:val="20"/>
                <w:szCs w:val="20"/>
                <w:color w:val="auto"/>
              </w:rPr>
            </w:pPr>
            <w:r>
              <w:rPr>
                <w:rFonts w:ascii="Arial" w:cs="Arial" w:eastAsia="Arial" w:hAnsi="Arial"/>
                <w:sz w:val="12"/>
                <w:szCs w:val="12"/>
                <w:color w:val="auto"/>
                <w:w w:val="94"/>
              </w:rPr>
              <w:t>12/14/21</w:t>
            </w:r>
          </w:p>
        </w:tc>
        <w:tc>
          <w:tcPr>
            <w:tcW w:w="740" w:type="dxa"/>
            <w:vAlign w:val="bottom"/>
            <w:shd w:val="clear" w:color="auto" w:fill="D9D9D9"/>
          </w:tcPr>
          <w:p>
            <w:pPr>
              <w:spacing w:after="0"/>
              <w:rPr>
                <w:sz w:val="12"/>
                <w:szCs w:val="12"/>
                <w:color w:val="auto"/>
              </w:rPr>
            </w:pPr>
          </w:p>
        </w:tc>
        <w:tc>
          <w:tcPr>
            <w:tcW w:w="720" w:type="dxa"/>
            <w:vAlign w:val="bottom"/>
            <w:shd w:val="clear" w:color="auto" w:fill="D9D9D9"/>
          </w:tcPr>
          <w:p>
            <w:pPr>
              <w:spacing w:after="0"/>
              <w:rPr>
                <w:sz w:val="12"/>
                <w:szCs w:val="12"/>
                <w:color w:val="auto"/>
              </w:rPr>
            </w:pPr>
          </w:p>
        </w:tc>
        <w:tc>
          <w:tcPr>
            <w:tcW w:w="640" w:type="dxa"/>
            <w:vAlign w:val="bottom"/>
            <w:shd w:val="clear" w:color="auto" w:fill="D9D9D9"/>
          </w:tcPr>
          <w:p>
            <w:pPr>
              <w:spacing w:after="0"/>
              <w:rPr>
                <w:sz w:val="12"/>
                <w:szCs w:val="12"/>
                <w:color w:val="auto"/>
              </w:rPr>
            </w:pPr>
          </w:p>
        </w:tc>
        <w:tc>
          <w:tcPr>
            <w:tcW w:w="700" w:type="dxa"/>
            <w:vAlign w:val="bottom"/>
            <w:shd w:val="clear" w:color="auto" w:fill="D9D9D9"/>
          </w:tcPr>
          <w:p>
            <w:pPr>
              <w:jc w:val="right"/>
              <w:ind w:right="2"/>
              <w:spacing w:after="0"/>
              <w:rPr>
                <w:sz w:val="20"/>
                <w:szCs w:val="20"/>
                <w:color w:val="auto"/>
              </w:rPr>
            </w:pPr>
            <w:r>
              <w:rPr>
                <w:rFonts w:ascii="Arial" w:cs="Arial" w:eastAsia="Arial" w:hAnsi="Arial"/>
                <w:sz w:val="12"/>
                <w:szCs w:val="12"/>
                <w:color w:val="auto"/>
              </w:rPr>
              <w:t>1,920</w:t>
            </w:r>
          </w:p>
        </w:tc>
        <w:tc>
          <w:tcPr>
            <w:tcW w:w="700" w:type="dxa"/>
            <w:vAlign w:val="bottom"/>
            <w:shd w:val="clear" w:color="auto" w:fill="D9D9D9"/>
          </w:tcPr>
          <w:p>
            <w:pPr>
              <w:jc w:val="right"/>
              <w:ind w:right="2"/>
              <w:spacing w:after="0"/>
              <w:rPr>
                <w:sz w:val="20"/>
                <w:szCs w:val="20"/>
                <w:color w:val="auto"/>
              </w:rPr>
            </w:pPr>
            <w:r>
              <w:rPr>
                <w:rFonts w:ascii="Arial" w:cs="Arial" w:eastAsia="Arial" w:hAnsi="Arial"/>
                <w:sz w:val="12"/>
                <w:szCs w:val="12"/>
                <w:color w:val="auto"/>
              </w:rPr>
              <w:t>4,800</w:t>
            </w:r>
          </w:p>
        </w:tc>
        <w:tc>
          <w:tcPr>
            <w:tcW w:w="740" w:type="dxa"/>
            <w:vAlign w:val="bottom"/>
            <w:shd w:val="clear" w:color="auto" w:fill="D9D9D9"/>
          </w:tcPr>
          <w:p>
            <w:pPr>
              <w:jc w:val="right"/>
              <w:ind w:right="42"/>
              <w:spacing w:after="0"/>
              <w:rPr>
                <w:sz w:val="20"/>
                <w:szCs w:val="20"/>
                <w:color w:val="auto"/>
              </w:rPr>
            </w:pPr>
            <w:r>
              <w:rPr>
                <w:rFonts w:ascii="Arial" w:cs="Arial" w:eastAsia="Arial" w:hAnsi="Arial"/>
                <w:sz w:val="12"/>
                <w:szCs w:val="12"/>
                <w:color w:val="auto"/>
              </w:rPr>
              <w:t>9,600</w:t>
            </w:r>
          </w:p>
        </w:tc>
        <w:tc>
          <w:tcPr>
            <w:tcW w:w="840" w:type="dxa"/>
            <w:vAlign w:val="bottom"/>
            <w:shd w:val="clear" w:color="auto" w:fill="D9D9D9"/>
          </w:tcPr>
          <w:p>
            <w:pPr>
              <w:spacing w:after="0"/>
              <w:rPr>
                <w:sz w:val="12"/>
                <w:szCs w:val="12"/>
                <w:color w:val="auto"/>
              </w:rPr>
            </w:pPr>
          </w:p>
        </w:tc>
        <w:tc>
          <w:tcPr>
            <w:tcW w:w="860" w:type="dxa"/>
            <w:vAlign w:val="bottom"/>
            <w:shd w:val="clear" w:color="auto" w:fill="D9D9D9"/>
          </w:tcPr>
          <w:p>
            <w:pPr>
              <w:spacing w:after="0"/>
              <w:rPr>
                <w:sz w:val="12"/>
                <w:szCs w:val="12"/>
                <w:color w:val="auto"/>
              </w:rPr>
            </w:pPr>
          </w:p>
        </w:tc>
        <w:tc>
          <w:tcPr>
            <w:tcW w:w="880" w:type="dxa"/>
            <w:vAlign w:val="bottom"/>
            <w:shd w:val="clear" w:color="auto" w:fill="D9D9D9"/>
          </w:tcPr>
          <w:p>
            <w:pPr>
              <w:spacing w:after="0"/>
              <w:rPr>
                <w:sz w:val="12"/>
                <w:szCs w:val="12"/>
                <w:color w:val="auto"/>
              </w:rPr>
            </w:pPr>
          </w:p>
        </w:tc>
        <w:tc>
          <w:tcPr>
            <w:tcW w:w="780" w:type="dxa"/>
            <w:vAlign w:val="bottom"/>
            <w:shd w:val="clear" w:color="auto" w:fill="D9D9D9"/>
          </w:tcPr>
          <w:p>
            <w:pPr>
              <w:jc w:val="right"/>
              <w:spacing w:after="0"/>
              <w:rPr>
                <w:sz w:val="20"/>
                <w:szCs w:val="20"/>
                <w:color w:val="auto"/>
              </w:rPr>
            </w:pPr>
            <w:r>
              <w:rPr>
                <w:rFonts w:ascii="Arial" w:cs="Arial" w:eastAsia="Arial" w:hAnsi="Arial"/>
                <w:sz w:val="12"/>
                <w:szCs w:val="12"/>
                <w:color w:val="auto"/>
              </w:rPr>
              <w:t>472,368</w:t>
            </w:r>
          </w:p>
        </w:tc>
      </w:tr>
      <w:tr>
        <w:trPr>
          <w:trHeight w:val="148"/>
        </w:trPr>
        <w:tc>
          <w:tcPr>
            <w:tcW w:w="2240" w:type="dxa"/>
            <w:vAlign w:val="bottom"/>
            <w:shd w:val="clear" w:color="auto" w:fill="D9D9D9"/>
          </w:tcPr>
          <w:p>
            <w:pPr>
              <w:ind w:left="260"/>
              <w:spacing w:after="0"/>
              <w:rPr>
                <w:sz w:val="20"/>
                <w:szCs w:val="20"/>
                <w:color w:val="auto"/>
              </w:rPr>
            </w:pPr>
            <w:r>
              <w:rPr>
                <w:rFonts w:ascii="Arial" w:cs="Arial" w:eastAsia="Arial" w:hAnsi="Arial"/>
                <w:sz w:val="12"/>
                <w:szCs w:val="12"/>
                <w:color w:val="auto"/>
              </w:rPr>
              <w:t>Stock Options</w:t>
            </w:r>
          </w:p>
        </w:tc>
        <w:tc>
          <w:tcPr>
            <w:tcW w:w="680" w:type="dxa"/>
            <w:vAlign w:val="bottom"/>
            <w:shd w:val="clear" w:color="auto" w:fill="D9D9D9"/>
          </w:tcPr>
          <w:p>
            <w:pPr>
              <w:jc w:val="center"/>
              <w:ind w:left="2"/>
              <w:spacing w:after="0"/>
              <w:rPr>
                <w:sz w:val="20"/>
                <w:szCs w:val="20"/>
                <w:color w:val="auto"/>
              </w:rPr>
            </w:pPr>
            <w:r>
              <w:rPr>
                <w:rFonts w:ascii="Arial" w:cs="Arial" w:eastAsia="Arial" w:hAnsi="Arial"/>
                <w:sz w:val="12"/>
                <w:szCs w:val="12"/>
                <w:color w:val="auto"/>
                <w:w w:val="98"/>
              </w:rPr>
              <w:t>12/16/21</w:t>
            </w:r>
          </w:p>
        </w:tc>
        <w:tc>
          <w:tcPr>
            <w:tcW w:w="720" w:type="dxa"/>
            <w:vAlign w:val="bottom"/>
            <w:shd w:val="clear" w:color="auto" w:fill="D9D9D9"/>
          </w:tcPr>
          <w:p>
            <w:pPr>
              <w:jc w:val="center"/>
              <w:spacing w:after="0"/>
              <w:rPr>
                <w:sz w:val="20"/>
                <w:szCs w:val="20"/>
                <w:color w:val="auto"/>
              </w:rPr>
            </w:pPr>
            <w:r>
              <w:rPr>
                <w:rFonts w:ascii="Arial" w:cs="Arial" w:eastAsia="Arial" w:hAnsi="Arial"/>
                <w:sz w:val="12"/>
                <w:szCs w:val="12"/>
                <w:color w:val="auto"/>
                <w:w w:val="94"/>
              </w:rPr>
              <w:t>12/14/21</w:t>
            </w:r>
          </w:p>
        </w:tc>
        <w:tc>
          <w:tcPr>
            <w:tcW w:w="740" w:type="dxa"/>
            <w:vAlign w:val="bottom"/>
            <w:shd w:val="clear" w:color="auto" w:fill="D9D9D9"/>
          </w:tcPr>
          <w:p>
            <w:pPr>
              <w:spacing w:after="0"/>
              <w:rPr>
                <w:sz w:val="12"/>
                <w:szCs w:val="12"/>
                <w:color w:val="auto"/>
              </w:rPr>
            </w:pPr>
          </w:p>
        </w:tc>
        <w:tc>
          <w:tcPr>
            <w:tcW w:w="720" w:type="dxa"/>
            <w:vAlign w:val="bottom"/>
            <w:shd w:val="clear" w:color="auto" w:fill="D9D9D9"/>
          </w:tcPr>
          <w:p>
            <w:pPr>
              <w:spacing w:after="0"/>
              <w:rPr>
                <w:sz w:val="12"/>
                <w:szCs w:val="12"/>
                <w:color w:val="auto"/>
              </w:rPr>
            </w:pPr>
          </w:p>
        </w:tc>
        <w:tc>
          <w:tcPr>
            <w:tcW w:w="640" w:type="dxa"/>
            <w:vAlign w:val="bottom"/>
            <w:shd w:val="clear" w:color="auto" w:fill="D9D9D9"/>
          </w:tcPr>
          <w:p>
            <w:pPr>
              <w:spacing w:after="0"/>
              <w:rPr>
                <w:sz w:val="12"/>
                <w:szCs w:val="12"/>
                <w:color w:val="auto"/>
              </w:rPr>
            </w:pPr>
          </w:p>
        </w:tc>
        <w:tc>
          <w:tcPr>
            <w:tcW w:w="700" w:type="dxa"/>
            <w:vAlign w:val="bottom"/>
            <w:shd w:val="clear" w:color="auto" w:fill="D9D9D9"/>
          </w:tcPr>
          <w:p>
            <w:pPr>
              <w:spacing w:after="0"/>
              <w:rPr>
                <w:sz w:val="12"/>
                <w:szCs w:val="12"/>
                <w:color w:val="auto"/>
              </w:rPr>
            </w:pPr>
          </w:p>
        </w:tc>
        <w:tc>
          <w:tcPr>
            <w:tcW w:w="700" w:type="dxa"/>
            <w:vAlign w:val="bottom"/>
            <w:shd w:val="clear" w:color="auto" w:fill="D9D9D9"/>
          </w:tcPr>
          <w:p>
            <w:pPr>
              <w:spacing w:after="0"/>
              <w:rPr>
                <w:sz w:val="12"/>
                <w:szCs w:val="12"/>
                <w:color w:val="auto"/>
              </w:rPr>
            </w:pPr>
          </w:p>
        </w:tc>
        <w:tc>
          <w:tcPr>
            <w:tcW w:w="74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860" w:type="dxa"/>
            <w:vAlign w:val="bottom"/>
            <w:shd w:val="clear" w:color="auto" w:fill="D9D9D9"/>
          </w:tcPr>
          <w:p>
            <w:pPr>
              <w:jc w:val="right"/>
              <w:ind w:right="42"/>
              <w:spacing w:after="0"/>
              <w:rPr>
                <w:sz w:val="20"/>
                <w:szCs w:val="20"/>
                <w:color w:val="auto"/>
              </w:rPr>
            </w:pPr>
            <w:r>
              <w:rPr>
                <w:rFonts w:ascii="Arial" w:cs="Arial" w:eastAsia="Arial" w:hAnsi="Arial"/>
                <w:sz w:val="12"/>
                <w:szCs w:val="12"/>
                <w:color w:val="auto"/>
              </w:rPr>
              <w:t>20,600</w:t>
            </w:r>
          </w:p>
        </w:tc>
        <w:tc>
          <w:tcPr>
            <w:tcW w:w="88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99.34</w:t>
            </w:r>
          </w:p>
        </w:tc>
        <w:tc>
          <w:tcPr>
            <w:tcW w:w="780" w:type="dxa"/>
            <w:vAlign w:val="bottom"/>
            <w:shd w:val="clear" w:color="auto" w:fill="D9D9D9"/>
          </w:tcPr>
          <w:p>
            <w:pPr>
              <w:jc w:val="right"/>
              <w:spacing w:after="0"/>
              <w:rPr>
                <w:sz w:val="20"/>
                <w:szCs w:val="20"/>
                <w:color w:val="auto"/>
              </w:rPr>
            </w:pPr>
            <w:r>
              <w:rPr>
                <w:rFonts w:ascii="Arial" w:cs="Arial" w:eastAsia="Arial" w:hAnsi="Arial"/>
                <w:sz w:val="12"/>
                <w:szCs w:val="12"/>
                <w:color w:val="auto"/>
              </w:rPr>
              <w:t>473,388</w:t>
            </w:r>
          </w:p>
        </w:tc>
      </w:tr>
      <w:tr>
        <w:trPr>
          <w:trHeight w:val="154"/>
        </w:trPr>
        <w:tc>
          <w:tcPr>
            <w:tcW w:w="2240" w:type="dxa"/>
            <w:vAlign w:val="bottom"/>
          </w:tcPr>
          <w:p>
            <w:pPr>
              <w:spacing w:after="0"/>
              <w:rPr>
                <w:sz w:val="20"/>
                <w:szCs w:val="20"/>
                <w:color w:val="auto"/>
              </w:rPr>
            </w:pPr>
            <w:r>
              <w:rPr>
                <w:rFonts w:ascii="Arial" w:cs="Arial" w:eastAsia="Arial" w:hAnsi="Arial"/>
                <w:sz w:val="12"/>
                <w:szCs w:val="12"/>
                <w:color w:val="auto"/>
              </w:rPr>
              <w:t>Amy E. Dahl</w:t>
            </w: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48"/>
        </w:trPr>
        <w:tc>
          <w:tcPr>
            <w:tcW w:w="2240" w:type="dxa"/>
            <w:vAlign w:val="bottom"/>
          </w:tcPr>
          <w:p>
            <w:pPr>
              <w:ind w:left="260"/>
              <w:spacing w:after="0"/>
              <w:rPr>
                <w:sz w:val="20"/>
                <w:szCs w:val="20"/>
                <w:color w:val="auto"/>
              </w:rPr>
            </w:pPr>
            <w:r>
              <w:rPr>
                <w:rFonts w:ascii="Arial" w:cs="Arial" w:eastAsia="Arial" w:hAnsi="Arial"/>
                <w:sz w:val="12"/>
                <w:szCs w:val="12"/>
                <w:color w:val="auto"/>
              </w:rPr>
              <w:t>Annual Cash Incentive</w:t>
            </w: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132,600</w:t>
            </w:r>
          </w:p>
        </w:tc>
        <w:tc>
          <w:tcPr>
            <w:tcW w:w="720" w:type="dxa"/>
            <w:vAlign w:val="bottom"/>
          </w:tcPr>
          <w:p>
            <w:pPr>
              <w:jc w:val="right"/>
              <w:ind w:right="62"/>
              <w:spacing w:after="0"/>
              <w:rPr>
                <w:sz w:val="20"/>
                <w:szCs w:val="20"/>
                <w:color w:val="auto"/>
              </w:rPr>
            </w:pPr>
            <w:r>
              <w:rPr>
                <w:rFonts w:ascii="Arial" w:cs="Arial" w:eastAsia="Arial" w:hAnsi="Arial"/>
                <w:sz w:val="12"/>
                <w:szCs w:val="12"/>
                <w:color w:val="auto"/>
              </w:rPr>
              <w:t>331,500</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663,000</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8"/>
        </w:trPr>
        <w:tc>
          <w:tcPr>
            <w:tcW w:w="2240" w:type="dxa"/>
            <w:vAlign w:val="bottom"/>
          </w:tcPr>
          <w:p>
            <w:pPr>
              <w:ind w:left="260"/>
              <w:spacing w:after="0"/>
              <w:rPr>
                <w:sz w:val="20"/>
                <w:szCs w:val="20"/>
                <w:color w:val="auto"/>
              </w:rPr>
            </w:pPr>
            <w:r>
              <w:rPr>
                <w:rFonts w:ascii="Arial" w:cs="Arial" w:eastAsia="Arial" w:hAnsi="Arial"/>
                <w:sz w:val="12"/>
                <w:szCs w:val="12"/>
                <w:color w:val="auto"/>
              </w:rPr>
              <w:t>Performance Shares</w:t>
            </w:r>
          </w:p>
        </w:tc>
        <w:tc>
          <w:tcPr>
            <w:tcW w:w="680" w:type="dxa"/>
            <w:vAlign w:val="bottom"/>
          </w:tcPr>
          <w:p>
            <w:pPr>
              <w:jc w:val="center"/>
              <w:ind w:left="2"/>
              <w:spacing w:after="0"/>
              <w:rPr>
                <w:sz w:val="20"/>
                <w:szCs w:val="20"/>
                <w:color w:val="auto"/>
              </w:rPr>
            </w:pPr>
            <w:r>
              <w:rPr>
                <w:rFonts w:ascii="Arial" w:cs="Arial" w:eastAsia="Arial" w:hAnsi="Arial"/>
                <w:sz w:val="12"/>
                <w:szCs w:val="12"/>
                <w:color w:val="auto"/>
                <w:w w:val="98"/>
              </w:rPr>
              <w:t>12/14/21</w:t>
            </w:r>
          </w:p>
        </w:tc>
        <w:tc>
          <w:tcPr>
            <w:tcW w:w="720" w:type="dxa"/>
            <w:vAlign w:val="bottom"/>
          </w:tcPr>
          <w:p>
            <w:pPr>
              <w:jc w:val="center"/>
              <w:spacing w:after="0"/>
              <w:rPr>
                <w:sz w:val="20"/>
                <w:szCs w:val="20"/>
                <w:color w:val="auto"/>
              </w:rPr>
            </w:pPr>
            <w:r>
              <w:rPr>
                <w:rFonts w:ascii="Arial" w:cs="Arial" w:eastAsia="Arial" w:hAnsi="Arial"/>
                <w:sz w:val="12"/>
                <w:szCs w:val="12"/>
                <w:color w:val="auto"/>
                <w:w w:val="94"/>
              </w:rPr>
              <w:t>12/14/21</w:t>
            </w: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1,560</w:t>
            </w: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3,900</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7,800</w:t>
            </w: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383,799</w:t>
            </w:r>
          </w:p>
        </w:tc>
      </w:tr>
      <w:tr>
        <w:trPr>
          <w:trHeight w:val="152"/>
        </w:trPr>
        <w:tc>
          <w:tcPr>
            <w:tcW w:w="2240" w:type="dxa"/>
            <w:vAlign w:val="bottom"/>
          </w:tcPr>
          <w:p>
            <w:pPr>
              <w:ind w:left="260"/>
              <w:spacing w:after="0"/>
              <w:rPr>
                <w:sz w:val="20"/>
                <w:szCs w:val="20"/>
                <w:color w:val="auto"/>
              </w:rPr>
            </w:pPr>
            <w:r>
              <w:rPr>
                <w:rFonts w:ascii="Arial" w:cs="Arial" w:eastAsia="Arial" w:hAnsi="Arial"/>
                <w:sz w:val="12"/>
                <w:szCs w:val="12"/>
                <w:color w:val="auto"/>
              </w:rPr>
              <w:t>Stock Options</w:t>
            </w:r>
          </w:p>
        </w:tc>
        <w:tc>
          <w:tcPr>
            <w:tcW w:w="680" w:type="dxa"/>
            <w:vAlign w:val="bottom"/>
          </w:tcPr>
          <w:p>
            <w:pPr>
              <w:jc w:val="center"/>
              <w:ind w:left="2"/>
              <w:spacing w:after="0"/>
              <w:rPr>
                <w:sz w:val="20"/>
                <w:szCs w:val="20"/>
                <w:color w:val="auto"/>
              </w:rPr>
            </w:pPr>
            <w:r>
              <w:rPr>
                <w:rFonts w:ascii="Arial" w:cs="Arial" w:eastAsia="Arial" w:hAnsi="Arial"/>
                <w:sz w:val="12"/>
                <w:szCs w:val="12"/>
                <w:color w:val="auto"/>
                <w:w w:val="98"/>
              </w:rPr>
              <w:t>12/16/21</w:t>
            </w:r>
          </w:p>
        </w:tc>
        <w:tc>
          <w:tcPr>
            <w:tcW w:w="720" w:type="dxa"/>
            <w:vAlign w:val="bottom"/>
          </w:tcPr>
          <w:p>
            <w:pPr>
              <w:jc w:val="center"/>
              <w:spacing w:after="0"/>
              <w:rPr>
                <w:sz w:val="20"/>
                <w:szCs w:val="20"/>
                <w:color w:val="auto"/>
              </w:rPr>
            </w:pPr>
            <w:r>
              <w:rPr>
                <w:rFonts w:ascii="Arial" w:cs="Arial" w:eastAsia="Arial" w:hAnsi="Arial"/>
                <w:sz w:val="12"/>
                <w:szCs w:val="12"/>
                <w:color w:val="auto"/>
                <w:w w:val="94"/>
              </w:rPr>
              <w:t>12/14/21</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jc w:val="right"/>
              <w:ind w:right="42"/>
              <w:spacing w:after="0"/>
              <w:rPr>
                <w:sz w:val="20"/>
                <w:szCs w:val="20"/>
                <w:color w:val="auto"/>
              </w:rPr>
            </w:pPr>
            <w:r>
              <w:rPr>
                <w:rFonts w:ascii="Arial" w:cs="Arial" w:eastAsia="Arial" w:hAnsi="Arial"/>
                <w:sz w:val="12"/>
                <w:szCs w:val="12"/>
                <w:color w:val="auto"/>
              </w:rPr>
              <w:t>16,900</w:t>
            </w:r>
          </w:p>
        </w:tc>
        <w:tc>
          <w:tcPr>
            <w:tcW w:w="880" w:type="dxa"/>
            <w:vAlign w:val="bottom"/>
          </w:tcPr>
          <w:p>
            <w:pPr>
              <w:jc w:val="right"/>
              <w:ind w:right="62"/>
              <w:spacing w:after="0"/>
              <w:rPr>
                <w:sz w:val="20"/>
                <w:szCs w:val="20"/>
                <w:color w:val="auto"/>
              </w:rPr>
            </w:pPr>
            <w:r>
              <w:rPr>
                <w:rFonts w:ascii="Arial" w:cs="Arial" w:eastAsia="Arial" w:hAnsi="Arial"/>
                <w:sz w:val="12"/>
                <w:szCs w:val="12"/>
                <w:color w:val="auto"/>
              </w:rPr>
              <w:t>99.34</w:t>
            </w:r>
          </w:p>
        </w:tc>
        <w:tc>
          <w:tcPr>
            <w:tcW w:w="780" w:type="dxa"/>
            <w:vAlign w:val="bottom"/>
          </w:tcPr>
          <w:p>
            <w:pPr>
              <w:jc w:val="right"/>
              <w:spacing w:after="0"/>
              <w:rPr>
                <w:sz w:val="20"/>
                <w:szCs w:val="20"/>
                <w:color w:val="auto"/>
              </w:rPr>
            </w:pPr>
            <w:r>
              <w:rPr>
                <w:rFonts w:ascii="Arial" w:cs="Arial" w:eastAsia="Arial" w:hAnsi="Arial"/>
                <w:sz w:val="12"/>
                <w:szCs w:val="12"/>
                <w:color w:val="auto"/>
              </w:rPr>
              <w:t>388,362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-2173605</wp:posOffset>
            </wp:positionV>
            <wp:extent cx="260604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606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62865</wp:posOffset>
            </wp:positionV>
            <wp:extent cx="20402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28" w:lineRule="exact"/>
        <w:rPr>
          <w:sz w:val="20"/>
          <w:szCs w:val="20"/>
          <w:color w:val="auto"/>
        </w:rPr>
      </w:pPr>
    </w:p>
    <w:p>
      <w:pPr>
        <w:ind w:left="400" w:right="360" w:hanging="392"/>
        <w:spacing w:after="0" w:line="266" w:lineRule="auto"/>
        <w:tabs>
          <w:tab w:leader="none" w:pos="4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Amounts reported represent the range of payouts of annual cash incentive awards for fiscal 2022. Actual payouts for fiscal 2022 are included in the “Summary Compensation Table” in the “Non-Equity Incentive Plan Compensation” column.</w:t>
      </w:r>
    </w:p>
    <w:p>
      <w:pPr>
        <w:ind w:left="400" w:right="140" w:hanging="392"/>
        <w:spacing w:after="0" w:line="253" w:lineRule="auto"/>
        <w:tabs>
          <w:tab w:leader="none" w:pos="4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Amounts reported represent the range of performance share award payouts for the fiscal 2022 to fiscal 2024 performance period. Information regarding the performance share awards is set forth within the “Compensation Discussion and Analysis” under “Long-Term Incentives—Performance Share Awards.”</w:t>
      </w:r>
    </w:p>
    <w:p>
      <w:pPr>
        <w:spacing w:after="0" w:line="6" w:lineRule="exact"/>
        <w:rPr>
          <w:rFonts w:ascii="Arial" w:cs="Arial" w:eastAsia="Arial" w:hAnsi="Arial"/>
          <w:sz w:val="18"/>
          <w:szCs w:val="18"/>
          <w:color w:val="auto"/>
        </w:rPr>
      </w:pPr>
    </w:p>
    <w:p>
      <w:pPr>
        <w:ind w:left="400" w:right="360" w:hanging="392"/>
        <w:spacing w:after="0" w:line="266" w:lineRule="auto"/>
        <w:tabs>
          <w:tab w:leader="none" w:pos="4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Amounts reported represent restricted stock units granted to Mr. Carpenter as a one-time grant in connection with his hiring to offset equity forfeited by departing his former employer.</w:t>
      </w:r>
    </w:p>
    <w:p>
      <w:pPr>
        <w:ind w:left="400" w:right="340" w:hanging="392"/>
        <w:spacing w:after="0" w:line="281" w:lineRule="auto"/>
        <w:tabs>
          <w:tab w:leader="none" w:pos="4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Amounts reported represent stock options granted during fiscal 2022, which grant date was December 16, 2021. All of these options have a ten-year term and vest in three equal installments on each of the first, second and third year anniversaries of the grant date.</w:t>
      </w:r>
    </w:p>
    <w:p>
      <w:pPr>
        <w:spacing w:after="0" w:line="1" w:lineRule="exact"/>
        <w:rPr>
          <w:rFonts w:ascii="Arial" w:cs="Arial" w:eastAsia="Arial" w:hAnsi="Arial"/>
          <w:sz w:val="17"/>
          <w:szCs w:val="17"/>
          <w:color w:val="auto"/>
        </w:rPr>
      </w:pPr>
    </w:p>
    <w:p>
      <w:pPr>
        <w:ind w:left="400" w:right="720" w:hanging="392"/>
        <w:spacing w:after="0" w:line="266" w:lineRule="auto"/>
        <w:tabs>
          <w:tab w:leader="none" w:pos="4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Amounts reported represent the exercise price of stock options granted during fiscal 2022, which equals the closing price of our common stock on December 16, 2021, of $99.34.</w:t>
      </w:r>
    </w:p>
    <w:p>
      <w:pPr>
        <w:ind w:left="400" w:hanging="392"/>
        <w:spacing w:after="0" w:line="239" w:lineRule="auto"/>
        <w:tabs>
          <w:tab w:leader="none" w:pos="4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Amounts reported represent the grant date fair value of performance share awards at target granted for the fiscal 2022 to fiscal 2024 performance period and option awards for all NEOs, each as computed in accordance with FASB ASC Topic 718. The grant date fair value of the performance share awards is based on the closing price of our common stock on December 14, 2021, the grant date, of $98.41. These amounts are also set forth in the “Summary Compensation Table” in the “Stock Awards” column. The grant date fair value of the option awards is based on a Black-Scholes model valuation of $22.98 per share for options granted on December 16, 2021. The grant date fair value of the restricted stock unit award granted to Mr. Carpenter is based on the closing price of our common stock on November 30, 2021, the grant date, of $100.56. These amounts are also set forth in the “Summary Compensation Table” in the “Stock Awards” column. The specific assumptions used in the valuation of the options are included in footnote 4 to the “Summary Compensation Table.” The option amounts are also set forth in the “Summary Compensation Table” in the “Option Awards” column.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Outstanding Equity Awards at Fiscal Year-End for 2022</w:t>
      </w:r>
    </w:p>
    <w:p>
      <w:pPr>
        <w:spacing w:after="0" w:line="99" w:lineRule="exact"/>
        <w:rPr>
          <w:sz w:val="20"/>
          <w:szCs w:val="20"/>
          <w:color w:val="auto"/>
        </w:rPr>
      </w:pPr>
    </w:p>
    <w:p>
      <w:pPr>
        <w:ind w:right="260" w:firstLine="401"/>
        <w:spacing w:after="0" w:line="253" w:lineRule="auto"/>
        <w:rPr>
          <w:sz w:val="20"/>
          <w:szCs w:val="20"/>
          <w:color w:val="auto"/>
        </w:rPr>
      </w:pPr>
      <w:r>
        <w:rPr>
          <w:rFonts w:ascii="Arial" w:cs="Arial" w:eastAsia="Arial" w:hAnsi="Arial"/>
          <w:sz w:val="18"/>
          <w:szCs w:val="18"/>
          <w:color w:val="auto"/>
        </w:rPr>
        <w:t>The following table summarizes all outstanding equity awards previously granted to our NEOs that were outstanding on October 31, 2022, the last day of fiscal 2022. Specifically, it reflects exercisable and unexercisable stock options, unvested restricted stock unit awards and unvested performance share awards.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shd w:val="clear" w:color="auto" w:fill="C00000"/>
          </w:tcPr>
          <w:p>
            <w:pPr>
              <w:spacing w:after="0"/>
              <w:rPr>
                <w:sz w:val="18"/>
                <w:szCs w:val="18"/>
                <w:color w:val="auto"/>
              </w:rPr>
            </w:pPr>
          </w:p>
        </w:tc>
        <w:tc>
          <w:tcPr>
            <w:tcW w:w="820" w:type="dxa"/>
            <w:vAlign w:val="bottom"/>
            <w:shd w:val="clear" w:color="auto" w:fill="C00000"/>
          </w:tcPr>
          <w:p>
            <w:pPr>
              <w:spacing w:after="0"/>
              <w:rPr>
                <w:sz w:val="18"/>
                <w:szCs w:val="18"/>
                <w:color w:val="auto"/>
              </w:rPr>
            </w:pPr>
          </w:p>
        </w:tc>
        <w:tc>
          <w:tcPr>
            <w:tcW w:w="180" w:type="dxa"/>
            <w:vAlign w:val="bottom"/>
            <w:shd w:val="clear" w:color="auto" w:fill="C00000"/>
          </w:tcPr>
          <w:p>
            <w:pPr>
              <w:spacing w:after="0"/>
              <w:rPr>
                <w:sz w:val="18"/>
                <w:szCs w:val="18"/>
                <w:color w:val="auto"/>
              </w:rPr>
            </w:pPr>
          </w:p>
        </w:tc>
        <w:tc>
          <w:tcPr>
            <w:tcW w:w="2080" w:type="dxa"/>
            <w:vAlign w:val="bottom"/>
            <w:gridSpan w:val="2"/>
            <w:shd w:val="clear" w:color="auto" w:fill="C00000"/>
          </w:tcPr>
          <w:p>
            <w:pPr>
              <w:jc w:val="right"/>
              <w:ind w:right="537"/>
              <w:spacing w:after="0"/>
              <w:rPr>
                <w:sz w:val="20"/>
                <w:szCs w:val="20"/>
                <w:color w:val="auto"/>
              </w:rPr>
            </w:pPr>
            <w:r>
              <w:rPr>
                <w:rFonts w:ascii="Arial" w:cs="Arial" w:eastAsia="Arial" w:hAnsi="Arial"/>
                <w:sz w:val="11"/>
                <w:szCs w:val="11"/>
                <w:b w:val="1"/>
                <w:bCs w:val="1"/>
                <w:color w:val="FFFFFF"/>
              </w:rPr>
              <w:t>Option Awards</w:t>
            </w:r>
          </w:p>
        </w:tc>
        <w:tc>
          <w:tcPr>
            <w:tcW w:w="1020" w:type="dxa"/>
            <w:vAlign w:val="bottom"/>
            <w:shd w:val="clear" w:color="auto" w:fill="C00000"/>
          </w:tcPr>
          <w:p>
            <w:pPr>
              <w:spacing w:after="0"/>
              <w:rPr>
                <w:sz w:val="18"/>
                <w:szCs w:val="18"/>
                <w:color w:val="auto"/>
              </w:rPr>
            </w:pPr>
          </w:p>
        </w:tc>
        <w:tc>
          <w:tcPr>
            <w:tcW w:w="100" w:type="dxa"/>
            <w:vAlign w:val="bottom"/>
            <w:shd w:val="clear" w:color="auto" w:fill="C00000"/>
          </w:tcPr>
          <w:p>
            <w:pPr>
              <w:spacing w:after="0"/>
              <w:rPr>
                <w:sz w:val="18"/>
                <w:szCs w:val="18"/>
                <w:color w:val="auto"/>
              </w:rPr>
            </w:pPr>
          </w:p>
        </w:tc>
        <w:tc>
          <w:tcPr>
            <w:tcW w:w="840" w:type="dxa"/>
            <w:vAlign w:val="bottom"/>
            <w:shd w:val="clear" w:color="auto" w:fill="C00000"/>
          </w:tcPr>
          <w:p>
            <w:pPr>
              <w:spacing w:after="0"/>
              <w:rPr>
                <w:sz w:val="18"/>
                <w:szCs w:val="18"/>
                <w:color w:val="auto"/>
              </w:rPr>
            </w:pPr>
          </w:p>
        </w:tc>
        <w:tc>
          <w:tcPr>
            <w:tcW w:w="100" w:type="dxa"/>
            <w:vAlign w:val="bottom"/>
            <w:shd w:val="clear" w:color="auto" w:fill="C00000"/>
          </w:tcPr>
          <w:p>
            <w:pPr>
              <w:spacing w:after="0"/>
              <w:rPr>
                <w:sz w:val="18"/>
                <w:szCs w:val="18"/>
                <w:color w:val="auto"/>
              </w:rPr>
            </w:pPr>
          </w:p>
        </w:tc>
        <w:tc>
          <w:tcPr>
            <w:tcW w:w="900" w:type="dxa"/>
            <w:vAlign w:val="bottom"/>
            <w:shd w:val="clear" w:color="auto" w:fill="C00000"/>
          </w:tcPr>
          <w:p>
            <w:pPr>
              <w:spacing w:after="0"/>
              <w:rPr>
                <w:sz w:val="18"/>
                <w:szCs w:val="18"/>
                <w:color w:val="auto"/>
              </w:rPr>
            </w:pPr>
          </w:p>
        </w:tc>
        <w:tc>
          <w:tcPr>
            <w:tcW w:w="1540" w:type="dxa"/>
            <w:vAlign w:val="bottom"/>
            <w:shd w:val="clear" w:color="auto" w:fill="C00000"/>
          </w:tcPr>
          <w:p>
            <w:pPr>
              <w:jc w:val="right"/>
              <w:ind w:right="640"/>
              <w:spacing w:after="0"/>
              <w:rPr>
                <w:sz w:val="20"/>
                <w:szCs w:val="20"/>
                <w:color w:val="auto"/>
              </w:rPr>
            </w:pPr>
            <w:r>
              <w:rPr>
                <w:rFonts w:ascii="Arial" w:cs="Arial" w:eastAsia="Arial" w:hAnsi="Arial"/>
                <w:sz w:val="11"/>
                <w:szCs w:val="11"/>
                <w:b w:val="1"/>
                <w:bCs w:val="1"/>
                <w:color w:val="FFFFFF"/>
              </w:rPr>
              <w:t>Stock Awards</w:t>
            </w:r>
          </w:p>
        </w:tc>
        <w:tc>
          <w:tcPr>
            <w:tcW w:w="1260" w:type="dxa"/>
            <w:vAlign w:val="bottom"/>
            <w:shd w:val="clear" w:color="auto" w:fill="C00000"/>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400" w:type="dxa"/>
            <w:vAlign w:val="bottom"/>
            <w:shd w:val="clear" w:color="auto" w:fill="C00000"/>
          </w:tcPr>
          <w:p>
            <w:pPr>
              <w:spacing w:after="0"/>
              <w:rPr>
                <w:sz w:val="13"/>
                <w:szCs w:val="13"/>
                <w:color w:val="auto"/>
              </w:rPr>
            </w:pPr>
          </w:p>
        </w:tc>
        <w:tc>
          <w:tcPr>
            <w:tcW w:w="820" w:type="dxa"/>
            <w:vAlign w:val="bottom"/>
            <w:shd w:val="clear" w:color="auto" w:fill="C00000"/>
          </w:tcPr>
          <w:p>
            <w:pPr>
              <w:spacing w:after="0"/>
              <w:rPr>
                <w:sz w:val="13"/>
                <w:szCs w:val="13"/>
                <w:color w:val="auto"/>
              </w:rPr>
            </w:pPr>
          </w:p>
        </w:tc>
        <w:tc>
          <w:tcPr>
            <w:tcW w:w="180" w:type="dxa"/>
            <w:vAlign w:val="bottom"/>
            <w:shd w:val="clear" w:color="auto" w:fill="C00000"/>
          </w:tcPr>
          <w:p>
            <w:pPr>
              <w:spacing w:after="0"/>
              <w:rPr>
                <w:sz w:val="13"/>
                <w:szCs w:val="13"/>
                <w:color w:val="auto"/>
              </w:rPr>
            </w:pPr>
          </w:p>
        </w:tc>
        <w:tc>
          <w:tcPr>
            <w:tcW w:w="1040" w:type="dxa"/>
            <w:vAlign w:val="bottom"/>
            <w:shd w:val="clear" w:color="auto" w:fill="C00000"/>
          </w:tcPr>
          <w:p>
            <w:pPr>
              <w:spacing w:after="0"/>
              <w:rPr>
                <w:sz w:val="13"/>
                <w:szCs w:val="13"/>
                <w:color w:val="auto"/>
              </w:rPr>
            </w:pPr>
          </w:p>
        </w:tc>
        <w:tc>
          <w:tcPr>
            <w:tcW w:w="1040" w:type="dxa"/>
            <w:vAlign w:val="bottom"/>
            <w:shd w:val="clear" w:color="auto" w:fill="C00000"/>
          </w:tcPr>
          <w:p>
            <w:pPr>
              <w:spacing w:after="0"/>
              <w:rPr>
                <w:sz w:val="13"/>
                <w:szCs w:val="13"/>
                <w:color w:val="auto"/>
              </w:rPr>
            </w:pPr>
          </w:p>
        </w:tc>
        <w:tc>
          <w:tcPr>
            <w:tcW w:w="1020" w:type="dxa"/>
            <w:vAlign w:val="bottom"/>
            <w:shd w:val="clear" w:color="auto" w:fill="C00000"/>
          </w:tcPr>
          <w:p>
            <w:pPr>
              <w:spacing w:after="0"/>
              <w:rPr>
                <w:sz w:val="13"/>
                <w:szCs w:val="13"/>
                <w:color w:val="auto"/>
              </w:rPr>
            </w:pPr>
          </w:p>
        </w:tc>
        <w:tc>
          <w:tcPr>
            <w:tcW w:w="100" w:type="dxa"/>
            <w:vAlign w:val="bottom"/>
            <w:shd w:val="clear" w:color="auto" w:fill="C00000"/>
          </w:tcPr>
          <w:p>
            <w:pPr>
              <w:spacing w:after="0"/>
              <w:rPr>
                <w:sz w:val="13"/>
                <w:szCs w:val="13"/>
                <w:color w:val="auto"/>
              </w:rPr>
            </w:pPr>
          </w:p>
        </w:tc>
        <w:tc>
          <w:tcPr>
            <w:tcW w:w="840" w:type="dxa"/>
            <w:vAlign w:val="bottom"/>
            <w:shd w:val="clear" w:color="auto" w:fill="C00000"/>
          </w:tcPr>
          <w:p>
            <w:pPr>
              <w:spacing w:after="0"/>
              <w:rPr>
                <w:sz w:val="13"/>
                <w:szCs w:val="13"/>
                <w:color w:val="auto"/>
              </w:rPr>
            </w:pPr>
          </w:p>
        </w:tc>
        <w:tc>
          <w:tcPr>
            <w:tcW w:w="100" w:type="dxa"/>
            <w:vAlign w:val="bottom"/>
            <w:shd w:val="clear" w:color="auto" w:fill="C00000"/>
          </w:tcPr>
          <w:p>
            <w:pPr>
              <w:spacing w:after="0"/>
              <w:rPr>
                <w:sz w:val="13"/>
                <w:szCs w:val="13"/>
                <w:color w:val="auto"/>
              </w:rPr>
            </w:pPr>
          </w:p>
        </w:tc>
        <w:tc>
          <w:tcPr>
            <w:tcW w:w="900" w:type="dxa"/>
            <w:vAlign w:val="bottom"/>
            <w:shd w:val="clear" w:color="auto" w:fill="C00000"/>
          </w:tcPr>
          <w:p>
            <w:pPr>
              <w:spacing w:after="0"/>
              <w:rPr>
                <w:sz w:val="13"/>
                <w:szCs w:val="13"/>
                <w:color w:val="auto"/>
              </w:rPr>
            </w:pPr>
          </w:p>
        </w:tc>
        <w:tc>
          <w:tcPr>
            <w:tcW w:w="1540" w:type="dxa"/>
            <w:vAlign w:val="bottom"/>
            <w:vMerge w:val="restart"/>
            <w:shd w:val="clear" w:color="auto" w:fill="C00000"/>
          </w:tcPr>
          <w:p>
            <w:pPr>
              <w:jc w:val="center"/>
              <w:spacing w:after="0"/>
              <w:rPr>
                <w:sz w:val="20"/>
                <w:szCs w:val="20"/>
                <w:color w:val="auto"/>
              </w:rPr>
            </w:pPr>
            <w:r>
              <w:rPr>
                <w:rFonts w:ascii="Arial" w:cs="Arial" w:eastAsia="Arial" w:hAnsi="Arial"/>
                <w:sz w:val="12"/>
                <w:szCs w:val="12"/>
                <w:b w:val="1"/>
                <w:bCs w:val="1"/>
                <w:color w:val="FFFFFF"/>
                <w:w w:val="98"/>
              </w:rPr>
              <w:t>Equity</w:t>
            </w:r>
          </w:p>
        </w:tc>
        <w:tc>
          <w:tcPr>
            <w:tcW w:w="1260" w:type="dxa"/>
            <w:vAlign w:val="bottom"/>
            <w:shd w:val="clear" w:color="auto" w:fill="C00000"/>
          </w:tcPr>
          <w:p>
            <w:pPr>
              <w:jc w:val="center"/>
              <w:spacing w:after="0"/>
              <w:rPr>
                <w:sz w:val="20"/>
                <w:szCs w:val="20"/>
                <w:color w:val="auto"/>
              </w:rPr>
            </w:pPr>
            <w:r>
              <w:rPr>
                <w:rFonts w:ascii="Arial" w:cs="Arial" w:eastAsia="Arial" w:hAnsi="Arial"/>
                <w:sz w:val="12"/>
                <w:szCs w:val="12"/>
                <w:b w:val="1"/>
                <w:bCs w:val="1"/>
                <w:color w:val="FFFFFF"/>
                <w:w w:val="98"/>
              </w:rPr>
              <w:t>Equity</w:t>
            </w:r>
          </w:p>
        </w:tc>
        <w:tc>
          <w:tcPr>
            <w:tcW w:w="0" w:type="dxa"/>
            <w:vAlign w:val="bottom"/>
          </w:tcPr>
          <w:p>
            <w:pPr>
              <w:spacing w:after="0"/>
              <w:rPr>
                <w:sz w:val="1"/>
                <w:szCs w:val="1"/>
                <w:color w:val="auto"/>
              </w:rPr>
            </w:pPr>
          </w:p>
        </w:tc>
      </w:tr>
      <w:tr>
        <w:trPr>
          <w:trHeight w:val="121"/>
        </w:trPr>
        <w:tc>
          <w:tcPr>
            <w:tcW w:w="2400" w:type="dxa"/>
            <w:vAlign w:val="bottom"/>
            <w:shd w:val="clear" w:color="auto" w:fill="C00000"/>
          </w:tcPr>
          <w:p>
            <w:pPr>
              <w:spacing w:after="0"/>
              <w:rPr>
                <w:sz w:val="10"/>
                <w:szCs w:val="10"/>
                <w:color w:val="auto"/>
              </w:rPr>
            </w:pPr>
          </w:p>
        </w:tc>
        <w:tc>
          <w:tcPr>
            <w:tcW w:w="820" w:type="dxa"/>
            <w:vAlign w:val="bottom"/>
            <w:shd w:val="clear" w:color="auto" w:fill="C00000"/>
          </w:tcPr>
          <w:p>
            <w:pPr>
              <w:spacing w:after="0"/>
              <w:rPr>
                <w:sz w:val="10"/>
                <w:szCs w:val="10"/>
                <w:color w:val="auto"/>
              </w:rPr>
            </w:pPr>
          </w:p>
        </w:tc>
        <w:tc>
          <w:tcPr>
            <w:tcW w:w="180" w:type="dxa"/>
            <w:vAlign w:val="bottom"/>
            <w:shd w:val="clear" w:color="auto" w:fill="C00000"/>
          </w:tcPr>
          <w:p>
            <w:pPr>
              <w:spacing w:after="0"/>
              <w:rPr>
                <w:sz w:val="10"/>
                <w:szCs w:val="10"/>
                <w:color w:val="auto"/>
              </w:rPr>
            </w:pPr>
          </w:p>
        </w:tc>
        <w:tc>
          <w:tcPr>
            <w:tcW w:w="1040" w:type="dxa"/>
            <w:vAlign w:val="bottom"/>
            <w:shd w:val="clear" w:color="auto" w:fill="C00000"/>
          </w:tcPr>
          <w:p>
            <w:pPr>
              <w:spacing w:after="0"/>
              <w:rPr>
                <w:sz w:val="10"/>
                <w:szCs w:val="10"/>
                <w:color w:val="auto"/>
              </w:rPr>
            </w:pPr>
          </w:p>
        </w:tc>
        <w:tc>
          <w:tcPr>
            <w:tcW w:w="1040" w:type="dxa"/>
            <w:vAlign w:val="bottom"/>
            <w:shd w:val="clear" w:color="auto" w:fill="C00000"/>
          </w:tcPr>
          <w:p>
            <w:pPr>
              <w:spacing w:after="0"/>
              <w:rPr>
                <w:sz w:val="10"/>
                <w:szCs w:val="10"/>
                <w:color w:val="auto"/>
              </w:rPr>
            </w:pPr>
          </w:p>
        </w:tc>
        <w:tc>
          <w:tcPr>
            <w:tcW w:w="1020" w:type="dxa"/>
            <w:vAlign w:val="bottom"/>
            <w:shd w:val="clear" w:color="auto" w:fill="C00000"/>
          </w:tcPr>
          <w:p>
            <w:pPr>
              <w:spacing w:after="0"/>
              <w:rPr>
                <w:sz w:val="10"/>
                <w:szCs w:val="10"/>
                <w:color w:val="auto"/>
              </w:rPr>
            </w:pPr>
          </w:p>
        </w:tc>
        <w:tc>
          <w:tcPr>
            <w:tcW w:w="100" w:type="dxa"/>
            <w:vAlign w:val="bottom"/>
            <w:shd w:val="clear" w:color="auto" w:fill="C00000"/>
          </w:tcPr>
          <w:p>
            <w:pPr>
              <w:spacing w:after="0"/>
              <w:rPr>
                <w:sz w:val="10"/>
                <w:szCs w:val="10"/>
                <w:color w:val="auto"/>
              </w:rPr>
            </w:pPr>
          </w:p>
        </w:tc>
        <w:tc>
          <w:tcPr>
            <w:tcW w:w="840" w:type="dxa"/>
            <w:vAlign w:val="bottom"/>
            <w:shd w:val="clear" w:color="auto" w:fill="C00000"/>
          </w:tcPr>
          <w:p>
            <w:pPr>
              <w:spacing w:after="0"/>
              <w:rPr>
                <w:sz w:val="10"/>
                <w:szCs w:val="10"/>
                <w:color w:val="auto"/>
              </w:rPr>
            </w:pPr>
          </w:p>
        </w:tc>
        <w:tc>
          <w:tcPr>
            <w:tcW w:w="100" w:type="dxa"/>
            <w:vAlign w:val="bottom"/>
            <w:shd w:val="clear" w:color="auto" w:fill="C00000"/>
          </w:tcPr>
          <w:p>
            <w:pPr>
              <w:spacing w:after="0"/>
              <w:rPr>
                <w:sz w:val="10"/>
                <w:szCs w:val="10"/>
                <w:color w:val="auto"/>
              </w:rPr>
            </w:pPr>
          </w:p>
        </w:tc>
        <w:tc>
          <w:tcPr>
            <w:tcW w:w="900" w:type="dxa"/>
            <w:vAlign w:val="bottom"/>
            <w:shd w:val="clear" w:color="auto" w:fill="C00000"/>
          </w:tcPr>
          <w:p>
            <w:pPr>
              <w:spacing w:after="0"/>
              <w:rPr>
                <w:sz w:val="10"/>
                <w:szCs w:val="10"/>
                <w:color w:val="auto"/>
              </w:rPr>
            </w:pPr>
          </w:p>
        </w:tc>
        <w:tc>
          <w:tcPr>
            <w:tcW w:w="1540" w:type="dxa"/>
            <w:vAlign w:val="bottom"/>
            <w:vMerge w:val="continue"/>
            <w:shd w:val="clear" w:color="auto" w:fill="C00000"/>
          </w:tcPr>
          <w:p>
            <w:pPr>
              <w:spacing w:after="0"/>
              <w:rPr>
                <w:sz w:val="10"/>
                <w:szCs w:val="10"/>
                <w:color w:val="auto"/>
              </w:rPr>
            </w:pPr>
          </w:p>
        </w:tc>
        <w:tc>
          <w:tcPr>
            <w:tcW w:w="1260" w:type="dxa"/>
            <w:vAlign w:val="bottom"/>
            <w:shd w:val="clear" w:color="auto" w:fill="C00000"/>
          </w:tcPr>
          <w:p>
            <w:pPr>
              <w:jc w:val="center"/>
              <w:spacing w:after="0" w:line="122" w:lineRule="exact"/>
              <w:rPr>
                <w:sz w:val="20"/>
                <w:szCs w:val="20"/>
                <w:color w:val="auto"/>
              </w:rPr>
            </w:pPr>
            <w:r>
              <w:rPr>
                <w:rFonts w:ascii="Arial" w:cs="Arial" w:eastAsia="Arial" w:hAnsi="Arial"/>
                <w:sz w:val="12"/>
                <w:szCs w:val="12"/>
                <w:b w:val="1"/>
                <w:bCs w:val="1"/>
                <w:color w:val="FFFFFF"/>
                <w:w w:val="99"/>
              </w:rPr>
              <w:t>Incentive</w:t>
            </w:r>
          </w:p>
        </w:tc>
        <w:tc>
          <w:tcPr>
            <w:tcW w:w="0" w:type="dxa"/>
            <w:vAlign w:val="bottom"/>
          </w:tcPr>
          <w:p>
            <w:pPr>
              <w:spacing w:after="0"/>
              <w:rPr>
                <w:sz w:val="1"/>
                <w:szCs w:val="1"/>
                <w:color w:val="auto"/>
              </w:rPr>
            </w:pPr>
          </w:p>
        </w:tc>
      </w:tr>
      <w:tr>
        <w:trPr>
          <w:trHeight w:val="135"/>
        </w:trPr>
        <w:tc>
          <w:tcPr>
            <w:tcW w:w="2400" w:type="dxa"/>
            <w:vAlign w:val="bottom"/>
            <w:shd w:val="clear" w:color="auto" w:fill="C00000"/>
          </w:tcPr>
          <w:p>
            <w:pPr>
              <w:spacing w:after="0"/>
              <w:rPr>
                <w:sz w:val="11"/>
                <w:szCs w:val="11"/>
                <w:color w:val="auto"/>
              </w:rPr>
            </w:pPr>
          </w:p>
        </w:tc>
        <w:tc>
          <w:tcPr>
            <w:tcW w:w="820" w:type="dxa"/>
            <w:vAlign w:val="bottom"/>
            <w:shd w:val="clear" w:color="auto" w:fill="C00000"/>
          </w:tcPr>
          <w:p>
            <w:pPr>
              <w:spacing w:after="0"/>
              <w:rPr>
                <w:sz w:val="11"/>
                <w:szCs w:val="11"/>
                <w:color w:val="auto"/>
              </w:rPr>
            </w:pPr>
          </w:p>
        </w:tc>
        <w:tc>
          <w:tcPr>
            <w:tcW w:w="180" w:type="dxa"/>
            <w:vAlign w:val="bottom"/>
            <w:shd w:val="clear" w:color="auto" w:fill="C00000"/>
          </w:tcPr>
          <w:p>
            <w:pPr>
              <w:spacing w:after="0"/>
              <w:rPr>
                <w:sz w:val="11"/>
                <w:szCs w:val="11"/>
                <w:color w:val="auto"/>
              </w:rPr>
            </w:pPr>
          </w:p>
        </w:tc>
        <w:tc>
          <w:tcPr>
            <w:tcW w:w="1040" w:type="dxa"/>
            <w:vAlign w:val="bottom"/>
            <w:shd w:val="clear" w:color="auto" w:fill="C00000"/>
          </w:tcPr>
          <w:p>
            <w:pPr>
              <w:spacing w:after="0"/>
              <w:rPr>
                <w:sz w:val="11"/>
                <w:szCs w:val="11"/>
                <w:color w:val="auto"/>
              </w:rPr>
            </w:pPr>
          </w:p>
        </w:tc>
        <w:tc>
          <w:tcPr>
            <w:tcW w:w="1040" w:type="dxa"/>
            <w:vAlign w:val="bottom"/>
            <w:shd w:val="clear" w:color="auto" w:fill="C00000"/>
          </w:tcPr>
          <w:p>
            <w:pPr>
              <w:spacing w:after="0"/>
              <w:rPr>
                <w:sz w:val="11"/>
                <w:szCs w:val="11"/>
                <w:color w:val="auto"/>
              </w:rPr>
            </w:pPr>
          </w:p>
        </w:tc>
        <w:tc>
          <w:tcPr>
            <w:tcW w:w="1020" w:type="dxa"/>
            <w:vAlign w:val="bottom"/>
            <w:shd w:val="clear" w:color="auto" w:fill="C00000"/>
          </w:tcPr>
          <w:p>
            <w:pPr>
              <w:spacing w:after="0"/>
              <w:rPr>
                <w:sz w:val="11"/>
                <w:szCs w:val="11"/>
                <w:color w:val="auto"/>
              </w:rPr>
            </w:pPr>
          </w:p>
        </w:tc>
        <w:tc>
          <w:tcPr>
            <w:tcW w:w="100" w:type="dxa"/>
            <w:vAlign w:val="bottom"/>
            <w:shd w:val="clear" w:color="auto" w:fill="C00000"/>
          </w:tcPr>
          <w:p>
            <w:pPr>
              <w:spacing w:after="0"/>
              <w:rPr>
                <w:sz w:val="11"/>
                <w:szCs w:val="11"/>
                <w:color w:val="auto"/>
              </w:rPr>
            </w:pPr>
          </w:p>
        </w:tc>
        <w:tc>
          <w:tcPr>
            <w:tcW w:w="840" w:type="dxa"/>
            <w:vAlign w:val="bottom"/>
            <w:shd w:val="clear" w:color="auto" w:fill="C00000"/>
          </w:tcPr>
          <w:p>
            <w:pPr>
              <w:spacing w:after="0"/>
              <w:rPr>
                <w:sz w:val="11"/>
                <w:szCs w:val="11"/>
                <w:color w:val="auto"/>
              </w:rPr>
            </w:pPr>
          </w:p>
        </w:tc>
        <w:tc>
          <w:tcPr>
            <w:tcW w:w="100" w:type="dxa"/>
            <w:vAlign w:val="bottom"/>
            <w:shd w:val="clear" w:color="auto" w:fill="C00000"/>
          </w:tcPr>
          <w:p>
            <w:pPr>
              <w:spacing w:after="0"/>
              <w:rPr>
                <w:sz w:val="11"/>
                <w:szCs w:val="11"/>
                <w:color w:val="auto"/>
              </w:rPr>
            </w:pPr>
          </w:p>
        </w:tc>
        <w:tc>
          <w:tcPr>
            <w:tcW w:w="900" w:type="dxa"/>
            <w:vAlign w:val="bottom"/>
            <w:shd w:val="clear" w:color="auto" w:fill="C00000"/>
          </w:tcPr>
          <w:p>
            <w:pPr>
              <w:spacing w:after="0"/>
              <w:rPr>
                <w:sz w:val="11"/>
                <w:szCs w:val="11"/>
                <w:color w:val="auto"/>
              </w:rPr>
            </w:pPr>
          </w:p>
        </w:tc>
        <w:tc>
          <w:tcPr>
            <w:tcW w:w="1540" w:type="dxa"/>
            <w:vAlign w:val="bottom"/>
            <w:shd w:val="clear" w:color="auto" w:fill="C00000"/>
          </w:tcPr>
          <w:p>
            <w:pPr>
              <w:jc w:val="center"/>
              <w:ind w:right="20"/>
              <w:spacing w:after="0" w:line="135" w:lineRule="exact"/>
              <w:rPr>
                <w:sz w:val="20"/>
                <w:szCs w:val="20"/>
                <w:color w:val="auto"/>
              </w:rPr>
            </w:pPr>
            <w:r>
              <w:rPr>
                <w:rFonts w:ascii="Arial" w:cs="Arial" w:eastAsia="Arial" w:hAnsi="Arial"/>
                <w:sz w:val="12"/>
                <w:szCs w:val="12"/>
                <w:b w:val="1"/>
                <w:bCs w:val="1"/>
                <w:color w:val="FFFFFF"/>
                <w:w w:val="96"/>
              </w:rPr>
              <w:t>Incentive</w:t>
            </w:r>
          </w:p>
        </w:tc>
        <w:tc>
          <w:tcPr>
            <w:tcW w:w="1260" w:type="dxa"/>
            <w:vAlign w:val="bottom"/>
            <w:shd w:val="clear" w:color="auto" w:fill="C00000"/>
          </w:tcPr>
          <w:p>
            <w:pPr>
              <w:jc w:val="center"/>
              <w:ind w:right="20"/>
              <w:spacing w:after="0" w:line="135" w:lineRule="exact"/>
              <w:rPr>
                <w:sz w:val="20"/>
                <w:szCs w:val="20"/>
                <w:color w:val="auto"/>
              </w:rPr>
            </w:pPr>
            <w:r>
              <w:rPr>
                <w:rFonts w:ascii="Arial" w:cs="Arial" w:eastAsia="Arial" w:hAnsi="Arial"/>
                <w:sz w:val="12"/>
                <w:szCs w:val="12"/>
                <w:b w:val="1"/>
                <w:bCs w:val="1"/>
                <w:color w:val="FFFFFF"/>
                <w:w w:val="97"/>
              </w:rPr>
              <w:t>Plan Awards:</w:t>
            </w:r>
          </w:p>
        </w:tc>
        <w:tc>
          <w:tcPr>
            <w:tcW w:w="0" w:type="dxa"/>
            <w:vAlign w:val="bottom"/>
          </w:tcPr>
          <w:p>
            <w:pPr>
              <w:spacing w:after="0"/>
              <w:rPr>
                <w:sz w:val="1"/>
                <w:szCs w:val="1"/>
                <w:color w:val="auto"/>
              </w:rPr>
            </w:pPr>
          </w:p>
        </w:tc>
      </w:tr>
      <w:tr>
        <w:trPr>
          <w:trHeight w:val="135"/>
        </w:trPr>
        <w:tc>
          <w:tcPr>
            <w:tcW w:w="2400" w:type="dxa"/>
            <w:vAlign w:val="bottom"/>
            <w:shd w:val="clear" w:color="auto" w:fill="C00000"/>
          </w:tcPr>
          <w:p>
            <w:pPr>
              <w:spacing w:after="0"/>
              <w:rPr>
                <w:sz w:val="11"/>
                <w:szCs w:val="11"/>
                <w:color w:val="auto"/>
              </w:rPr>
            </w:pPr>
          </w:p>
        </w:tc>
        <w:tc>
          <w:tcPr>
            <w:tcW w:w="820" w:type="dxa"/>
            <w:vAlign w:val="bottom"/>
            <w:shd w:val="clear" w:color="auto" w:fill="C00000"/>
          </w:tcPr>
          <w:p>
            <w:pPr>
              <w:spacing w:after="0"/>
              <w:rPr>
                <w:sz w:val="11"/>
                <w:szCs w:val="11"/>
                <w:color w:val="auto"/>
              </w:rPr>
            </w:pPr>
          </w:p>
        </w:tc>
        <w:tc>
          <w:tcPr>
            <w:tcW w:w="180" w:type="dxa"/>
            <w:vAlign w:val="bottom"/>
            <w:shd w:val="clear" w:color="auto" w:fill="C00000"/>
          </w:tcPr>
          <w:p>
            <w:pPr>
              <w:spacing w:after="0"/>
              <w:rPr>
                <w:sz w:val="11"/>
                <w:szCs w:val="11"/>
                <w:color w:val="auto"/>
              </w:rPr>
            </w:pPr>
          </w:p>
        </w:tc>
        <w:tc>
          <w:tcPr>
            <w:tcW w:w="1040" w:type="dxa"/>
            <w:vAlign w:val="bottom"/>
            <w:shd w:val="clear" w:color="auto" w:fill="C00000"/>
          </w:tcPr>
          <w:p>
            <w:pPr>
              <w:spacing w:after="0"/>
              <w:rPr>
                <w:sz w:val="11"/>
                <w:szCs w:val="11"/>
                <w:color w:val="auto"/>
              </w:rPr>
            </w:pPr>
          </w:p>
        </w:tc>
        <w:tc>
          <w:tcPr>
            <w:tcW w:w="1040" w:type="dxa"/>
            <w:vAlign w:val="bottom"/>
            <w:shd w:val="clear" w:color="auto" w:fill="C00000"/>
          </w:tcPr>
          <w:p>
            <w:pPr>
              <w:spacing w:after="0"/>
              <w:rPr>
                <w:sz w:val="11"/>
                <w:szCs w:val="11"/>
                <w:color w:val="auto"/>
              </w:rPr>
            </w:pPr>
          </w:p>
        </w:tc>
        <w:tc>
          <w:tcPr>
            <w:tcW w:w="1020" w:type="dxa"/>
            <w:vAlign w:val="bottom"/>
            <w:shd w:val="clear" w:color="auto" w:fill="C00000"/>
          </w:tcPr>
          <w:p>
            <w:pPr>
              <w:spacing w:after="0"/>
              <w:rPr>
                <w:sz w:val="11"/>
                <w:szCs w:val="11"/>
                <w:color w:val="auto"/>
              </w:rPr>
            </w:pPr>
          </w:p>
        </w:tc>
        <w:tc>
          <w:tcPr>
            <w:tcW w:w="100" w:type="dxa"/>
            <w:vAlign w:val="bottom"/>
            <w:shd w:val="clear" w:color="auto" w:fill="C00000"/>
          </w:tcPr>
          <w:p>
            <w:pPr>
              <w:spacing w:after="0"/>
              <w:rPr>
                <w:sz w:val="11"/>
                <w:szCs w:val="11"/>
                <w:color w:val="auto"/>
              </w:rPr>
            </w:pPr>
          </w:p>
        </w:tc>
        <w:tc>
          <w:tcPr>
            <w:tcW w:w="840" w:type="dxa"/>
            <w:vAlign w:val="bottom"/>
            <w:shd w:val="clear" w:color="auto" w:fill="C00000"/>
          </w:tcPr>
          <w:p>
            <w:pPr>
              <w:spacing w:after="0"/>
              <w:rPr>
                <w:sz w:val="11"/>
                <w:szCs w:val="11"/>
                <w:color w:val="auto"/>
              </w:rPr>
            </w:pPr>
          </w:p>
        </w:tc>
        <w:tc>
          <w:tcPr>
            <w:tcW w:w="100" w:type="dxa"/>
            <w:vAlign w:val="bottom"/>
            <w:shd w:val="clear" w:color="auto" w:fill="C00000"/>
          </w:tcPr>
          <w:p>
            <w:pPr>
              <w:spacing w:after="0"/>
              <w:rPr>
                <w:sz w:val="11"/>
                <w:szCs w:val="11"/>
                <w:color w:val="auto"/>
              </w:rPr>
            </w:pPr>
          </w:p>
        </w:tc>
        <w:tc>
          <w:tcPr>
            <w:tcW w:w="900" w:type="dxa"/>
            <w:vAlign w:val="bottom"/>
            <w:shd w:val="clear" w:color="auto" w:fill="C00000"/>
          </w:tcPr>
          <w:p>
            <w:pPr>
              <w:jc w:val="center"/>
              <w:spacing w:after="0" w:line="135" w:lineRule="exact"/>
              <w:rPr>
                <w:sz w:val="20"/>
                <w:szCs w:val="20"/>
                <w:color w:val="auto"/>
              </w:rPr>
            </w:pPr>
            <w:r>
              <w:rPr>
                <w:rFonts w:ascii="Arial" w:cs="Arial" w:eastAsia="Arial" w:hAnsi="Arial"/>
                <w:sz w:val="12"/>
                <w:szCs w:val="12"/>
                <w:b w:val="1"/>
                <w:bCs w:val="1"/>
                <w:color w:val="FFFFFF"/>
                <w:w w:val="92"/>
              </w:rPr>
              <w:t>Market</w:t>
            </w:r>
          </w:p>
        </w:tc>
        <w:tc>
          <w:tcPr>
            <w:tcW w:w="1540" w:type="dxa"/>
            <w:vAlign w:val="bottom"/>
            <w:shd w:val="clear" w:color="auto" w:fill="C00000"/>
          </w:tcPr>
          <w:p>
            <w:pPr>
              <w:jc w:val="center"/>
              <w:ind w:right="20"/>
              <w:spacing w:after="0" w:line="135" w:lineRule="exact"/>
              <w:rPr>
                <w:sz w:val="20"/>
                <w:szCs w:val="20"/>
                <w:color w:val="auto"/>
              </w:rPr>
            </w:pPr>
            <w:r>
              <w:rPr>
                <w:rFonts w:ascii="Arial" w:cs="Arial" w:eastAsia="Arial" w:hAnsi="Arial"/>
                <w:sz w:val="12"/>
                <w:szCs w:val="12"/>
                <w:b w:val="1"/>
                <w:bCs w:val="1"/>
                <w:color w:val="FFFFFF"/>
                <w:w w:val="97"/>
              </w:rPr>
              <w:t>Plan Awards:</w:t>
            </w:r>
          </w:p>
        </w:tc>
        <w:tc>
          <w:tcPr>
            <w:tcW w:w="1260" w:type="dxa"/>
            <w:vAlign w:val="bottom"/>
            <w:shd w:val="clear" w:color="auto" w:fill="C00000"/>
          </w:tcPr>
          <w:p>
            <w:pPr>
              <w:jc w:val="center"/>
              <w:spacing w:after="0" w:line="135" w:lineRule="exact"/>
              <w:rPr>
                <w:sz w:val="20"/>
                <w:szCs w:val="20"/>
                <w:color w:val="auto"/>
              </w:rPr>
            </w:pPr>
            <w:r>
              <w:rPr>
                <w:rFonts w:ascii="Arial" w:cs="Arial" w:eastAsia="Arial" w:hAnsi="Arial"/>
                <w:sz w:val="12"/>
                <w:szCs w:val="12"/>
                <w:b w:val="1"/>
                <w:bCs w:val="1"/>
                <w:color w:val="FFFFFF"/>
                <w:w w:val="96"/>
              </w:rPr>
              <w:t>Market or</w:t>
            </w:r>
          </w:p>
        </w:tc>
        <w:tc>
          <w:tcPr>
            <w:tcW w:w="0" w:type="dxa"/>
            <w:vAlign w:val="bottom"/>
          </w:tcPr>
          <w:p>
            <w:pPr>
              <w:spacing w:after="0"/>
              <w:rPr>
                <w:sz w:val="1"/>
                <w:szCs w:val="1"/>
                <w:color w:val="auto"/>
              </w:rPr>
            </w:pPr>
          </w:p>
        </w:tc>
      </w:tr>
      <w:tr>
        <w:trPr>
          <w:trHeight w:val="135"/>
        </w:trPr>
        <w:tc>
          <w:tcPr>
            <w:tcW w:w="2400" w:type="dxa"/>
            <w:vAlign w:val="bottom"/>
            <w:shd w:val="clear" w:color="auto" w:fill="C00000"/>
          </w:tcPr>
          <w:p>
            <w:pPr>
              <w:spacing w:after="0"/>
              <w:rPr>
                <w:sz w:val="11"/>
                <w:szCs w:val="11"/>
                <w:color w:val="auto"/>
              </w:rPr>
            </w:pPr>
          </w:p>
        </w:tc>
        <w:tc>
          <w:tcPr>
            <w:tcW w:w="1000" w:type="dxa"/>
            <w:vAlign w:val="bottom"/>
            <w:gridSpan w:val="2"/>
            <w:shd w:val="clear" w:color="auto" w:fill="C00000"/>
          </w:tcPr>
          <w:p>
            <w:pPr>
              <w:ind w:left="100"/>
              <w:spacing w:after="0" w:line="135" w:lineRule="exact"/>
              <w:rPr>
                <w:sz w:val="20"/>
                <w:szCs w:val="20"/>
                <w:color w:val="auto"/>
              </w:rPr>
            </w:pPr>
            <w:r>
              <w:rPr>
                <w:rFonts w:ascii="Arial" w:cs="Arial" w:eastAsia="Arial" w:hAnsi="Arial"/>
                <w:sz w:val="12"/>
                <w:szCs w:val="12"/>
                <w:b w:val="1"/>
                <w:bCs w:val="1"/>
                <w:color w:val="FFFFFF"/>
              </w:rPr>
              <w:t>Number of</w:t>
            </w:r>
          </w:p>
        </w:tc>
        <w:tc>
          <w:tcPr>
            <w:tcW w:w="1040" w:type="dxa"/>
            <w:vAlign w:val="bottom"/>
            <w:shd w:val="clear" w:color="auto" w:fill="C00000"/>
          </w:tcPr>
          <w:p>
            <w:pPr>
              <w:jc w:val="center"/>
              <w:ind w:left="38"/>
              <w:spacing w:after="0" w:line="135" w:lineRule="exact"/>
              <w:rPr>
                <w:sz w:val="20"/>
                <w:szCs w:val="20"/>
                <w:color w:val="auto"/>
              </w:rPr>
            </w:pPr>
            <w:r>
              <w:rPr>
                <w:rFonts w:ascii="Arial" w:cs="Arial" w:eastAsia="Arial" w:hAnsi="Arial"/>
                <w:sz w:val="12"/>
                <w:szCs w:val="12"/>
                <w:b w:val="1"/>
                <w:bCs w:val="1"/>
                <w:color w:val="FFFFFF"/>
                <w:w w:val="96"/>
              </w:rPr>
              <w:t>Number of</w:t>
            </w:r>
          </w:p>
        </w:tc>
        <w:tc>
          <w:tcPr>
            <w:tcW w:w="1040" w:type="dxa"/>
            <w:vAlign w:val="bottom"/>
            <w:shd w:val="clear" w:color="auto" w:fill="C00000"/>
          </w:tcPr>
          <w:p>
            <w:pPr>
              <w:spacing w:after="0"/>
              <w:rPr>
                <w:sz w:val="11"/>
                <w:szCs w:val="11"/>
                <w:color w:val="auto"/>
              </w:rPr>
            </w:pPr>
          </w:p>
        </w:tc>
        <w:tc>
          <w:tcPr>
            <w:tcW w:w="1020" w:type="dxa"/>
            <w:vAlign w:val="bottom"/>
            <w:shd w:val="clear" w:color="auto" w:fill="C00000"/>
          </w:tcPr>
          <w:p>
            <w:pPr>
              <w:spacing w:after="0"/>
              <w:rPr>
                <w:sz w:val="11"/>
                <w:szCs w:val="11"/>
                <w:color w:val="auto"/>
              </w:rPr>
            </w:pPr>
          </w:p>
        </w:tc>
        <w:tc>
          <w:tcPr>
            <w:tcW w:w="100" w:type="dxa"/>
            <w:vAlign w:val="bottom"/>
            <w:shd w:val="clear" w:color="auto" w:fill="C00000"/>
          </w:tcPr>
          <w:p>
            <w:pPr>
              <w:spacing w:after="0"/>
              <w:rPr>
                <w:sz w:val="11"/>
                <w:szCs w:val="11"/>
                <w:color w:val="auto"/>
              </w:rPr>
            </w:pPr>
          </w:p>
        </w:tc>
        <w:tc>
          <w:tcPr>
            <w:tcW w:w="840" w:type="dxa"/>
            <w:vAlign w:val="bottom"/>
            <w:shd w:val="clear" w:color="auto" w:fill="C00000"/>
          </w:tcPr>
          <w:p>
            <w:pPr>
              <w:spacing w:after="0"/>
              <w:rPr>
                <w:sz w:val="11"/>
                <w:szCs w:val="11"/>
                <w:color w:val="auto"/>
              </w:rPr>
            </w:pPr>
          </w:p>
        </w:tc>
        <w:tc>
          <w:tcPr>
            <w:tcW w:w="100" w:type="dxa"/>
            <w:vAlign w:val="bottom"/>
            <w:shd w:val="clear" w:color="auto" w:fill="C00000"/>
          </w:tcPr>
          <w:p>
            <w:pPr>
              <w:spacing w:after="0"/>
              <w:rPr>
                <w:sz w:val="11"/>
                <w:szCs w:val="11"/>
                <w:color w:val="auto"/>
              </w:rPr>
            </w:pPr>
          </w:p>
        </w:tc>
        <w:tc>
          <w:tcPr>
            <w:tcW w:w="900" w:type="dxa"/>
            <w:vAlign w:val="bottom"/>
            <w:shd w:val="clear" w:color="auto" w:fill="C00000"/>
          </w:tcPr>
          <w:p>
            <w:pPr>
              <w:jc w:val="center"/>
              <w:spacing w:after="0" w:line="135" w:lineRule="exact"/>
              <w:rPr>
                <w:sz w:val="20"/>
                <w:szCs w:val="20"/>
                <w:color w:val="auto"/>
              </w:rPr>
            </w:pPr>
            <w:r>
              <w:rPr>
                <w:rFonts w:ascii="Arial" w:cs="Arial" w:eastAsia="Arial" w:hAnsi="Arial"/>
                <w:sz w:val="12"/>
                <w:szCs w:val="12"/>
                <w:b w:val="1"/>
                <w:bCs w:val="1"/>
                <w:color w:val="FFFFFF"/>
                <w:w w:val="94"/>
              </w:rPr>
              <w:t>Value of</w:t>
            </w:r>
          </w:p>
        </w:tc>
        <w:tc>
          <w:tcPr>
            <w:tcW w:w="1540" w:type="dxa"/>
            <w:vAlign w:val="bottom"/>
            <w:shd w:val="clear" w:color="auto" w:fill="C00000"/>
          </w:tcPr>
          <w:p>
            <w:pPr>
              <w:jc w:val="center"/>
              <w:ind w:right="20"/>
              <w:spacing w:after="0" w:line="135" w:lineRule="exact"/>
              <w:rPr>
                <w:sz w:val="20"/>
                <w:szCs w:val="20"/>
                <w:color w:val="auto"/>
              </w:rPr>
            </w:pPr>
            <w:r>
              <w:rPr>
                <w:rFonts w:ascii="Arial" w:cs="Arial" w:eastAsia="Arial" w:hAnsi="Arial"/>
                <w:sz w:val="12"/>
                <w:szCs w:val="12"/>
                <w:b w:val="1"/>
                <w:bCs w:val="1"/>
                <w:color w:val="FFFFFF"/>
                <w:w w:val="96"/>
              </w:rPr>
              <w:t>Number of</w:t>
            </w:r>
          </w:p>
        </w:tc>
        <w:tc>
          <w:tcPr>
            <w:tcW w:w="1260" w:type="dxa"/>
            <w:vAlign w:val="bottom"/>
            <w:shd w:val="clear" w:color="auto" w:fill="C00000"/>
          </w:tcPr>
          <w:p>
            <w:pPr>
              <w:jc w:val="center"/>
              <w:spacing w:after="0" w:line="135" w:lineRule="exact"/>
              <w:rPr>
                <w:sz w:val="20"/>
                <w:szCs w:val="20"/>
                <w:color w:val="auto"/>
              </w:rPr>
            </w:pPr>
            <w:r>
              <w:rPr>
                <w:rFonts w:ascii="Arial" w:cs="Arial" w:eastAsia="Arial" w:hAnsi="Arial"/>
                <w:sz w:val="12"/>
                <w:szCs w:val="12"/>
                <w:b w:val="1"/>
                <w:bCs w:val="1"/>
                <w:color w:val="FFFFFF"/>
                <w:w w:val="95"/>
              </w:rPr>
              <w:t>Payout Value</w:t>
            </w:r>
          </w:p>
        </w:tc>
        <w:tc>
          <w:tcPr>
            <w:tcW w:w="0" w:type="dxa"/>
            <w:vAlign w:val="bottom"/>
          </w:tcPr>
          <w:p>
            <w:pPr>
              <w:spacing w:after="0"/>
              <w:rPr>
                <w:sz w:val="1"/>
                <w:szCs w:val="1"/>
                <w:color w:val="auto"/>
              </w:rPr>
            </w:pPr>
          </w:p>
        </w:tc>
      </w:tr>
      <w:tr>
        <w:trPr>
          <w:trHeight w:val="135"/>
        </w:trPr>
        <w:tc>
          <w:tcPr>
            <w:tcW w:w="2400" w:type="dxa"/>
            <w:vAlign w:val="bottom"/>
            <w:shd w:val="clear" w:color="auto" w:fill="C00000"/>
          </w:tcPr>
          <w:p>
            <w:pPr>
              <w:spacing w:after="0"/>
              <w:rPr>
                <w:sz w:val="11"/>
                <w:szCs w:val="11"/>
                <w:color w:val="auto"/>
              </w:rPr>
            </w:pPr>
          </w:p>
        </w:tc>
        <w:tc>
          <w:tcPr>
            <w:tcW w:w="1000" w:type="dxa"/>
            <w:vAlign w:val="bottom"/>
            <w:gridSpan w:val="2"/>
            <w:shd w:val="clear" w:color="auto" w:fill="C00000"/>
          </w:tcPr>
          <w:p>
            <w:pPr>
              <w:ind w:left="100"/>
              <w:spacing w:after="0" w:line="135" w:lineRule="exact"/>
              <w:rPr>
                <w:sz w:val="20"/>
                <w:szCs w:val="20"/>
                <w:color w:val="auto"/>
              </w:rPr>
            </w:pPr>
            <w:r>
              <w:rPr>
                <w:rFonts w:ascii="Arial" w:cs="Arial" w:eastAsia="Arial" w:hAnsi="Arial"/>
                <w:sz w:val="12"/>
                <w:szCs w:val="12"/>
                <w:b w:val="1"/>
                <w:bCs w:val="1"/>
                <w:color w:val="FFFFFF"/>
              </w:rPr>
              <w:t>Securities</w:t>
            </w:r>
          </w:p>
        </w:tc>
        <w:tc>
          <w:tcPr>
            <w:tcW w:w="1040" w:type="dxa"/>
            <w:vAlign w:val="bottom"/>
            <w:shd w:val="clear" w:color="auto" w:fill="C00000"/>
          </w:tcPr>
          <w:p>
            <w:pPr>
              <w:jc w:val="center"/>
              <w:ind w:left="58"/>
              <w:spacing w:after="0" w:line="135" w:lineRule="exact"/>
              <w:rPr>
                <w:sz w:val="20"/>
                <w:szCs w:val="20"/>
                <w:color w:val="auto"/>
              </w:rPr>
            </w:pPr>
            <w:r>
              <w:rPr>
                <w:rFonts w:ascii="Arial" w:cs="Arial" w:eastAsia="Arial" w:hAnsi="Arial"/>
                <w:sz w:val="12"/>
                <w:szCs w:val="12"/>
                <w:b w:val="1"/>
                <w:bCs w:val="1"/>
                <w:color w:val="FFFFFF"/>
                <w:w w:val="97"/>
              </w:rPr>
              <w:t>Securities</w:t>
            </w:r>
          </w:p>
        </w:tc>
        <w:tc>
          <w:tcPr>
            <w:tcW w:w="1040" w:type="dxa"/>
            <w:vAlign w:val="bottom"/>
            <w:shd w:val="clear" w:color="auto" w:fill="C00000"/>
          </w:tcPr>
          <w:p>
            <w:pPr>
              <w:spacing w:after="0"/>
              <w:rPr>
                <w:sz w:val="11"/>
                <w:szCs w:val="11"/>
                <w:color w:val="auto"/>
              </w:rPr>
            </w:pPr>
          </w:p>
        </w:tc>
        <w:tc>
          <w:tcPr>
            <w:tcW w:w="1020" w:type="dxa"/>
            <w:vAlign w:val="bottom"/>
            <w:shd w:val="clear" w:color="auto" w:fill="C00000"/>
          </w:tcPr>
          <w:p>
            <w:pPr>
              <w:spacing w:after="0"/>
              <w:rPr>
                <w:sz w:val="11"/>
                <w:szCs w:val="11"/>
                <w:color w:val="auto"/>
              </w:rPr>
            </w:pPr>
          </w:p>
        </w:tc>
        <w:tc>
          <w:tcPr>
            <w:tcW w:w="100" w:type="dxa"/>
            <w:vAlign w:val="bottom"/>
            <w:shd w:val="clear" w:color="auto" w:fill="C00000"/>
          </w:tcPr>
          <w:p>
            <w:pPr>
              <w:spacing w:after="0"/>
              <w:rPr>
                <w:sz w:val="11"/>
                <w:szCs w:val="11"/>
                <w:color w:val="auto"/>
              </w:rPr>
            </w:pPr>
          </w:p>
        </w:tc>
        <w:tc>
          <w:tcPr>
            <w:tcW w:w="840" w:type="dxa"/>
            <w:vAlign w:val="bottom"/>
            <w:shd w:val="clear" w:color="auto" w:fill="C00000"/>
          </w:tcPr>
          <w:p>
            <w:pPr>
              <w:jc w:val="center"/>
              <w:spacing w:after="0" w:line="135" w:lineRule="exact"/>
              <w:rPr>
                <w:sz w:val="20"/>
                <w:szCs w:val="20"/>
                <w:color w:val="auto"/>
              </w:rPr>
            </w:pPr>
            <w:r>
              <w:rPr>
                <w:rFonts w:ascii="Arial" w:cs="Arial" w:eastAsia="Arial" w:hAnsi="Arial"/>
                <w:sz w:val="12"/>
                <w:szCs w:val="12"/>
                <w:b w:val="1"/>
                <w:bCs w:val="1"/>
                <w:color w:val="FFFFFF"/>
                <w:w w:val="96"/>
              </w:rPr>
              <w:t>Number of</w:t>
            </w:r>
          </w:p>
        </w:tc>
        <w:tc>
          <w:tcPr>
            <w:tcW w:w="100" w:type="dxa"/>
            <w:vAlign w:val="bottom"/>
            <w:shd w:val="clear" w:color="auto" w:fill="C00000"/>
          </w:tcPr>
          <w:p>
            <w:pPr>
              <w:spacing w:after="0"/>
              <w:rPr>
                <w:sz w:val="11"/>
                <w:szCs w:val="11"/>
                <w:color w:val="auto"/>
              </w:rPr>
            </w:pPr>
          </w:p>
        </w:tc>
        <w:tc>
          <w:tcPr>
            <w:tcW w:w="900" w:type="dxa"/>
            <w:vAlign w:val="bottom"/>
            <w:shd w:val="clear" w:color="auto" w:fill="C00000"/>
          </w:tcPr>
          <w:p>
            <w:pPr>
              <w:jc w:val="center"/>
              <w:spacing w:after="0" w:line="135" w:lineRule="exact"/>
              <w:rPr>
                <w:sz w:val="20"/>
                <w:szCs w:val="20"/>
                <w:color w:val="auto"/>
              </w:rPr>
            </w:pPr>
            <w:r>
              <w:rPr>
                <w:rFonts w:ascii="Arial" w:cs="Arial" w:eastAsia="Arial" w:hAnsi="Arial"/>
                <w:sz w:val="12"/>
                <w:szCs w:val="12"/>
                <w:b w:val="1"/>
                <w:bCs w:val="1"/>
                <w:color w:val="FFFFFF"/>
                <w:w w:val="93"/>
              </w:rPr>
              <w:t>Shares or</w:t>
            </w:r>
          </w:p>
        </w:tc>
        <w:tc>
          <w:tcPr>
            <w:tcW w:w="1540" w:type="dxa"/>
            <w:vAlign w:val="bottom"/>
            <w:shd w:val="clear" w:color="auto" w:fill="C00000"/>
          </w:tcPr>
          <w:p>
            <w:pPr>
              <w:jc w:val="center"/>
              <w:ind w:right="20"/>
              <w:spacing w:after="0" w:line="135" w:lineRule="exact"/>
              <w:rPr>
                <w:sz w:val="20"/>
                <w:szCs w:val="20"/>
                <w:color w:val="auto"/>
              </w:rPr>
            </w:pPr>
            <w:r>
              <w:rPr>
                <w:rFonts w:ascii="Arial" w:cs="Arial" w:eastAsia="Arial" w:hAnsi="Arial"/>
                <w:sz w:val="12"/>
                <w:szCs w:val="12"/>
                <w:b w:val="1"/>
                <w:bCs w:val="1"/>
                <w:color w:val="FFFFFF"/>
                <w:w w:val="97"/>
              </w:rPr>
              <w:t>Unearned</w:t>
            </w:r>
          </w:p>
        </w:tc>
        <w:tc>
          <w:tcPr>
            <w:tcW w:w="1260" w:type="dxa"/>
            <w:vAlign w:val="bottom"/>
            <w:shd w:val="clear" w:color="auto" w:fill="C00000"/>
          </w:tcPr>
          <w:p>
            <w:pPr>
              <w:jc w:val="center"/>
              <w:spacing w:after="0" w:line="135" w:lineRule="exact"/>
              <w:rPr>
                <w:sz w:val="20"/>
                <w:szCs w:val="20"/>
                <w:color w:val="auto"/>
              </w:rPr>
            </w:pPr>
            <w:r>
              <w:rPr>
                <w:rFonts w:ascii="Arial" w:cs="Arial" w:eastAsia="Arial" w:hAnsi="Arial"/>
                <w:sz w:val="12"/>
                <w:szCs w:val="12"/>
                <w:b w:val="1"/>
                <w:bCs w:val="1"/>
                <w:color w:val="FFFFFF"/>
                <w:w w:val="97"/>
              </w:rPr>
              <w:t>of Unearned</w:t>
            </w:r>
          </w:p>
        </w:tc>
        <w:tc>
          <w:tcPr>
            <w:tcW w:w="0" w:type="dxa"/>
            <w:vAlign w:val="bottom"/>
          </w:tcPr>
          <w:p>
            <w:pPr>
              <w:spacing w:after="0"/>
              <w:rPr>
                <w:sz w:val="1"/>
                <w:szCs w:val="1"/>
                <w:color w:val="auto"/>
              </w:rPr>
            </w:pPr>
          </w:p>
        </w:tc>
      </w:tr>
      <w:tr>
        <w:trPr>
          <w:trHeight w:val="135"/>
        </w:trPr>
        <w:tc>
          <w:tcPr>
            <w:tcW w:w="2400" w:type="dxa"/>
            <w:vAlign w:val="bottom"/>
            <w:shd w:val="clear" w:color="auto" w:fill="C00000"/>
          </w:tcPr>
          <w:p>
            <w:pPr>
              <w:spacing w:after="0"/>
              <w:rPr>
                <w:sz w:val="11"/>
                <w:szCs w:val="11"/>
                <w:color w:val="auto"/>
              </w:rPr>
            </w:pPr>
          </w:p>
        </w:tc>
        <w:tc>
          <w:tcPr>
            <w:tcW w:w="1000" w:type="dxa"/>
            <w:vAlign w:val="bottom"/>
            <w:gridSpan w:val="2"/>
            <w:shd w:val="clear" w:color="auto" w:fill="C00000"/>
          </w:tcPr>
          <w:p>
            <w:pPr>
              <w:ind w:left="100"/>
              <w:spacing w:after="0" w:line="135" w:lineRule="exact"/>
              <w:rPr>
                <w:sz w:val="20"/>
                <w:szCs w:val="20"/>
                <w:color w:val="auto"/>
              </w:rPr>
            </w:pPr>
            <w:r>
              <w:rPr>
                <w:rFonts w:ascii="Arial" w:cs="Arial" w:eastAsia="Arial" w:hAnsi="Arial"/>
                <w:sz w:val="12"/>
                <w:szCs w:val="12"/>
                <w:b w:val="1"/>
                <w:bCs w:val="1"/>
                <w:color w:val="FFFFFF"/>
              </w:rPr>
              <w:t>Underlying</w:t>
            </w:r>
          </w:p>
        </w:tc>
        <w:tc>
          <w:tcPr>
            <w:tcW w:w="1040" w:type="dxa"/>
            <w:vAlign w:val="bottom"/>
            <w:shd w:val="clear" w:color="auto" w:fill="C00000"/>
          </w:tcPr>
          <w:p>
            <w:pPr>
              <w:jc w:val="center"/>
              <w:ind w:left="58"/>
              <w:spacing w:after="0" w:line="135" w:lineRule="exact"/>
              <w:rPr>
                <w:sz w:val="20"/>
                <w:szCs w:val="20"/>
                <w:color w:val="auto"/>
              </w:rPr>
            </w:pPr>
            <w:r>
              <w:rPr>
                <w:rFonts w:ascii="Arial" w:cs="Arial" w:eastAsia="Arial" w:hAnsi="Arial"/>
                <w:sz w:val="12"/>
                <w:szCs w:val="12"/>
                <w:b w:val="1"/>
                <w:bCs w:val="1"/>
                <w:color w:val="FFFFFF"/>
                <w:w w:val="95"/>
              </w:rPr>
              <w:t>Underlying</w:t>
            </w:r>
          </w:p>
        </w:tc>
        <w:tc>
          <w:tcPr>
            <w:tcW w:w="1040" w:type="dxa"/>
            <w:vAlign w:val="bottom"/>
            <w:shd w:val="clear" w:color="auto" w:fill="C00000"/>
          </w:tcPr>
          <w:p>
            <w:pPr>
              <w:spacing w:after="0"/>
              <w:rPr>
                <w:sz w:val="11"/>
                <w:szCs w:val="11"/>
                <w:color w:val="auto"/>
              </w:rPr>
            </w:pPr>
          </w:p>
        </w:tc>
        <w:tc>
          <w:tcPr>
            <w:tcW w:w="1020" w:type="dxa"/>
            <w:vAlign w:val="bottom"/>
            <w:shd w:val="clear" w:color="auto" w:fill="C00000"/>
          </w:tcPr>
          <w:p>
            <w:pPr>
              <w:spacing w:after="0"/>
              <w:rPr>
                <w:sz w:val="11"/>
                <w:szCs w:val="11"/>
                <w:color w:val="auto"/>
              </w:rPr>
            </w:pPr>
          </w:p>
        </w:tc>
        <w:tc>
          <w:tcPr>
            <w:tcW w:w="100" w:type="dxa"/>
            <w:vAlign w:val="bottom"/>
            <w:shd w:val="clear" w:color="auto" w:fill="C00000"/>
          </w:tcPr>
          <w:p>
            <w:pPr>
              <w:spacing w:after="0"/>
              <w:rPr>
                <w:sz w:val="11"/>
                <w:szCs w:val="11"/>
                <w:color w:val="auto"/>
              </w:rPr>
            </w:pPr>
          </w:p>
        </w:tc>
        <w:tc>
          <w:tcPr>
            <w:tcW w:w="840" w:type="dxa"/>
            <w:vAlign w:val="bottom"/>
            <w:shd w:val="clear" w:color="auto" w:fill="C00000"/>
          </w:tcPr>
          <w:p>
            <w:pPr>
              <w:jc w:val="center"/>
              <w:spacing w:after="0" w:line="135" w:lineRule="exact"/>
              <w:rPr>
                <w:sz w:val="20"/>
                <w:szCs w:val="20"/>
                <w:color w:val="auto"/>
              </w:rPr>
            </w:pPr>
            <w:r>
              <w:rPr>
                <w:rFonts w:ascii="Arial" w:cs="Arial" w:eastAsia="Arial" w:hAnsi="Arial"/>
                <w:sz w:val="12"/>
                <w:szCs w:val="12"/>
                <w:b w:val="1"/>
                <w:bCs w:val="1"/>
                <w:color w:val="FFFFFF"/>
                <w:w w:val="97"/>
              </w:rPr>
              <w:t>Shares or</w:t>
            </w:r>
          </w:p>
        </w:tc>
        <w:tc>
          <w:tcPr>
            <w:tcW w:w="100" w:type="dxa"/>
            <w:vAlign w:val="bottom"/>
            <w:shd w:val="clear" w:color="auto" w:fill="C00000"/>
          </w:tcPr>
          <w:p>
            <w:pPr>
              <w:spacing w:after="0"/>
              <w:rPr>
                <w:sz w:val="11"/>
                <w:szCs w:val="11"/>
                <w:color w:val="auto"/>
              </w:rPr>
            </w:pPr>
          </w:p>
        </w:tc>
        <w:tc>
          <w:tcPr>
            <w:tcW w:w="900" w:type="dxa"/>
            <w:vAlign w:val="bottom"/>
            <w:shd w:val="clear" w:color="auto" w:fill="C00000"/>
          </w:tcPr>
          <w:p>
            <w:pPr>
              <w:jc w:val="center"/>
              <w:spacing w:after="0" w:line="135" w:lineRule="exact"/>
              <w:rPr>
                <w:sz w:val="20"/>
                <w:szCs w:val="20"/>
                <w:color w:val="auto"/>
              </w:rPr>
            </w:pPr>
            <w:r>
              <w:rPr>
                <w:rFonts w:ascii="Arial" w:cs="Arial" w:eastAsia="Arial" w:hAnsi="Arial"/>
                <w:sz w:val="12"/>
                <w:szCs w:val="12"/>
                <w:b w:val="1"/>
                <w:bCs w:val="1"/>
                <w:color w:val="FFFFFF"/>
                <w:w w:val="98"/>
              </w:rPr>
              <w:t>Units of</w:t>
            </w:r>
          </w:p>
        </w:tc>
        <w:tc>
          <w:tcPr>
            <w:tcW w:w="1540" w:type="dxa"/>
            <w:vAlign w:val="bottom"/>
            <w:shd w:val="clear" w:color="auto" w:fill="C00000"/>
          </w:tcPr>
          <w:p>
            <w:pPr>
              <w:jc w:val="center"/>
              <w:ind w:right="20"/>
              <w:spacing w:after="0" w:line="135" w:lineRule="exact"/>
              <w:rPr>
                <w:sz w:val="20"/>
                <w:szCs w:val="20"/>
                <w:color w:val="auto"/>
              </w:rPr>
            </w:pPr>
            <w:r>
              <w:rPr>
                <w:rFonts w:ascii="Arial" w:cs="Arial" w:eastAsia="Arial" w:hAnsi="Arial"/>
                <w:sz w:val="12"/>
                <w:szCs w:val="12"/>
                <w:b w:val="1"/>
                <w:bCs w:val="1"/>
                <w:color w:val="FFFFFF"/>
                <w:w w:val="96"/>
              </w:rPr>
              <w:t>Shares, Units</w:t>
            </w:r>
          </w:p>
        </w:tc>
        <w:tc>
          <w:tcPr>
            <w:tcW w:w="1260" w:type="dxa"/>
            <w:vAlign w:val="bottom"/>
            <w:shd w:val="clear" w:color="auto" w:fill="C00000"/>
          </w:tcPr>
          <w:p>
            <w:pPr>
              <w:jc w:val="center"/>
              <w:spacing w:after="0" w:line="135" w:lineRule="exact"/>
              <w:rPr>
                <w:sz w:val="20"/>
                <w:szCs w:val="20"/>
                <w:color w:val="auto"/>
              </w:rPr>
            </w:pPr>
            <w:r>
              <w:rPr>
                <w:rFonts w:ascii="Arial" w:cs="Arial" w:eastAsia="Arial" w:hAnsi="Arial"/>
                <w:sz w:val="12"/>
                <w:szCs w:val="12"/>
                <w:b w:val="1"/>
                <w:bCs w:val="1"/>
                <w:color w:val="FFFFFF"/>
                <w:w w:val="99"/>
              </w:rPr>
              <w:t>Shares, Units</w:t>
            </w:r>
          </w:p>
        </w:tc>
        <w:tc>
          <w:tcPr>
            <w:tcW w:w="0" w:type="dxa"/>
            <w:vAlign w:val="bottom"/>
          </w:tcPr>
          <w:p>
            <w:pPr>
              <w:spacing w:after="0"/>
              <w:rPr>
                <w:sz w:val="1"/>
                <w:szCs w:val="1"/>
                <w:color w:val="auto"/>
              </w:rPr>
            </w:pPr>
          </w:p>
        </w:tc>
      </w:tr>
      <w:tr>
        <w:trPr>
          <w:trHeight w:val="135"/>
        </w:trPr>
        <w:tc>
          <w:tcPr>
            <w:tcW w:w="2400" w:type="dxa"/>
            <w:vAlign w:val="bottom"/>
            <w:shd w:val="clear" w:color="auto" w:fill="C00000"/>
          </w:tcPr>
          <w:p>
            <w:pPr>
              <w:spacing w:after="0"/>
              <w:rPr>
                <w:sz w:val="11"/>
                <w:szCs w:val="11"/>
                <w:color w:val="auto"/>
              </w:rPr>
            </w:pPr>
          </w:p>
        </w:tc>
        <w:tc>
          <w:tcPr>
            <w:tcW w:w="1000" w:type="dxa"/>
            <w:vAlign w:val="bottom"/>
            <w:gridSpan w:val="2"/>
            <w:shd w:val="clear" w:color="auto" w:fill="C00000"/>
          </w:tcPr>
          <w:p>
            <w:pPr>
              <w:ind w:left="100"/>
              <w:spacing w:after="0" w:line="135" w:lineRule="exact"/>
              <w:rPr>
                <w:sz w:val="20"/>
                <w:szCs w:val="20"/>
                <w:color w:val="auto"/>
              </w:rPr>
            </w:pPr>
            <w:r>
              <w:rPr>
                <w:rFonts w:ascii="Arial" w:cs="Arial" w:eastAsia="Arial" w:hAnsi="Arial"/>
                <w:sz w:val="12"/>
                <w:szCs w:val="12"/>
                <w:b w:val="1"/>
                <w:bCs w:val="1"/>
                <w:color w:val="FFFFFF"/>
              </w:rPr>
              <w:t>Unexercised</w:t>
            </w:r>
          </w:p>
        </w:tc>
        <w:tc>
          <w:tcPr>
            <w:tcW w:w="1040" w:type="dxa"/>
            <w:vAlign w:val="bottom"/>
            <w:shd w:val="clear" w:color="auto" w:fill="C00000"/>
          </w:tcPr>
          <w:p>
            <w:pPr>
              <w:jc w:val="center"/>
              <w:ind w:left="38"/>
              <w:spacing w:after="0" w:line="135" w:lineRule="exact"/>
              <w:rPr>
                <w:sz w:val="20"/>
                <w:szCs w:val="20"/>
                <w:color w:val="auto"/>
              </w:rPr>
            </w:pPr>
            <w:r>
              <w:rPr>
                <w:rFonts w:ascii="Arial" w:cs="Arial" w:eastAsia="Arial" w:hAnsi="Arial"/>
                <w:sz w:val="12"/>
                <w:szCs w:val="12"/>
                <w:b w:val="1"/>
                <w:bCs w:val="1"/>
                <w:color w:val="FFFFFF"/>
                <w:w w:val="98"/>
              </w:rPr>
              <w:t>Unexercised</w:t>
            </w:r>
          </w:p>
        </w:tc>
        <w:tc>
          <w:tcPr>
            <w:tcW w:w="1040" w:type="dxa"/>
            <w:vAlign w:val="bottom"/>
            <w:shd w:val="clear" w:color="auto" w:fill="C00000"/>
          </w:tcPr>
          <w:p>
            <w:pPr>
              <w:jc w:val="center"/>
              <w:ind w:left="37"/>
              <w:spacing w:after="0" w:line="135" w:lineRule="exact"/>
              <w:rPr>
                <w:sz w:val="20"/>
                <w:szCs w:val="20"/>
                <w:color w:val="auto"/>
              </w:rPr>
            </w:pPr>
            <w:r>
              <w:rPr>
                <w:rFonts w:ascii="Arial" w:cs="Arial" w:eastAsia="Arial" w:hAnsi="Arial"/>
                <w:sz w:val="12"/>
                <w:szCs w:val="12"/>
                <w:b w:val="1"/>
                <w:bCs w:val="1"/>
                <w:color w:val="FFFFFF"/>
                <w:w w:val="98"/>
              </w:rPr>
              <w:t>Option</w:t>
            </w:r>
          </w:p>
        </w:tc>
        <w:tc>
          <w:tcPr>
            <w:tcW w:w="1020" w:type="dxa"/>
            <w:vAlign w:val="bottom"/>
            <w:shd w:val="clear" w:color="auto" w:fill="C00000"/>
          </w:tcPr>
          <w:p>
            <w:pPr>
              <w:spacing w:after="0"/>
              <w:rPr>
                <w:sz w:val="11"/>
                <w:szCs w:val="11"/>
                <w:color w:val="auto"/>
              </w:rPr>
            </w:pPr>
          </w:p>
        </w:tc>
        <w:tc>
          <w:tcPr>
            <w:tcW w:w="100" w:type="dxa"/>
            <w:vAlign w:val="bottom"/>
            <w:shd w:val="clear" w:color="auto" w:fill="C00000"/>
          </w:tcPr>
          <w:p>
            <w:pPr>
              <w:spacing w:after="0"/>
              <w:rPr>
                <w:sz w:val="11"/>
                <w:szCs w:val="11"/>
                <w:color w:val="auto"/>
              </w:rPr>
            </w:pPr>
          </w:p>
        </w:tc>
        <w:tc>
          <w:tcPr>
            <w:tcW w:w="840" w:type="dxa"/>
            <w:vAlign w:val="bottom"/>
            <w:shd w:val="clear" w:color="auto" w:fill="C00000"/>
          </w:tcPr>
          <w:p>
            <w:pPr>
              <w:jc w:val="center"/>
              <w:spacing w:after="0" w:line="135" w:lineRule="exact"/>
              <w:rPr>
                <w:sz w:val="20"/>
                <w:szCs w:val="20"/>
                <w:color w:val="auto"/>
              </w:rPr>
            </w:pPr>
            <w:r>
              <w:rPr>
                <w:rFonts w:ascii="Arial" w:cs="Arial" w:eastAsia="Arial" w:hAnsi="Arial"/>
                <w:sz w:val="12"/>
                <w:szCs w:val="12"/>
                <w:b w:val="1"/>
                <w:bCs w:val="1"/>
                <w:color w:val="FFFFFF"/>
                <w:w w:val="97"/>
              </w:rPr>
              <w:t>Units that</w:t>
            </w:r>
          </w:p>
        </w:tc>
        <w:tc>
          <w:tcPr>
            <w:tcW w:w="100" w:type="dxa"/>
            <w:vAlign w:val="bottom"/>
            <w:shd w:val="clear" w:color="auto" w:fill="C00000"/>
          </w:tcPr>
          <w:p>
            <w:pPr>
              <w:spacing w:after="0"/>
              <w:rPr>
                <w:sz w:val="11"/>
                <w:szCs w:val="11"/>
                <w:color w:val="auto"/>
              </w:rPr>
            </w:pPr>
          </w:p>
        </w:tc>
        <w:tc>
          <w:tcPr>
            <w:tcW w:w="900" w:type="dxa"/>
            <w:vAlign w:val="bottom"/>
            <w:shd w:val="clear" w:color="auto" w:fill="C00000"/>
          </w:tcPr>
          <w:p>
            <w:pPr>
              <w:jc w:val="center"/>
              <w:spacing w:after="0" w:line="135" w:lineRule="exact"/>
              <w:rPr>
                <w:sz w:val="20"/>
                <w:szCs w:val="20"/>
                <w:color w:val="auto"/>
              </w:rPr>
            </w:pPr>
            <w:r>
              <w:rPr>
                <w:rFonts w:ascii="Arial" w:cs="Arial" w:eastAsia="Arial" w:hAnsi="Arial"/>
                <w:sz w:val="12"/>
                <w:szCs w:val="12"/>
                <w:b w:val="1"/>
                <w:bCs w:val="1"/>
                <w:color w:val="FFFFFF"/>
                <w:w w:val="96"/>
              </w:rPr>
              <w:t>Stock that</w:t>
            </w:r>
          </w:p>
        </w:tc>
        <w:tc>
          <w:tcPr>
            <w:tcW w:w="1540" w:type="dxa"/>
            <w:vAlign w:val="bottom"/>
            <w:shd w:val="clear" w:color="auto" w:fill="C00000"/>
          </w:tcPr>
          <w:p>
            <w:pPr>
              <w:jc w:val="center"/>
              <w:ind w:right="20"/>
              <w:spacing w:after="0" w:line="135" w:lineRule="exact"/>
              <w:rPr>
                <w:sz w:val="20"/>
                <w:szCs w:val="20"/>
                <w:color w:val="auto"/>
              </w:rPr>
            </w:pPr>
            <w:r>
              <w:rPr>
                <w:rFonts w:ascii="Arial" w:cs="Arial" w:eastAsia="Arial" w:hAnsi="Arial"/>
                <w:sz w:val="12"/>
                <w:szCs w:val="12"/>
                <w:b w:val="1"/>
                <w:bCs w:val="1"/>
                <w:color w:val="FFFFFF"/>
                <w:w w:val="97"/>
              </w:rPr>
              <w:t>or Other Rights</w:t>
            </w:r>
          </w:p>
        </w:tc>
        <w:tc>
          <w:tcPr>
            <w:tcW w:w="1260" w:type="dxa"/>
            <w:vAlign w:val="bottom"/>
            <w:shd w:val="clear" w:color="auto" w:fill="C00000"/>
          </w:tcPr>
          <w:p>
            <w:pPr>
              <w:jc w:val="center"/>
              <w:spacing w:after="0" w:line="135" w:lineRule="exact"/>
              <w:rPr>
                <w:sz w:val="20"/>
                <w:szCs w:val="20"/>
                <w:color w:val="auto"/>
              </w:rPr>
            </w:pPr>
            <w:r>
              <w:rPr>
                <w:rFonts w:ascii="Arial" w:cs="Arial" w:eastAsia="Arial" w:hAnsi="Arial"/>
                <w:sz w:val="12"/>
                <w:szCs w:val="12"/>
                <w:b w:val="1"/>
                <w:bCs w:val="1"/>
                <w:color w:val="FFFFFF"/>
                <w:w w:val="95"/>
              </w:rPr>
              <w:t>or Other Rights</w:t>
            </w:r>
          </w:p>
        </w:tc>
        <w:tc>
          <w:tcPr>
            <w:tcW w:w="0" w:type="dxa"/>
            <w:vAlign w:val="bottom"/>
          </w:tcPr>
          <w:p>
            <w:pPr>
              <w:spacing w:after="0"/>
              <w:rPr>
                <w:sz w:val="1"/>
                <w:szCs w:val="1"/>
                <w:color w:val="auto"/>
              </w:rPr>
            </w:pPr>
          </w:p>
        </w:tc>
      </w:tr>
      <w:tr>
        <w:trPr>
          <w:trHeight w:val="131"/>
        </w:trPr>
        <w:tc>
          <w:tcPr>
            <w:tcW w:w="2400" w:type="dxa"/>
            <w:vAlign w:val="bottom"/>
            <w:shd w:val="clear" w:color="auto" w:fill="C00000"/>
          </w:tcPr>
          <w:p>
            <w:pPr>
              <w:spacing w:after="0"/>
              <w:rPr>
                <w:sz w:val="11"/>
                <w:szCs w:val="11"/>
                <w:color w:val="auto"/>
              </w:rPr>
            </w:pPr>
          </w:p>
        </w:tc>
        <w:tc>
          <w:tcPr>
            <w:tcW w:w="1000" w:type="dxa"/>
            <w:vAlign w:val="bottom"/>
            <w:gridSpan w:val="2"/>
            <w:shd w:val="clear" w:color="auto" w:fill="C00000"/>
          </w:tcPr>
          <w:p>
            <w:pPr>
              <w:ind w:left="100"/>
              <w:spacing w:after="0" w:line="132" w:lineRule="exact"/>
              <w:rPr>
                <w:sz w:val="20"/>
                <w:szCs w:val="20"/>
                <w:color w:val="auto"/>
              </w:rPr>
            </w:pPr>
            <w:r>
              <w:rPr>
                <w:rFonts w:ascii="Arial" w:cs="Arial" w:eastAsia="Arial" w:hAnsi="Arial"/>
                <w:sz w:val="12"/>
                <w:szCs w:val="12"/>
                <w:b w:val="1"/>
                <w:bCs w:val="1"/>
                <w:color w:val="FFFFFF"/>
              </w:rPr>
              <w:t>Options</w:t>
            </w:r>
          </w:p>
        </w:tc>
        <w:tc>
          <w:tcPr>
            <w:tcW w:w="1040" w:type="dxa"/>
            <w:vAlign w:val="bottom"/>
            <w:shd w:val="clear" w:color="auto" w:fill="C00000"/>
          </w:tcPr>
          <w:p>
            <w:pPr>
              <w:jc w:val="center"/>
              <w:ind w:left="58"/>
              <w:spacing w:after="0" w:line="132" w:lineRule="exact"/>
              <w:rPr>
                <w:sz w:val="20"/>
                <w:szCs w:val="20"/>
                <w:color w:val="auto"/>
              </w:rPr>
            </w:pPr>
            <w:r>
              <w:rPr>
                <w:rFonts w:ascii="Arial" w:cs="Arial" w:eastAsia="Arial" w:hAnsi="Arial"/>
                <w:sz w:val="12"/>
                <w:szCs w:val="12"/>
                <w:b w:val="1"/>
                <w:bCs w:val="1"/>
                <w:color w:val="FFFFFF"/>
                <w:w w:val="96"/>
              </w:rPr>
              <w:t>Options</w:t>
            </w:r>
          </w:p>
        </w:tc>
        <w:tc>
          <w:tcPr>
            <w:tcW w:w="1040" w:type="dxa"/>
            <w:vAlign w:val="bottom"/>
            <w:shd w:val="clear" w:color="auto" w:fill="C00000"/>
          </w:tcPr>
          <w:p>
            <w:pPr>
              <w:jc w:val="center"/>
              <w:ind w:left="37"/>
              <w:spacing w:after="0" w:line="132" w:lineRule="exact"/>
              <w:rPr>
                <w:sz w:val="20"/>
                <w:szCs w:val="20"/>
                <w:color w:val="auto"/>
              </w:rPr>
            </w:pPr>
            <w:r>
              <w:rPr>
                <w:rFonts w:ascii="Arial" w:cs="Arial" w:eastAsia="Arial" w:hAnsi="Arial"/>
                <w:sz w:val="12"/>
                <w:szCs w:val="12"/>
                <w:b w:val="1"/>
                <w:bCs w:val="1"/>
                <w:color w:val="FFFFFF"/>
              </w:rPr>
              <w:t>Exercise</w:t>
            </w:r>
          </w:p>
        </w:tc>
        <w:tc>
          <w:tcPr>
            <w:tcW w:w="1020" w:type="dxa"/>
            <w:vAlign w:val="bottom"/>
            <w:shd w:val="clear" w:color="auto" w:fill="C00000"/>
          </w:tcPr>
          <w:p>
            <w:pPr>
              <w:ind w:left="360"/>
              <w:spacing w:after="0" w:line="132" w:lineRule="exact"/>
              <w:rPr>
                <w:sz w:val="20"/>
                <w:szCs w:val="20"/>
                <w:color w:val="auto"/>
              </w:rPr>
            </w:pPr>
            <w:r>
              <w:rPr>
                <w:rFonts w:ascii="Arial" w:cs="Arial" w:eastAsia="Arial" w:hAnsi="Arial"/>
                <w:sz w:val="12"/>
                <w:szCs w:val="12"/>
                <w:b w:val="1"/>
                <w:bCs w:val="1"/>
                <w:color w:val="FFFFFF"/>
              </w:rPr>
              <w:t>Option</w:t>
            </w:r>
          </w:p>
        </w:tc>
        <w:tc>
          <w:tcPr>
            <w:tcW w:w="100" w:type="dxa"/>
            <w:vAlign w:val="bottom"/>
            <w:shd w:val="clear" w:color="auto" w:fill="C00000"/>
          </w:tcPr>
          <w:p>
            <w:pPr>
              <w:spacing w:after="0"/>
              <w:rPr>
                <w:sz w:val="11"/>
                <w:szCs w:val="11"/>
                <w:color w:val="auto"/>
              </w:rPr>
            </w:pPr>
          </w:p>
        </w:tc>
        <w:tc>
          <w:tcPr>
            <w:tcW w:w="840" w:type="dxa"/>
            <w:vAlign w:val="bottom"/>
            <w:shd w:val="clear" w:color="auto" w:fill="C00000"/>
          </w:tcPr>
          <w:p>
            <w:pPr>
              <w:jc w:val="center"/>
              <w:spacing w:after="0" w:line="132" w:lineRule="exact"/>
              <w:rPr>
                <w:sz w:val="20"/>
                <w:szCs w:val="20"/>
                <w:color w:val="auto"/>
              </w:rPr>
            </w:pPr>
            <w:r>
              <w:rPr>
                <w:rFonts w:ascii="Arial" w:cs="Arial" w:eastAsia="Arial" w:hAnsi="Arial"/>
                <w:sz w:val="12"/>
                <w:szCs w:val="12"/>
                <w:b w:val="1"/>
                <w:bCs w:val="1"/>
                <w:color w:val="FFFFFF"/>
                <w:w w:val="96"/>
              </w:rPr>
              <w:t>Have Not</w:t>
            </w:r>
          </w:p>
        </w:tc>
        <w:tc>
          <w:tcPr>
            <w:tcW w:w="100" w:type="dxa"/>
            <w:vAlign w:val="bottom"/>
            <w:shd w:val="clear" w:color="auto" w:fill="C00000"/>
          </w:tcPr>
          <w:p>
            <w:pPr>
              <w:spacing w:after="0"/>
              <w:rPr>
                <w:sz w:val="11"/>
                <w:szCs w:val="11"/>
                <w:color w:val="auto"/>
              </w:rPr>
            </w:pPr>
          </w:p>
        </w:tc>
        <w:tc>
          <w:tcPr>
            <w:tcW w:w="900" w:type="dxa"/>
            <w:vAlign w:val="bottom"/>
            <w:shd w:val="clear" w:color="auto" w:fill="C00000"/>
          </w:tcPr>
          <w:p>
            <w:pPr>
              <w:jc w:val="center"/>
              <w:spacing w:after="0" w:line="132" w:lineRule="exact"/>
              <w:rPr>
                <w:sz w:val="20"/>
                <w:szCs w:val="20"/>
                <w:color w:val="auto"/>
              </w:rPr>
            </w:pPr>
            <w:r>
              <w:rPr>
                <w:rFonts w:ascii="Arial" w:cs="Arial" w:eastAsia="Arial" w:hAnsi="Arial"/>
                <w:sz w:val="12"/>
                <w:szCs w:val="12"/>
                <w:b w:val="1"/>
                <w:bCs w:val="1"/>
                <w:color w:val="FFFFFF"/>
                <w:w w:val="99"/>
              </w:rPr>
              <w:t>Have Not</w:t>
            </w:r>
          </w:p>
        </w:tc>
        <w:tc>
          <w:tcPr>
            <w:tcW w:w="1540" w:type="dxa"/>
            <w:vAlign w:val="bottom"/>
            <w:shd w:val="clear" w:color="auto" w:fill="C00000"/>
          </w:tcPr>
          <w:p>
            <w:pPr>
              <w:jc w:val="center"/>
              <w:spacing w:after="0" w:line="132" w:lineRule="exact"/>
              <w:rPr>
                <w:sz w:val="20"/>
                <w:szCs w:val="20"/>
                <w:color w:val="auto"/>
              </w:rPr>
            </w:pPr>
            <w:r>
              <w:rPr>
                <w:rFonts w:ascii="Arial" w:cs="Arial" w:eastAsia="Arial" w:hAnsi="Arial"/>
                <w:sz w:val="12"/>
                <w:szCs w:val="12"/>
                <w:b w:val="1"/>
                <w:bCs w:val="1"/>
                <w:color w:val="FFFFFF"/>
                <w:w w:val="97"/>
              </w:rPr>
              <w:t>That Have</w:t>
            </w:r>
          </w:p>
        </w:tc>
        <w:tc>
          <w:tcPr>
            <w:tcW w:w="1260" w:type="dxa"/>
            <w:vAlign w:val="bottom"/>
            <w:shd w:val="clear" w:color="auto" w:fill="C00000"/>
          </w:tcPr>
          <w:p>
            <w:pPr>
              <w:jc w:val="center"/>
              <w:spacing w:after="0" w:line="132" w:lineRule="exact"/>
              <w:rPr>
                <w:sz w:val="20"/>
                <w:szCs w:val="20"/>
                <w:color w:val="auto"/>
              </w:rPr>
            </w:pPr>
            <w:r>
              <w:rPr>
                <w:rFonts w:ascii="Arial" w:cs="Arial" w:eastAsia="Arial" w:hAnsi="Arial"/>
                <w:sz w:val="12"/>
                <w:szCs w:val="12"/>
                <w:b w:val="1"/>
                <w:bCs w:val="1"/>
                <w:color w:val="FFFFFF"/>
                <w:w w:val="97"/>
              </w:rPr>
              <w:t>That Have</w:t>
            </w:r>
          </w:p>
        </w:tc>
        <w:tc>
          <w:tcPr>
            <w:tcW w:w="0" w:type="dxa"/>
            <w:vAlign w:val="bottom"/>
          </w:tcPr>
          <w:p>
            <w:pPr>
              <w:spacing w:after="0"/>
              <w:rPr>
                <w:sz w:val="1"/>
                <w:szCs w:val="1"/>
                <w:color w:val="auto"/>
              </w:rPr>
            </w:pPr>
          </w:p>
        </w:tc>
      </w:tr>
      <w:tr>
        <w:trPr>
          <w:trHeight w:val="139"/>
        </w:trPr>
        <w:tc>
          <w:tcPr>
            <w:tcW w:w="2400" w:type="dxa"/>
            <w:vAlign w:val="bottom"/>
            <w:vMerge w:val="restart"/>
            <w:shd w:val="clear" w:color="auto" w:fill="C00000"/>
          </w:tcPr>
          <w:p>
            <w:pPr>
              <w:spacing w:after="0"/>
              <w:rPr>
                <w:sz w:val="20"/>
                <w:szCs w:val="20"/>
                <w:color w:val="auto"/>
              </w:rPr>
            </w:pPr>
            <w:r>
              <w:rPr>
                <w:rFonts w:ascii="Arial" w:cs="Arial" w:eastAsia="Arial" w:hAnsi="Arial"/>
                <w:sz w:val="12"/>
                <w:szCs w:val="12"/>
                <w:b w:val="1"/>
                <w:bCs w:val="1"/>
                <w:color w:val="FFFFFF"/>
              </w:rPr>
              <w:t>Name</w:t>
            </w:r>
          </w:p>
        </w:tc>
        <w:tc>
          <w:tcPr>
            <w:tcW w:w="1000" w:type="dxa"/>
            <w:vAlign w:val="bottom"/>
            <w:gridSpan w:val="2"/>
            <w:shd w:val="clear" w:color="auto" w:fill="C00000"/>
          </w:tcPr>
          <w:p>
            <w:pPr>
              <w:ind w:left="100"/>
              <w:spacing w:after="0"/>
              <w:rPr>
                <w:sz w:val="20"/>
                <w:szCs w:val="20"/>
                <w:color w:val="auto"/>
              </w:rPr>
            </w:pPr>
            <w:r>
              <w:rPr>
                <w:rFonts w:ascii="Arial" w:cs="Arial" w:eastAsia="Arial" w:hAnsi="Arial"/>
                <w:sz w:val="12"/>
                <w:szCs w:val="12"/>
                <w:b w:val="1"/>
                <w:bCs w:val="1"/>
                <w:color w:val="FFFFFF"/>
              </w:rPr>
              <w:t>Exercisable</w:t>
            </w:r>
          </w:p>
        </w:tc>
        <w:tc>
          <w:tcPr>
            <w:tcW w:w="1040" w:type="dxa"/>
            <w:vAlign w:val="bottom"/>
            <w:shd w:val="clear" w:color="auto" w:fill="C00000"/>
          </w:tcPr>
          <w:p>
            <w:pPr>
              <w:jc w:val="center"/>
              <w:ind w:left="58"/>
              <w:spacing w:after="0" w:line="138" w:lineRule="exact"/>
              <w:rPr>
                <w:sz w:val="20"/>
                <w:szCs w:val="20"/>
                <w:color w:val="auto"/>
              </w:rPr>
            </w:pPr>
            <w:r>
              <w:rPr>
                <w:rFonts w:ascii="Arial" w:cs="Arial" w:eastAsia="Arial" w:hAnsi="Arial"/>
                <w:sz w:val="10"/>
                <w:szCs w:val="10"/>
                <w:b w:val="1"/>
                <w:bCs w:val="1"/>
                <w:color w:val="FFFFFF"/>
              </w:rPr>
              <w:t>Unexercisable</w:t>
            </w:r>
            <w:r>
              <w:rPr>
                <w:rFonts w:ascii="Arial" w:cs="Arial" w:eastAsia="Arial" w:hAnsi="Arial"/>
                <w:sz w:val="16"/>
                <w:szCs w:val="16"/>
                <w:b w:val="1"/>
                <w:bCs w:val="1"/>
                <w:color w:val="FFFFFF"/>
                <w:vertAlign w:val="superscript"/>
              </w:rPr>
              <w:t>(1)</w:t>
            </w:r>
          </w:p>
        </w:tc>
        <w:tc>
          <w:tcPr>
            <w:tcW w:w="1040" w:type="dxa"/>
            <w:vAlign w:val="bottom"/>
            <w:shd w:val="clear" w:color="auto" w:fill="C00000"/>
          </w:tcPr>
          <w:p>
            <w:pPr>
              <w:jc w:val="center"/>
              <w:ind w:left="37"/>
              <w:spacing w:after="0"/>
              <w:rPr>
                <w:sz w:val="20"/>
                <w:szCs w:val="20"/>
                <w:color w:val="auto"/>
              </w:rPr>
            </w:pPr>
            <w:r>
              <w:rPr>
                <w:rFonts w:ascii="Arial" w:cs="Arial" w:eastAsia="Arial" w:hAnsi="Arial"/>
                <w:sz w:val="12"/>
                <w:szCs w:val="12"/>
                <w:b w:val="1"/>
                <w:bCs w:val="1"/>
                <w:color w:val="FFFFFF"/>
              </w:rPr>
              <w:t>Price</w:t>
            </w:r>
          </w:p>
        </w:tc>
        <w:tc>
          <w:tcPr>
            <w:tcW w:w="1020" w:type="dxa"/>
            <w:vAlign w:val="bottom"/>
            <w:shd w:val="clear" w:color="auto" w:fill="C00000"/>
          </w:tcPr>
          <w:p>
            <w:pPr>
              <w:ind w:left="280"/>
              <w:spacing w:after="0"/>
              <w:rPr>
                <w:sz w:val="20"/>
                <w:szCs w:val="20"/>
                <w:color w:val="auto"/>
              </w:rPr>
            </w:pPr>
            <w:r>
              <w:rPr>
                <w:rFonts w:ascii="Arial" w:cs="Arial" w:eastAsia="Arial" w:hAnsi="Arial"/>
                <w:sz w:val="12"/>
                <w:szCs w:val="12"/>
                <w:b w:val="1"/>
                <w:bCs w:val="1"/>
                <w:color w:val="FFFFFF"/>
              </w:rPr>
              <w:t>Expiration</w:t>
            </w:r>
          </w:p>
        </w:tc>
        <w:tc>
          <w:tcPr>
            <w:tcW w:w="100" w:type="dxa"/>
            <w:vAlign w:val="bottom"/>
            <w:shd w:val="clear" w:color="auto" w:fill="C00000"/>
          </w:tcPr>
          <w:p>
            <w:pPr>
              <w:spacing w:after="0"/>
              <w:rPr>
                <w:sz w:val="12"/>
                <w:szCs w:val="12"/>
                <w:color w:val="auto"/>
              </w:rPr>
            </w:pPr>
          </w:p>
        </w:tc>
        <w:tc>
          <w:tcPr>
            <w:tcW w:w="840" w:type="dxa"/>
            <w:vAlign w:val="bottom"/>
            <w:shd w:val="clear" w:color="auto" w:fill="C00000"/>
          </w:tcPr>
          <w:p>
            <w:pPr>
              <w:jc w:val="center"/>
              <w:spacing w:after="0" w:line="138" w:lineRule="exact"/>
              <w:rPr>
                <w:sz w:val="20"/>
                <w:szCs w:val="20"/>
                <w:color w:val="auto"/>
              </w:rPr>
            </w:pPr>
            <w:r>
              <w:rPr>
                <w:rFonts w:ascii="Arial" w:cs="Arial" w:eastAsia="Arial" w:hAnsi="Arial"/>
                <w:sz w:val="10"/>
                <w:szCs w:val="10"/>
                <w:b w:val="1"/>
                <w:bCs w:val="1"/>
                <w:color w:val="FFFFFF"/>
              </w:rPr>
              <w:t>Vested</w:t>
            </w:r>
            <w:r>
              <w:rPr>
                <w:rFonts w:ascii="Arial" w:cs="Arial" w:eastAsia="Arial" w:hAnsi="Arial"/>
                <w:sz w:val="16"/>
                <w:szCs w:val="16"/>
                <w:b w:val="1"/>
                <w:bCs w:val="1"/>
                <w:color w:val="FFFFFF"/>
                <w:vertAlign w:val="superscript"/>
              </w:rPr>
              <w:t>(2)</w:t>
            </w:r>
          </w:p>
        </w:tc>
        <w:tc>
          <w:tcPr>
            <w:tcW w:w="100" w:type="dxa"/>
            <w:vAlign w:val="bottom"/>
            <w:shd w:val="clear" w:color="auto" w:fill="C00000"/>
          </w:tcPr>
          <w:p>
            <w:pPr>
              <w:spacing w:after="0"/>
              <w:rPr>
                <w:sz w:val="12"/>
                <w:szCs w:val="12"/>
                <w:color w:val="auto"/>
              </w:rPr>
            </w:pPr>
          </w:p>
        </w:tc>
        <w:tc>
          <w:tcPr>
            <w:tcW w:w="900" w:type="dxa"/>
            <w:vAlign w:val="bottom"/>
            <w:shd w:val="clear" w:color="auto" w:fill="C00000"/>
          </w:tcPr>
          <w:p>
            <w:pPr>
              <w:jc w:val="center"/>
              <w:spacing w:after="0" w:line="138" w:lineRule="exact"/>
              <w:rPr>
                <w:sz w:val="20"/>
                <w:szCs w:val="20"/>
                <w:color w:val="auto"/>
              </w:rPr>
            </w:pPr>
            <w:r>
              <w:rPr>
                <w:rFonts w:ascii="Arial" w:cs="Arial" w:eastAsia="Arial" w:hAnsi="Arial"/>
                <w:sz w:val="10"/>
                <w:szCs w:val="10"/>
                <w:b w:val="1"/>
                <w:bCs w:val="1"/>
                <w:color w:val="FFFFFF"/>
              </w:rPr>
              <w:t>Vested</w:t>
            </w:r>
            <w:r>
              <w:rPr>
                <w:rFonts w:ascii="Arial" w:cs="Arial" w:eastAsia="Arial" w:hAnsi="Arial"/>
                <w:sz w:val="16"/>
                <w:szCs w:val="16"/>
                <w:b w:val="1"/>
                <w:bCs w:val="1"/>
                <w:color w:val="FFFFFF"/>
                <w:vertAlign w:val="superscript"/>
              </w:rPr>
              <w:t>(3)</w:t>
            </w:r>
          </w:p>
        </w:tc>
        <w:tc>
          <w:tcPr>
            <w:tcW w:w="1540" w:type="dxa"/>
            <w:vAlign w:val="bottom"/>
            <w:shd w:val="clear" w:color="auto" w:fill="C00000"/>
          </w:tcPr>
          <w:p>
            <w:pPr>
              <w:jc w:val="center"/>
              <w:spacing w:after="0" w:line="138" w:lineRule="exact"/>
              <w:rPr>
                <w:sz w:val="20"/>
                <w:szCs w:val="20"/>
                <w:color w:val="auto"/>
              </w:rPr>
            </w:pPr>
            <w:r>
              <w:rPr>
                <w:rFonts w:ascii="Arial" w:cs="Arial" w:eastAsia="Arial" w:hAnsi="Arial"/>
                <w:sz w:val="10"/>
                <w:szCs w:val="10"/>
                <w:b w:val="1"/>
                <w:bCs w:val="1"/>
                <w:color w:val="FFFFFF"/>
              </w:rPr>
              <w:t>Not Vested</w:t>
            </w:r>
            <w:r>
              <w:rPr>
                <w:rFonts w:ascii="Arial" w:cs="Arial" w:eastAsia="Arial" w:hAnsi="Arial"/>
                <w:sz w:val="16"/>
                <w:szCs w:val="16"/>
                <w:b w:val="1"/>
                <w:bCs w:val="1"/>
                <w:color w:val="FFFFFF"/>
                <w:vertAlign w:val="superscript"/>
              </w:rPr>
              <w:t>(4)</w:t>
            </w:r>
          </w:p>
        </w:tc>
        <w:tc>
          <w:tcPr>
            <w:tcW w:w="1260" w:type="dxa"/>
            <w:vAlign w:val="bottom"/>
            <w:shd w:val="clear" w:color="auto" w:fill="C00000"/>
          </w:tcPr>
          <w:p>
            <w:pPr>
              <w:jc w:val="center"/>
              <w:spacing w:after="0" w:line="138" w:lineRule="exact"/>
              <w:rPr>
                <w:sz w:val="20"/>
                <w:szCs w:val="20"/>
                <w:color w:val="auto"/>
              </w:rPr>
            </w:pPr>
            <w:r>
              <w:rPr>
                <w:rFonts w:ascii="Arial" w:cs="Arial" w:eastAsia="Arial" w:hAnsi="Arial"/>
                <w:sz w:val="10"/>
                <w:szCs w:val="10"/>
                <w:b w:val="1"/>
                <w:bCs w:val="1"/>
                <w:color w:val="FFFFFF"/>
              </w:rPr>
              <w:t>Not Vested</w:t>
            </w:r>
            <w:r>
              <w:rPr>
                <w:rFonts w:ascii="Arial" w:cs="Arial" w:eastAsia="Arial" w:hAnsi="Arial"/>
                <w:sz w:val="16"/>
                <w:szCs w:val="16"/>
                <w:b w:val="1"/>
                <w:bCs w:val="1"/>
                <w:color w:val="FFFFFF"/>
                <w:vertAlign w:val="superscript"/>
              </w:rPr>
              <w:t>(5)</w:t>
            </w:r>
          </w:p>
        </w:tc>
        <w:tc>
          <w:tcPr>
            <w:tcW w:w="0" w:type="dxa"/>
            <w:vAlign w:val="bottom"/>
          </w:tcPr>
          <w:p>
            <w:pPr>
              <w:spacing w:after="0"/>
              <w:rPr>
                <w:sz w:val="1"/>
                <w:szCs w:val="1"/>
                <w:color w:val="auto"/>
              </w:rPr>
            </w:pPr>
          </w:p>
        </w:tc>
      </w:tr>
      <w:tr>
        <w:trPr>
          <w:trHeight w:val="145"/>
        </w:trPr>
        <w:tc>
          <w:tcPr>
            <w:tcW w:w="2400" w:type="dxa"/>
            <w:vAlign w:val="bottom"/>
            <w:vMerge w:val="continue"/>
            <w:shd w:val="clear" w:color="auto" w:fill="C00000"/>
          </w:tcPr>
          <w:p>
            <w:pPr>
              <w:spacing w:after="0"/>
              <w:rPr>
                <w:sz w:val="12"/>
                <w:szCs w:val="12"/>
                <w:color w:val="auto"/>
              </w:rPr>
            </w:pPr>
          </w:p>
        </w:tc>
        <w:tc>
          <w:tcPr>
            <w:tcW w:w="820" w:type="dxa"/>
            <w:vAlign w:val="bottom"/>
            <w:shd w:val="clear" w:color="auto" w:fill="C00000"/>
          </w:tcPr>
          <w:p>
            <w:pPr>
              <w:ind w:left="100"/>
              <w:spacing w:after="0"/>
              <w:rPr>
                <w:sz w:val="20"/>
                <w:szCs w:val="20"/>
                <w:color w:val="auto"/>
              </w:rPr>
            </w:pPr>
            <w:r>
              <w:rPr>
                <w:rFonts w:ascii="Arial" w:cs="Arial" w:eastAsia="Arial" w:hAnsi="Arial"/>
                <w:sz w:val="12"/>
                <w:szCs w:val="12"/>
                <w:b w:val="1"/>
                <w:bCs w:val="1"/>
                <w:color w:val="FFFFFF"/>
              </w:rPr>
              <w:t>(#)</w:t>
            </w:r>
          </w:p>
        </w:tc>
        <w:tc>
          <w:tcPr>
            <w:tcW w:w="180" w:type="dxa"/>
            <w:vAlign w:val="bottom"/>
            <w:shd w:val="clear" w:color="auto" w:fill="C00000"/>
          </w:tcPr>
          <w:p>
            <w:pPr>
              <w:spacing w:after="0"/>
              <w:rPr>
                <w:sz w:val="12"/>
                <w:szCs w:val="12"/>
                <w:color w:val="auto"/>
              </w:rPr>
            </w:pPr>
          </w:p>
        </w:tc>
        <w:tc>
          <w:tcPr>
            <w:tcW w:w="1040" w:type="dxa"/>
            <w:vAlign w:val="bottom"/>
            <w:shd w:val="clear" w:color="auto" w:fill="C00000"/>
          </w:tcPr>
          <w:p>
            <w:pPr>
              <w:jc w:val="center"/>
              <w:ind w:left="38"/>
              <w:spacing w:after="0"/>
              <w:rPr>
                <w:sz w:val="20"/>
                <w:szCs w:val="20"/>
                <w:color w:val="auto"/>
              </w:rPr>
            </w:pPr>
            <w:r>
              <w:rPr>
                <w:rFonts w:ascii="Arial" w:cs="Arial" w:eastAsia="Arial" w:hAnsi="Arial"/>
                <w:sz w:val="12"/>
                <w:szCs w:val="12"/>
                <w:b w:val="1"/>
                <w:bCs w:val="1"/>
                <w:color w:val="FFFFFF"/>
                <w:w w:val="95"/>
              </w:rPr>
              <w:t>(#)</w:t>
            </w:r>
          </w:p>
        </w:tc>
        <w:tc>
          <w:tcPr>
            <w:tcW w:w="1040" w:type="dxa"/>
            <w:vAlign w:val="bottom"/>
            <w:shd w:val="clear" w:color="auto" w:fill="C00000"/>
          </w:tcPr>
          <w:p>
            <w:pPr>
              <w:jc w:val="center"/>
              <w:ind w:left="37"/>
              <w:spacing w:after="0"/>
              <w:rPr>
                <w:sz w:val="20"/>
                <w:szCs w:val="20"/>
                <w:color w:val="auto"/>
              </w:rPr>
            </w:pPr>
            <w:r>
              <w:rPr>
                <w:rFonts w:ascii="Arial" w:cs="Arial" w:eastAsia="Arial" w:hAnsi="Arial"/>
                <w:sz w:val="12"/>
                <w:szCs w:val="12"/>
                <w:b w:val="1"/>
                <w:bCs w:val="1"/>
                <w:color w:val="FFFFFF"/>
                <w:w w:val="95"/>
              </w:rPr>
              <w:t>($)</w:t>
            </w:r>
          </w:p>
        </w:tc>
        <w:tc>
          <w:tcPr>
            <w:tcW w:w="1020" w:type="dxa"/>
            <w:vAlign w:val="bottom"/>
            <w:shd w:val="clear" w:color="auto" w:fill="C00000"/>
          </w:tcPr>
          <w:p>
            <w:pPr>
              <w:ind w:left="420"/>
              <w:spacing w:after="0"/>
              <w:rPr>
                <w:sz w:val="20"/>
                <w:szCs w:val="20"/>
                <w:color w:val="auto"/>
              </w:rPr>
            </w:pPr>
            <w:r>
              <w:rPr>
                <w:rFonts w:ascii="Arial" w:cs="Arial" w:eastAsia="Arial" w:hAnsi="Arial"/>
                <w:sz w:val="12"/>
                <w:szCs w:val="12"/>
                <w:b w:val="1"/>
                <w:bCs w:val="1"/>
                <w:color w:val="FFFFFF"/>
              </w:rPr>
              <w:t>Date</w:t>
            </w:r>
          </w:p>
        </w:tc>
        <w:tc>
          <w:tcPr>
            <w:tcW w:w="940" w:type="dxa"/>
            <w:vAlign w:val="bottom"/>
            <w:gridSpan w:val="2"/>
            <w:shd w:val="clear" w:color="auto" w:fill="C00000"/>
          </w:tcPr>
          <w:p>
            <w:pPr>
              <w:jc w:val="center"/>
              <w:ind w:left="19"/>
              <w:spacing w:after="0"/>
              <w:rPr>
                <w:sz w:val="20"/>
                <w:szCs w:val="20"/>
                <w:color w:val="auto"/>
              </w:rPr>
            </w:pPr>
            <w:r>
              <w:rPr>
                <w:rFonts w:ascii="Arial" w:cs="Arial" w:eastAsia="Arial" w:hAnsi="Arial"/>
                <w:sz w:val="12"/>
                <w:szCs w:val="12"/>
                <w:b w:val="1"/>
                <w:bCs w:val="1"/>
                <w:color w:val="FFFFFF"/>
                <w:w w:val="95"/>
              </w:rPr>
              <w:t>(#)</w:t>
            </w:r>
          </w:p>
        </w:tc>
        <w:tc>
          <w:tcPr>
            <w:tcW w:w="1000" w:type="dxa"/>
            <w:vAlign w:val="bottom"/>
            <w:gridSpan w:val="2"/>
            <w:shd w:val="clear" w:color="auto" w:fill="C00000"/>
          </w:tcPr>
          <w:p>
            <w:pPr>
              <w:jc w:val="center"/>
              <w:ind w:left="19"/>
              <w:spacing w:after="0"/>
              <w:rPr>
                <w:sz w:val="20"/>
                <w:szCs w:val="20"/>
                <w:color w:val="auto"/>
              </w:rPr>
            </w:pPr>
            <w:r>
              <w:rPr>
                <w:rFonts w:ascii="Arial" w:cs="Arial" w:eastAsia="Arial" w:hAnsi="Arial"/>
                <w:sz w:val="12"/>
                <w:szCs w:val="12"/>
                <w:b w:val="1"/>
                <w:bCs w:val="1"/>
                <w:color w:val="FFFFFF"/>
              </w:rPr>
              <w:t>($)</w:t>
            </w:r>
          </w:p>
        </w:tc>
        <w:tc>
          <w:tcPr>
            <w:tcW w:w="1540" w:type="dxa"/>
            <w:vAlign w:val="bottom"/>
            <w:shd w:val="clear" w:color="auto" w:fill="C00000"/>
          </w:tcPr>
          <w:p>
            <w:pPr>
              <w:jc w:val="center"/>
              <w:ind w:right="20"/>
              <w:spacing w:after="0"/>
              <w:rPr>
                <w:sz w:val="20"/>
                <w:szCs w:val="20"/>
                <w:color w:val="auto"/>
              </w:rPr>
            </w:pPr>
            <w:r>
              <w:rPr>
                <w:rFonts w:ascii="Arial" w:cs="Arial" w:eastAsia="Arial" w:hAnsi="Arial"/>
                <w:sz w:val="12"/>
                <w:szCs w:val="12"/>
                <w:b w:val="1"/>
                <w:bCs w:val="1"/>
                <w:color w:val="FFFFFF"/>
                <w:w w:val="95"/>
              </w:rPr>
              <w:t>(#)</w:t>
            </w:r>
          </w:p>
        </w:tc>
        <w:tc>
          <w:tcPr>
            <w:tcW w:w="1260" w:type="dxa"/>
            <w:vAlign w:val="bottom"/>
            <w:shd w:val="clear" w:color="auto" w:fill="C00000"/>
          </w:tcPr>
          <w:p>
            <w:pPr>
              <w:jc w:val="center"/>
              <w:spacing w:after="0"/>
              <w:rPr>
                <w:sz w:val="20"/>
                <w:szCs w:val="20"/>
                <w:color w:val="auto"/>
              </w:rPr>
            </w:pPr>
            <w:r>
              <w:rPr>
                <w:rFonts w:ascii="Arial" w:cs="Arial" w:eastAsia="Arial" w:hAnsi="Arial"/>
                <w:sz w:val="10"/>
                <w:szCs w:val="10"/>
                <w:b w:val="1"/>
                <w:bCs w:val="1"/>
                <w:color w:val="FFFFFF"/>
                <w:w w:val="97"/>
              </w:rPr>
              <w:t>($)</w:t>
            </w:r>
          </w:p>
        </w:tc>
        <w:tc>
          <w:tcPr>
            <w:tcW w:w="0" w:type="dxa"/>
            <w:vAlign w:val="bottom"/>
          </w:tcPr>
          <w:p>
            <w:pPr>
              <w:spacing w:after="0"/>
              <w:rPr>
                <w:sz w:val="1"/>
                <w:szCs w:val="1"/>
                <w:color w:val="auto"/>
              </w:rPr>
            </w:pPr>
          </w:p>
        </w:tc>
      </w:tr>
      <w:tr>
        <w:trPr>
          <w:trHeight w:val="144"/>
        </w:trPr>
        <w:tc>
          <w:tcPr>
            <w:tcW w:w="2400" w:type="dxa"/>
            <w:vAlign w:val="bottom"/>
          </w:tcPr>
          <w:p>
            <w:pPr>
              <w:spacing w:after="0" w:line="144" w:lineRule="exact"/>
              <w:rPr>
                <w:sz w:val="20"/>
                <w:szCs w:val="20"/>
                <w:color w:val="auto"/>
              </w:rPr>
            </w:pPr>
            <w:r>
              <w:rPr>
                <w:rFonts w:ascii="Arial" w:cs="Arial" w:eastAsia="Arial" w:hAnsi="Arial"/>
                <w:sz w:val="13"/>
                <w:szCs w:val="13"/>
                <w:color w:val="auto"/>
              </w:rPr>
              <w:t>Richard M. Olson</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tcPr>
          <w:p>
            <w:pPr>
              <w:ind w:left="140"/>
              <w:spacing w:after="0"/>
              <w:rPr>
                <w:sz w:val="20"/>
                <w:szCs w:val="20"/>
                <w:color w:val="auto"/>
              </w:rPr>
            </w:pPr>
            <w:r>
              <w:rPr>
                <w:rFonts w:ascii="Arial" w:cs="Arial" w:eastAsia="Arial" w:hAnsi="Arial"/>
                <w:sz w:val="13"/>
                <w:szCs w:val="13"/>
                <w:color w:val="auto"/>
              </w:rPr>
              <w:t>Stock Options</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12,000</w:t>
            </w:r>
          </w:p>
        </w:tc>
        <w:tc>
          <w:tcPr>
            <w:tcW w:w="1040" w:type="dxa"/>
            <w:vAlign w:val="bottom"/>
          </w:tcPr>
          <w:p>
            <w:pPr>
              <w:jc w:val="right"/>
              <w:spacing w:after="0"/>
              <w:rPr>
                <w:sz w:val="20"/>
                <w:szCs w:val="20"/>
                <w:color w:val="auto"/>
              </w:rPr>
            </w:pPr>
            <w:r>
              <w:rPr>
                <w:rFonts w:ascii="Arial" w:cs="Arial" w:eastAsia="Arial" w:hAnsi="Arial"/>
                <w:sz w:val="13"/>
                <w:szCs w:val="13"/>
                <w:color w:val="auto"/>
              </w:rPr>
              <w:t>0</w:t>
            </w:r>
          </w:p>
        </w:tc>
        <w:tc>
          <w:tcPr>
            <w:tcW w:w="1040" w:type="dxa"/>
            <w:vAlign w:val="bottom"/>
          </w:tcPr>
          <w:p>
            <w:pPr>
              <w:jc w:val="right"/>
              <w:spacing w:after="0"/>
              <w:rPr>
                <w:sz w:val="20"/>
                <w:szCs w:val="20"/>
                <w:color w:val="auto"/>
              </w:rPr>
            </w:pPr>
            <w:r>
              <w:rPr>
                <w:rFonts w:ascii="Arial" w:cs="Arial" w:eastAsia="Arial" w:hAnsi="Arial"/>
                <w:sz w:val="13"/>
                <w:szCs w:val="13"/>
                <w:color w:val="auto"/>
              </w:rPr>
              <w:t>29.7500</w:t>
            </w:r>
          </w:p>
        </w:tc>
        <w:tc>
          <w:tcPr>
            <w:tcW w:w="1020" w:type="dxa"/>
            <w:vAlign w:val="bottom"/>
          </w:tcPr>
          <w:p>
            <w:pPr>
              <w:ind w:left="380"/>
              <w:spacing w:after="0"/>
              <w:rPr>
                <w:sz w:val="20"/>
                <w:szCs w:val="20"/>
                <w:color w:val="auto"/>
              </w:rPr>
            </w:pPr>
            <w:r>
              <w:rPr>
                <w:rFonts w:ascii="Arial" w:cs="Arial" w:eastAsia="Arial" w:hAnsi="Arial"/>
                <w:sz w:val="13"/>
                <w:szCs w:val="13"/>
                <w:color w:val="auto"/>
                <w:w w:val="95"/>
              </w:rPr>
              <w:t>12/06/2023</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20,000</w:t>
            </w:r>
          </w:p>
        </w:tc>
        <w:tc>
          <w:tcPr>
            <w:tcW w:w="1040" w:type="dxa"/>
            <w:vAlign w:val="bottom"/>
          </w:tcPr>
          <w:p>
            <w:pPr>
              <w:jc w:val="right"/>
              <w:spacing w:after="0"/>
              <w:rPr>
                <w:sz w:val="20"/>
                <w:szCs w:val="20"/>
                <w:color w:val="auto"/>
              </w:rPr>
            </w:pPr>
            <w:r>
              <w:rPr>
                <w:rFonts w:ascii="Arial" w:cs="Arial" w:eastAsia="Arial" w:hAnsi="Arial"/>
                <w:sz w:val="13"/>
                <w:szCs w:val="13"/>
                <w:color w:val="auto"/>
              </w:rPr>
              <w:t>0</w:t>
            </w:r>
          </w:p>
        </w:tc>
        <w:tc>
          <w:tcPr>
            <w:tcW w:w="1040" w:type="dxa"/>
            <w:vAlign w:val="bottom"/>
          </w:tcPr>
          <w:p>
            <w:pPr>
              <w:jc w:val="right"/>
              <w:spacing w:after="0"/>
              <w:rPr>
                <w:sz w:val="20"/>
                <w:szCs w:val="20"/>
                <w:color w:val="auto"/>
              </w:rPr>
            </w:pPr>
            <w:r>
              <w:rPr>
                <w:rFonts w:ascii="Arial" w:cs="Arial" w:eastAsia="Arial" w:hAnsi="Arial"/>
                <w:sz w:val="13"/>
                <w:szCs w:val="13"/>
                <w:color w:val="auto"/>
              </w:rPr>
              <w:t>31.3750</w:t>
            </w:r>
          </w:p>
        </w:tc>
        <w:tc>
          <w:tcPr>
            <w:tcW w:w="1020" w:type="dxa"/>
            <w:vAlign w:val="bottom"/>
          </w:tcPr>
          <w:p>
            <w:pPr>
              <w:ind w:left="380"/>
              <w:spacing w:after="0"/>
              <w:rPr>
                <w:sz w:val="20"/>
                <w:szCs w:val="20"/>
                <w:color w:val="auto"/>
              </w:rPr>
            </w:pPr>
            <w:r>
              <w:rPr>
                <w:rFonts w:ascii="Arial" w:cs="Arial" w:eastAsia="Arial" w:hAnsi="Arial"/>
                <w:sz w:val="13"/>
                <w:szCs w:val="13"/>
                <w:color w:val="auto"/>
                <w:w w:val="95"/>
              </w:rPr>
              <w:t>12/05/2024</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44,400</w:t>
            </w:r>
          </w:p>
        </w:tc>
        <w:tc>
          <w:tcPr>
            <w:tcW w:w="1040" w:type="dxa"/>
            <w:vAlign w:val="bottom"/>
          </w:tcPr>
          <w:p>
            <w:pPr>
              <w:jc w:val="right"/>
              <w:spacing w:after="0"/>
              <w:rPr>
                <w:sz w:val="20"/>
                <w:szCs w:val="20"/>
                <w:color w:val="auto"/>
              </w:rPr>
            </w:pPr>
            <w:r>
              <w:rPr>
                <w:rFonts w:ascii="Arial" w:cs="Arial" w:eastAsia="Arial" w:hAnsi="Arial"/>
                <w:sz w:val="13"/>
                <w:szCs w:val="13"/>
                <w:color w:val="auto"/>
              </w:rPr>
              <w:t>0</w:t>
            </w:r>
          </w:p>
        </w:tc>
        <w:tc>
          <w:tcPr>
            <w:tcW w:w="1040" w:type="dxa"/>
            <w:vAlign w:val="bottom"/>
          </w:tcPr>
          <w:p>
            <w:pPr>
              <w:jc w:val="right"/>
              <w:spacing w:after="0"/>
              <w:rPr>
                <w:sz w:val="20"/>
                <w:szCs w:val="20"/>
                <w:color w:val="auto"/>
              </w:rPr>
            </w:pPr>
            <w:r>
              <w:rPr>
                <w:rFonts w:ascii="Arial" w:cs="Arial" w:eastAsia="Arial" w:hAnsi="Arial"/>
                <w:sz w:val="13"/>
                <w:szCs w:val="13"/>
                <w:color w:val="auto"/>
              </w:rPr>
              <w:t>38.8200</w:t>
            </w:r>
          </w:p>
        </w:tc>
        <w:tc>
          <w:tcPr>
            <w:tcW w:w="1020" w:type="dxa"/>
            <w:vAlign w:val="bottom"/>
          </w:tcPr>
          <w:p>
            <w:pPr>
              <w:ind w:left="380"/>
              <w:spacing w:after="0"/>
              <w:rPr>
                <w:sz w:val="20"/>
                <w:szCs w:val="20"/>
                <w:color w:val="auto"/>
              </w:rPr>
            </w:pPr>
            <w:r>
              <w:rPr>
                <w:rFonts w:ascii="Arial" w:cs="Arial" w:eastAsia="Arial" w:hAnsi="Arial"/>
                <w:sz w:val="13"/>
                <w:szCs w:val="13"/>
                <w:color w:val="auto"/>
                <w:w w:val="95"/>
              </w:rPr>
              <w:t>12/04/2025</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119,400</w:t>
            </w:r>
          </w:p>
        </w:tc>
        <w:tc>
          <w:tcPr>
            <w:tcW w:w="1040" w:type="dxa"/>
            <w:vAlign w:val="bottom"/>
          </w:tcPr>
          <w:p>
            <w:pPr>
              <w:jc w:val="right"/>
              <w:spacing w:after="0"/>
              <w:rPr>
                <w:sz w:val="20"/>
                <w:szCs w:val="20"/>
                <w:color w:val="auto"/>
              </w:rPr>
            </w:pPr>
            <w:r>
              <w:rPr>
                <w:rFonts w:ascii="Arial" w:cs="Arial" w:eastAsia="Arial" w:hAnsi="Arial"/>
                <w:sz w:val="13"/>
                <w:szCs w:val="13"/>
                <w:color w:val="auto"/>
              </w:rPr>
              <w:t>0</w:t>
            </w:r>
          </w:p>
        </w:tc>
        <w:tc>
          <w:tcPr>
            <w:tcW w:w="1040" w:type="dxa"/>
            <w:vAlign w:val="bottom"/>
          </w:tcPr>
          <w:p>
            <w:pPr>
              <w:jc w:val="right"/>
              <w:spacing w:after="0"/>
              <w:rPr>
                <w:sz w:val="20"/>
                <w:szCs w:val="20"/>
                <w:color w:val="auto"/>
              </w:rPr>
            </w:pPr>
            <w:r>
              <w:rPr>
                <w:rFonts w:ascii="Arial" w:cs="Arial" w:eastAsia="Arial" w:hAnsi="Arial"/>
                <w:sz w:val="13"/>
                <w:szCs w:val="13"/>
                <w:color w:val="auto"/>
              </w:rPr>
              <w:t>56.5400</w:t>
            </w:r>
          </w:p>
        </w:tc>
        <w:tc>
          <w:tcPr>
            <w:tcW w:w="1020" w:type="dxa"/>
            <w:vAlign w:val="bottom"/>
          </w:tcPr>
          <w:p>
            <w:pPr>
              <w:ind w:left="380"/>
              <w:spacing w:after="0"/>
              <w:rPr>
                <w:sz w:val="20"/>
                <w:szCs w:val="20"/>
                <w:color w:val="auto"/>
              </w:rPr>
            </w:pPr>
            <w:r>
              <w:rPr>
                <w:rFonts w:ascii="Arial" w:cs="Arial" w:eastAsia="Arial" w:hAnsi="Arial"/>
                <w:sz w:val="13"/>
                <w:szCs w:val="13"/>
                <w:color w:val="auto"/>
                <w:w w:val="95"/>
              </w:rPr>
              <w:t>12/09/2026</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102,400</w:t>
            </w:r>
          </w:p>
        </w:tc>
        <w:tc>
          <w:tcPr>
            <w:tcW w:w="1040" w:type="dxa"/>
            <w:vAlign w:val="bottom"/>
          </w:tcPr>
          <w:p>
            <w:pPr>
              <w:jc w:val="right"/>
              <w:spacing w:after="0"/>
              <w:rPr>
                <w:sz w:val="20"/>
                <w:szCs w:val="20"/>
                <w:color w:val="auto"/>
              </w:rPr>
            </w:pPr>
            <w:r>
              <w:rPr>
                <w:rFonts w:ascii="Arial" w:cs="Arial" w:eastAsia="Arial" w:hAnsi="Arial"/>
                <w:sz w:val="13"/>
                <w:szCs w:val="13"/>
                <w:color w:val="auto"/>
              </w:rPr>
              <w:t>0</w:t>
            </w:r>
          </w:p>
        </w:tc>
        <w:tc>
          <w:tcPr>
            <w:tcW w:w="1040" w:type="dxa"/>
            <w:vAlign w:val="bottom"/>
          </w:tcPr>
          <w:p>
            <w:pPr>
              <w:jc w:val="right"/>
              <w:spacing w:after="0"/>
              <w:rPr>
                <w:sz w:val="20"/>
                <w:szCs w:val="20"/>
                <w:color w:val="auto"/>
              </w:rPr>
            </w:pPr>
            <w:r>
              <w:rPr>
                <w:rFonts w:ascii="Arial" w:cs="Arial" w:eastAsia="Arial" w:hAnsi="Arial"/>
                <w:sz w:val="13"/>
                <w:szCs w:val="13"/>
                <w:color w:val="auto"/>
              </w:rPr>
              <w:t>65.9300</w:t>
            </w:r>
          </w:p>
        </w:tc>
        <w:tc>
          <w:tcPr>
            <w:tcW w:w="1020" w:type="dxa"/>
            <w:vAlign w:val="bottom"/>
          </w:tcPr>
          <w:p>
            <w:pPr>
              <w:ind w:left="380"/>
              <w:spacing w:after="0"/>
              <w:rPr>
                <w:sz w:val="20"/>
                <w:szCs w:val="20"/>
                <w:color w:val="auto"/>
              </w:rPr>
            </w:pPr>
            <w:r>
              <w:rPr>
                <w:rFonts w:ascii="Arial" w:cs="Arial" w:eastAsia="Arial" w:hAnsi="Arial"/>
                <w:sz w:val="13"/>
                <w:szCs w:val="13"/>
                <w:color w:val="auto"/>
                <w:w w:val="95"/>
              </w:rPr>
              <w:t>12/08/2027</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137,100</w:t>
            </w:r>
          </w:p>
        </w:tc>
        <w:tc>
          <w:tcPr>
            <w:tcW w:w="1040" w:type="dxa"/>
            <w:vAlign w:val="bottom"/>
          </w:tcPr>
          <w:p>
            <w:pPr>
              <w:jc w:val="right"/>
              <w:spacing w:after="0"/>
              <w:rPr>
                <w:sz w:val="20"/>
                <w:szCs w:val="20"/>
                <w:color w:val="auto"/>
              </w:rPr>
            </w:pPr>
            <w:r>
              <w:rPr>
                <w:rFonts w:ascii="Arial" w:cs="Arial" w:eastAsia="Arial" w:hAnsi="Arial"/>
                <w:sz w:val="13"/>
                <w:szCs w:val="13"/>
                <w:color w:val="auto"/>
              </w:rPr>
              <w:t>0</w:t>
            </w:r>
          </w:p>
        </w:tc>
        <w:tc>
          <w:tcPr>
            <w:tcW w:w="1040" w:type="dxa"/>
            <w:vAlign w:val="bottom"/>
          </w:tcPr>
          <w:p>
            <w:pPr>
              <w:jc w:val="right"/>
              <w:spacing w:after="0"/>
              <w:rPr>
                <w:sz w:val="20"/>
                <w:szCs w:val="20"/>
                <w:color w:val="auto"/>
              </w:rPr>
            </w:pPr>
            <w:r>
              <w:rPr>
                <w:rFonts w:ascii="Arial" w:cs="Arial" w:eastAsia="Arial" w:hAnsi="Arial"/>
                <w:sz w:val="13"/>
                <w:szCs w:val="13"/>
                <w:color w:val="auto"/>
              </w:rPr>
              <w:t>58.5300</w:t>
            </w:r>
          </w:p>
        </w:tc>
        <w:tc>
          <w:tcPr>
            <w:tcW w:w="1020" w:type="dxa"/>
            <w:vAlign w:val="bottom"/>
          </w:tcPr>
          <w:p>
            <w:pPr>
              <w:ind w:left="380"/>
              <w:spacing w:after="0"/>
              <w:rPr>
                <w:sz w:val="20"/>
                <w:szCs w:val="20"/>
                <w:color w:val="auto"/>
              </w:rPr>
            </w:pPr>
            <w:r>
              <w:rPr>
                <w:rFonts w:ascii="Arial" w:cs="Arial" w:eastAsia="Arial" w:hAnsi="Arial"/>
                <w:sz w:val="13"/>
                <w:szCs w:val="13"/>
                <w:color w:val="auto"/>
                <w:w w:val="95"/>
              </w:rPr>
              <w:t>12/07/2028</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101,933</w:t>
            </w:r>
          </w:p>
        </w:tc>
        <w:tc>
          <w:tcPr>
            <w:tcW w:w="1040" w:type="dxa"/>
            <w:vAlign w:val="bottom"/>
          </w:tcPr>
          <w:p>
            <w:pPr>
              <w:jc w:val="right"/>
              <w:spacing w:after="0"/>
              <w:rPr>
                <w:sz w:val="20"/>
                <w:szCs w:val="20"/>
                <w:color w:val="auto"/>
              </w:rPr>
            </w:pPr>
            <w:r>
              <w:rPr>
                <w:rFonts w:ascii="Arial" w:cs="Arial" w:eastAsia="Arial" w:hAnsi="Arial"/>
                <w:sz w:val="13"/>
                <w:szCs w:val="13"/>
                <w:color w:val="auto"/>
              </w:rPr>
              <w:t>50,967</w:t>
            </w:r>
          </w:p>
        </w:tc>
        <w:tc>
          <w:tcPr>
            <w:tcW w:w="1040" w:type="dxa"/>
            <w:vAlign w:val="bottom"/>
          </w:tcPr>
          <w:p>
            <w:pPr>
              <w:jc w:val="right"/>
              <w:spacing w:after="0"/>
              <w:rPr>
                <w:sz w:val="20"/>
                <w:szCs w:val="20"/>
                <w:color w:val="auto"/>
              </w:rPr>
            </w:pPr>
            <w:r>
              <w:rPr>
                <w:rFonts w:ascii="Arial" w:cs="Arial" w:eastAsia="Arial" w:hAnsi="Arial"/>
                <w:sz w:val="13"/>
                <w:szCs w:val="13"/>
                <w:color w:val="auto"/>
              </w:rPr>
              <w:t>76.5300</w:t>
            </w:r>
          </w:p>
        </w:tc>
        <w:tc>
          <w:tcPr>
            <w:tcW w:w="1020" w:type="dxa"/>
            <w:vAlign w:val="bottom"/>
          </w:tcPr>
          <w:p>
            <w:pPr>
              <w:ind w:left="380"/>
              <w:spacing w:after="0"/>
              <w:rPr>
                <w:sz w:val="20"/>
                <w:szCs w:val="20"/>
                <w:color w:val="auto"/>
              </w:rPr>
            </w:pPr>
            <w:r>
              <w:rPr>
                <w:rFonts w:ascii="Arial" w:cs="Arial" w:eastAsia="Arial" w:hAnsi="Arial"/>
                <w:sz w:val="13"/>
                <w:szCs w:val="13"/>
                <w:color w:val="auto"/>
                <w:w w:val="95"/>
              </w:rPr>
              <w:t>12/19/2029</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44,766</w:t>
            </w:r>
          </w:p>
        </w:tc>
        <w:tc>
          <w:tcPr>
            <w:tcW w:w="1040" w:type="dxa"/>
            <w:vAlign w:val="bottom"/>
          </w:tcPr>
          <w:p>
            <w:pPr>
              <w:jc w:val="right"/>
              <w:spacing w:after="0"/>
              <w:rPr>
                <w:sz w:val="20"/>
                <w:szCs w:val="20"/>
                <w:color w:val="auto"/>
              </w:rPr>
            </w:pPr>
            <w:r>
              <w:rPr>
                <w:rFonts w:ascii="Arial" w:cs="Arial" w:eastAsia="Arial" w:hAnsi="Arial"/>
                <w:sz w:val="13"/>
                <w:szCs w:val="13"/>
                <w:color w:val="auto"/>
              </w:rPr>
              <w:t>89,534</w:t>
            </w:r>
          </w:p>
        </w:tc>
        <w:tc>
          <w:tcPr>
            <w:tcW w:w="1040" w:type="dxa"/>
            <w:vAlign w:val="bottom"/>
          </w:tcPr>
          <w:p>
            <w:pPr>
              <w:jc w:val="right"/>
              <w:spacing w:after="0"/>
              <w:rPr>
                <w:sz w:val="20"/>
                <w:szCs w:val="20"/>
                <w:color w:val="auto"/>
              </w:rPr>
            </w:pPr>
            <w:r>
              <w:rPr>
                <w:rFonts w:ascii="Arial" w:cs="Arial" w:eastAsia="Arial" w:hAnsi="Arial"/>
                <w:sz w:val="13"/>
                <w:szCs w:val="13"/>
                <w:color w:val="auto"/>
              </w:rPr>
              <w:t>93.3300</w:t>
            </w:r>
          </w:p>
        </w:tc>
        <w:tc>
          <w:tcPr>
            <w:tcW w:w="1020" w:type="dxa"/>
            <w:vAlign w:val="bottom"/>
          </w:tcPr>
          <w:p>
            <w:pPr>
              <w:ind w:left="380"/>
              <w:spacing w:after="0"/>
              <w:rPr>
                <w:sz w:val="20"/>
                <w:szCs w:val="20"/>
                <w:color w:val="auto"/>
              </w:rPr>
            </w:pPr>
            <w:r>
              <w:rPr>
                <w:rFonts w:ascii="Arial" w:cs="Arial" w:eastAsia="Arial" w:hAnsi="Arial"/>
                <w:sz w:val="13"/>
                <w:szCs w:val="13"/>
                <w:color w:val="auto"/>
                <w:w w:val="95"/>
              </w:rPr>
              <w:t>12/17/2030</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400" w:type="dxa"/>
            <w:vAlign w:val="bottom"/>
            <w:vMerge w:val="restart"/>
          </w:tcPr>
          <w:p>
            <w:pPr>
              <w:ind w:left="140"/>
              <w:spacing w:after="0"/>
              <w:rPr>
                <w:sz w:val="20"/>
                <w:szCs w:val="20"/>
                <w:color w:val="auto"/>
              </w:rPr>
            </w:pPr>
            <w:r>
              <w:rPr>
                <w:rFonts w:ascii="Arial" w:cs="Arial" w:eastAsia="Arial" w:hAnsi="Arial"/>
                <w:sz w:val="13"/>
                <w:szCs w:val="13"/>
                <w:color w:val="auto"/>
              </w:rPr>
              <w:t>F21-F23 Performance Shares</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1040" w:type="dxa"/>
            <w:vAlign w:val="bottom"/>
          </w:tcPr>
          <w:p>
            <w:pPr>
              <w:jc w:val="right"/>
              <w:spacing w:after="0"/>
              <w:rPr>
                <w:sz w:val="20"/>
                <w:szCs w:val="20"/>
                <w:color w:val="auto"/>
              </w:rPr>
            </w:pPr>
            <w:r>
              <w:rPr>
                <w:rFonts w:ascii="Arial" w:cs="Arial" w:eastAsia="Arial" w:hAnsi="Arial"/>
                <w:sz w:val="13"/>
                <w:szCs w:val="13"/>
                <w:color w:val="auto"/>
              </w:rPr>
              <w:t>109,100</w:t>
            </w:r>
          </w:p>
        </w:tc>
        <w:tc>
          <w:tcPr>
            <w:tcW w:w="1040" w:type="dxa"/>
            <w:vAlign w:val="bottom"/>
          </w:tcPr>
          <w:p>
            <w:pPr>
              <w:jc w:val="right"/>
              <w:spacing w:after="0"/>
              <w:rPr>
                <w:sz w:val="20"/>
                <w:szCs w:val="20"/>
                <w:color w:val="auto"/>
              </w:rPr>
            </w:pPr>
            <w:r>
              <w:rPr>
                <w:rFonts w:ascii="Arial" w:cs="Arial" w:eastAsia="Arial" w:hAnsi="Arial"/>
                <w:sz w:val="13"/>
                <w:szCs w:val="13"/>
                <w:color w:val="auto"/>
              </w:rPr>
              <w:t>99.3400</w:t>
            </w:r>
          </w:p>
        </w:tc>
        <w:tc>
          <w:tcPr>
            <w:tcW w:w="1020" w:type="dxa"/>
            <w:vAlign w:val="bottom"/>
          </w:tcPr>
          <w:p>
            <w:pPr>
              <w:ind w:left="380"/>
              <w:spacing w:after="0"/>
              <w:rPr>
                <w:sz w:val="20"/>
                <w:szCs w:val="20"/>
                <w:color w:val="auto"/>
              </w:rPr>
            </w:pPr>
            <w:r>
              <w:rPr>
                <w:rFonts w:ascii="Arial" w:cs="Arial" w:eastAsia="Arial" w:hAnsi="Arial"/>
                <w:sz w:val="13"/>
                <w:szCs w:val="13"/>
                <w:color w:val="auto"/>
                <w:w w:val="95"/>
              </w:rPr>
              <w:t>12/16/2031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vMerge w:val="restart"/>
          </w:tcPr>
          <w:p>
            <w:pPr>
              <w:jc w:val="right"/>
              <w:ind w:right="120"/>
              <w:spacing w:after="0"/>
              <w:rPr>
                <w:sz w:val="20"/>
                <w:szCs w:val="20"/>
                <w:color w:val="auto"/>
              </w:rPr>
            </w:pPr>
            <w:r>
              <w:rPr>
                <w:rFonts w:ascii="Arial" w:cs="Arial" w:eastAsia="Arial" w:hAnsi="Arial"/>
                <w:sz w:val="13"/>
                <w:szCs w:val="13"/>
                <w:color w:val="auto"/>
              </w:rPr>
              <w:t>42,840</w:t>
            </w:r>
          </w:p>
        </w:tc>
        <w:tc>
          <w:tcPr>
            <w:tcW w:w="1260" w:type="dxa"/>
            <w:vAlign w:val="bottom"/>
            <w:vMerge w:val="restart"/>
          </w:tcPr>
          <w:p>
            <w:pPr>
              <w:jc w:val="right"/>
              <w:spacing w:after="0"/>
              <w:rPr>
                <w:sz w:val="20"/>
                <w:szCs w:val="20"/>
                <w:color w:val="auto"/>
              </w:rPr>
            </w:pPr>
            <w:r>
              <w:rPr>
                <w:rFonts w:ascii="Arial" w:cs="Arial" w:eastAsia="Arial" w:hAnsi="Arial"/>
                <w:sz w:val="13"/>
                <w:szCs w:val="13"/>
                <w:color w:val="auto"/>
              </w:rPr>
              <w:t>4,516,621</w:t>
            </w:r>
          </w:p>
        </w:tc>
        <w:tc>
          <w:tcPr>
            <w:tcW w:w="0" w:type="dxa"/>
            <w:vAlign w:val="bottom"/>
          </w:tcPr>
          <w:p>
            <w:pPr>
              <w:spacing w:after="0"/>
              <w:rPr>
                <w:sz w:val="1"/>
                <w:szCs w:val="1"/>
                <w:color w:val="auto"/>
              </w:rPr>
            </w:pPr>
          </w:p>
        </w:tc>
      </w:tr>
      <w:tr>
        <w:trPr>
          <w:trHeight w:val="131"/>
        </w:trPr>
        <w:tc>
          <w:tcPr>
            <w:tcW w:w="240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400" w:type="dxa"/>
            <w:vAlign w:val="bottom"/>
          </w:tcPr>
          <w:p>
            <w:pPr>
              <w:ind w:left="140"/>
              <w:spacing w:after="0"/>
              <w:rPr>
                <w:sz w:val="20"/>
                <w:szCs w:val="20"/>
                <w:color w:val="auto"/>
              </w:rPr>
            </w:pPr>
            <w:r>
              <w:rPr>
                <w:rFonts w:ascii="Arial" w:cs="Arial" w:eastAsia="Arial" w:hAnsi="Arial"/>
                <w:sz w:val="13"/>
                <w:szCs w:val="13"/>
                <w:color w:val="auto"/>
              </w:rPr>
              <w:t>F22-F24 Performance Shares</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jc w:val="right"/>
              <w:ind w:right="120"/>
              <w:spacing w:after="0"/>
              <w:rPr>
                <w:sz w:val="20"/>
                <w:szCs w:val="20"/>
                <w:color w:val="auto"/>
              </w:rPr>
            </w:pPr>
            <w:r>
              <w:rPr>
                <w:rFonts w:ascii="Arial" w:cs="Arial" w:eastAsia="Arial" w:hAnsi="Arial"/>
                <w:sz w:val="13"/>
                <w:szCs w:val="13"/>
                <w:color w:val="auto"/>
              </w:rPr>
              <w:t>24,541</w:t>
            </w:r>
          </w:p>
        </w:tc>
        <w:tc>
          <w:tcPr>
            <w:tcW w:w="1260" w:type="dxa"/>
            <w:vAlign w:val="bottom"/>
          </w:tcPr>
          <w:p>
            <w:pPr>
              <w:jc w:val="right"/>
              <w:spacing w:after="0"/>
              <w:rPr>
                <w:sz w:val="20"/>
                <w:szCs w:val="20"/>
                <w:color w:val="auto"/>
              </w:rPr>
            </w:pPr>
            <w:r>
              <w:rPr>
                <w:rFonts w:ascii="Arial" w:cs="Arial" w:eastAsia="Arial" w:hAnsi="Arial"/>
                <w:sz w:val="13"/>
                <w:szCs w:val="13"/>
                <w:color w:val="auto"/>
              </w:rPr>
              <w:t>2,587,358</w:t>
            </w:r>
          </w:p>
        </w:tc>
        <w:tc>
          <w:tcPr>
            <w:tcW w:w="0" w:type="dxa"/>
            <w:vAlign w:val="bottom"/>
          </w:tcPr>
          <w:p>
            <w:pPr>
              <w:spacing w:after="0"/>
              <w:rPr>
                <w:sz w:val="1"/>
                <w:szCs w:val="1"/>
                <w:color w:val="auto"/>
              </w:rPr>
            </w:pPr>
          </w:p>
        </w:tc>
      </w:tr>
      <w:tr>
        <w:trPr>
          <w:trHeight w:val="148"/>
        </w:trPr>
        <w:tc>
          <w:tcPr>
            <w:tcW w:w="2400" w:type="dxa"/>
            <w:vAlign w:val="bottom"/>
            <w:shd w:val="clear" w:color="auto" w:fill="D9D9D9"/>
          </w:tcPr>
          <w:p>
            <w:pPr>
              <w:spacing w:after="0"/>
              <w:rPr>
                <w:sz w:val="20"/>
                <w:szCs w:val="20"/>
                <w:color w:val="auto"/>
              </w:rPr>
            </w:pPr>
            <w:r>
              <w:rPr>
                <w:rFonts w:ascii="Arial" w:cs="Arial" w:eastAsia="Arial" w:hAnsi="Arial"/>
                <w:sz w:val="13"/>
                <w:szCs w:val="13"/>
                <w:color w:val="auto"/>
              </w:rPr>
              <w:t>Renee J. Peterson</w:t>
            </w:r>
          </w:p>
        </w:tc>
        <w:tc>
          <w:tcPr>
            <w:tcW w:w="820" w:type="dxa"/>
            <w:vAlign w:val="bottom"/>
            <w:shd w:val="clear" w:color="auto" w:fill="D9D9D9"/>
          </w:tcPr>
          <w:p>
            <w:pPr>
              <w:spacing w:after="0"/>
              <w:rPr>
                <w:sz w:val="12"/>
                <w:szCs w:val="12"/>
                <w:color w:val="auto"/>
              </w:rPr>
            </w:pPr>
          </w:p>
        </w:tc>
        <w:tc>
          <w:tcPr>
            <w:tcW w:w="180" w:type="dxa"/>
            <w:vAlign w:val="bottom"/>
            <w:shd w:val="clear" w:color="auto" w:fill="D9D9D9"/>
          </w:tcPr>
          <w:p>
            <w:pPr>
              <w:spacing w:after="0"/>
              <w:rPr>
                <w:sz w:val="12"/>
                <w:szCs w:val="12"/>
                <w:color w:val="auto"/>
              </w:rPr>
            </w:pPr>
          </w:p>
        </w:tc>
        <w:tc>
          <w:tcPr>
            <w:tcW w:w="1040" w:type="dxa"/>
            <w:vAlign w:val="bottom"/>
            <w:shd w:val="clear" w:color="auto" w:fill="D9D9D9"/>
          </w:tcPr>
          <w:p>
            <w:pPr>
              <w:spacing w:after="0"/>
              <w:rPr>
                <w:sz w:val="12"/>
                <w:szCs w:val="12"/>
                <w:color w:val="auto"/>
              </w:rPr>
            </w:pPr>
          </w:p>
        </w:tc>
        <w:tc>
          <w:tcPr>
            <w:tcW w:w="1040" w:type="dxa"/>
            <w:vAlign w:val="bottom"/>
            <w:shd w:val="clear" w:color="auto" w:fill="D9D9D9"/>
          </w:tcPr>
          <w:p>
            <w:pPr>
              <w:spacing w:after="0"/>
              <w:rPr>
                <w:sz w:val="12"/>
                <w:szCs w:val="12"/>
                <w:color w:val="auto"/>
              </w:rPr>
            </w:pPr>
          </w:p>
        </w:tc>
        <w:tc>
          <w:tcPr>
            <w:tcW w:w="102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1540" w:type="dxa"/>
            <w:vAlign w:val="bottom"/>
            <w:shd w:val="clear" w:color="auto" w:fill="D9D9D9"/>
          </w:tcPr>
          <w:p>
            <w:pPr>
              <w:spacing w:after="0"/>
              <w:rPr>
                <w:sz w:val="12"/>
                <w:szCs w:val="12"/>
                <w:color w:val="auto"/>
              </w:rPr>
            </w:pPr>
          </w:p>
        </w:tc>
        <w:tc>
          <w:tcPr>
            <w:tcW w:w="126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D9D9D9"/>
          </w:tcPr>
          <w:p>
            <w:pPr>
              <w:ind w:left="140"/>
              <w:spacing w:after="0"/>
              <w:rPr>
                <w:sz w:val="20"/>
                <w:szCs w:val="20"/>
                <w:color w:val="auto"/>
              </w:rPr>
            </w:pPr>
            <w:r>
              <w:rPr>
                <w:rFonts w:ascii="Arial" w:cs="Arial" w:eastAsia="Arial" w:hAnsi="Arial"/>
                <w:sz w:val="13"/>
                <w:szCs w:val="13"/>
                <w:color w:val="auto"/>
              </w:rPr>
              <w:t>Stock Options</w:t>
            </w:r>
          </w:p>
        </w:tc>
        <w:tc>
          <w:tcPr>
            <w:tcW w:w="100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39,400</w:t>
            </w: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38.8200</w:t>
            </w:r>
          </w:p>
        </w:tc>
        <w:tc>
          <w:tcPr>
            <w:tcW w:w="1020" w:type="dxa"/>
            <w:vAlign w:val="bottom"/>
            <w:shd w:val="clear" w:color="auto" w:fill="D9D9D9"/>
          </w:tcPr>
          <w:p>
            <w:pPr>
              <w:ind w:left="380"/>
              <w:spacing w:after="0"/>
              <w:rPr>
                <w:sz w:val="20"/>
                <w:szCs w:val="20"/>
                <w:color w:val="auto"/>
              </w:rPr>
            </w:pPr>
            <w:r>
              <w:rPr>
                <w:rFonts w:ascii="Arial" w:cs="Arial" w:eastAsia="Arial" w:hAnsi="Arial"/>
                <w:sz w:val="13"/>
                <w:szCs w:val="13"/>
                <w:color w:val="auto"/>
                <w:w w:val="95"/>
              </w:rPr>
              <w:t>12/04/2025</w:t>
            </w:r>
          </w:p>
        </w:tc>
        <w:tc>
          <w:tcPr>
            <w:tcW w:w="10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1540" w:type="dxa"/>
            <w:vAlign w:val="bottom"/>
            <w:shd w:val="clear" w:color="auto" w:fill="D9D9D9"/>
          </w:tcPr>
          <w:p>
            <w:pPr>
              <w:spacing w:after="0"/>
              <w:rPr>
                <w:sz w:val="12"/>
                <w:szCs w:val="12"/>
                <w:color w:val="auto"/>
              </w:rPr>
            </w:pPr>
          </w:p>
        </w:tc>
        <w:tc>
          <w:tcPr>
            <w:tcW w:w="126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D9D9D9"/>
          </w:tcPr>
          <w:p>
            <w:pPr>
              <w:spacing w:after="0"/>
              <w:rPr>
                <w:sz w:val="12"/>
                <w:szCs w:val="12"/>
                <w:color w:val="auto"/>
              </w:rPr>
            </w:pPr>
          </w:p>
        </w:tc>
        <w:tc>
          <w:tcPr>
            <w:tcW w:w="100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36,300</w:t>
            </w: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56.5400</w:t>
            </w:r>
          </w:p>
        </w:tc>
        <w:tc>
          <w:tcPr>
            <w:tcW w:w="1020" w:type="dxa"/>
            <w:vAlign w:val="bottom"/>
            <w:shd w:val="clear" w:color="auto" w:fill="D9D9D9"/>
          </w:tcPr>
          <w:p>
            <w:pPr>
              <w:ind w:left="380"/>
              <w:spacing w:after="0"/>
              <w:rPr>
                <w:sz w:val="20"/>
                <w:szCs w:val="20"/>
                <w:color w:val="auto"/>
              </w:rPr>
            </w:pPr>
            <w:r>
              <w:rPr>
                <w:rFonts w:ascii="Arial" w:cs="Arial" w:eastAsia="Arial" w:hAnsi="Arial"/>
                <w:sz w:val="13"/>
                <w:szCs w:val="13"/>
                <w:color w:val="auto"/>
                <w:w w:val="95"/>
              </w:rPr>
              <w:t>12/09/2026</w:t>
            </w:r>
          </w:p>
        </w:tc>
        <w:tc>
          <w:tcPr>
            <w:tcW w:w="10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1540" w:type="dxa"/>
            <w:vAlign w:val="bottom"/>
            <w:shd w:val="clear" w:color="auto" w:fill="D9D9D9"/>
          </w:tcPr>
          <w:p>
            <w:pPr>
              <w:spacing w:after="0"/>
              <w:rPr>
                <w:sz w:val="12"/>
                <w:szCs w:val="12"/>
                <w:color w:val="auto"/>
              </w:rPr>
            </w:pPr>
          </w:p>
        </w:tc>
        <w:tc>
          <w:tcPr>
            <w:tcW w:w="126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D9D9D9"/>
          </w:tcPr>
          <w:p>
            <w:pPr>
              <w:spacing w:after="0"/>
              <w:rPr>
                <w:sz w:val="12"/>
                <w:szCs w:val="12"/>
                <w:color w:val="auto"/>
              </w:rPr>
            </w:pPr>
          </w:p>
        </w:tc>
        <w:tc>
          <w:tcPr>
            <w:tcW w:w="100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28,400</w:t>
            </w: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65.9300</w:t>
            </w:r>
          </w:p>
        </w:tc>
        <w:tc>
          <w:tcPr>
            <w:tcW w:w="1020" w:type="dxa"/>
            <w:vAlign w:val="bottom"/>
            <w:shd w:val="clear" w:color="auto" w:fill="D9D9D9"/>
          </w:tcPr>
          <w:p>
            <w:pPr>
              <w:ind w:left="380"/>
              <w:spacing w:after="0"/>
              <w:rPr>
                <w:sz w:val="20"/>
                <w:szCs w:val="20"/>
                <w:color w:val="auto"/>
              </w:rPr>
            </w:pPr>
            <w:r>
              <w:rPr>
                <w:rFonts w:ascii="Arial" w:cs="Arial" w:eastAsia="Arial" w:hAnsi="Arial"/>
                <w:sz w:val="13"/>
                <w:szCs w:val="13"/>
                <w:color w:val="auto"/>
                <w:w w:val="95"/>
              </w:rPr>
              <w:t>12/08/2027</w:t>
            </w:r>
          </w:p>
        </w:tc>
        <w:tc>
          <w:tcPr>
            <w:tcW w:w="10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1540" w:type="dxa"/>
            <w:vAlign w:val="bottom"/>
            <w:shd w:val="clear" w:color="auto" w:fill="D9D9D9"/>
          </w:tcPr>
          <w:p>
            <w:pPr>
              <w:spacing w:after="0"/>
              <w:rPr>
                <w:sz w:val="12"/>
                <w:szCs w:val="12"/>
                <w:color w:val="auto"/>
              </w:rPr>
            </w:pPr>
          </w:p>
        </w:tc>
        <w:tc>
          <w:tcPr>
            <w:tcW w:w="126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D9D9D9"/>
          </w:tcPr>
          <w:p>
            <w:pPr>
              <w:spacing w:after="0"/>
              <w:rPr>
                <w:sz w:val="12"/>
                <w:szCs w:val="12"/>
                <w:color w:val="auto"/>
              </w:rPr>
            </w:pPr>
          </w:p>
        </w:tc>
        <w:tc>
          <w:tcPr>
            <w:tcW w:w="100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33,400</w:t>
            </w: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58.5300</w:t>
            </w:r>
          </w:p>
        </w:tc>
        <w:tc>
          <w:tcPr>
            <w:tcW w:w="1020" w:type="dxa"/>
            <w:vAlign w:val="bottom"/>
            <w:shd w:val="clear" w:color="auto" w:fill="D9D9D9"/>
          </w:tcPr>
          <w:p>
            <w:pPr>
              <w:ind w:left="380"/>
              <w:spacing w:after="0"/>
              <w:rPr>
                <w:sz w:val="20"/>
                <w:szCs w:val="20"/>
                <w:color w:val="auto"/>
              </w:rPr>
            </w:pPr>
            <w:r>
              <w:rPr>
                <w:rFonts w:ascii="Arial" w:cs="Arial" w:eastAsia="Arial" w:hAnsi="Arial"/>
                <w:sz w:val="13"/>
                <w:szCs w:val="13"/>
                <w:color w:val="auto"/>
                <w:w w:val="95"/>
              </w:rPr>
              <w:t>12/07/2028</w:t>
            </w:r>
          </w:p>
        </w:tc>
        <w:tc>
          <w:tcPr>
            <w:tcW w:w="10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1540" w:type="dxa"/>
            <w:vAlign w:val="bottom"/>
            <w:shd w:val="clear" w:color="auto" w:fill="D9D9D9"/>
          </w:tcPr>
          <w:p>
            <w:pPr>
              <w:spacing w:after="0"/>
              <w:rPr>
                <w:sz w:val="12"/>
                <w:szCs w:val="12"/>
                <w:color w:val="auto"/>
              </w:rPr>
            </w:pPr>
          </w:p>
        </w:tc>
        <w:tc>
          <w:tcPr>
            <w:tcW w:w="126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D9D9D9"/>
          </w:tcPr>
          <w:p>
            <w:pPr>
              <w:spacing w:after="0"/>
              <w:rPr>
                <w:sz w:val="12"/>
                <w:szCs w:val="12"/>
                <w:color w:val="auto"/>
              </w:rPr>
            </w:pPr>
          </w:p>
        </w:tc>
        <w:tc>
          <w:tcPr>
            <w:tcW w:w="100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22,600</w:t>
            </w: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11,300</w:t>
            </w: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76.5300</w:t>
            </w:r>
          </w:p>
        </w:tc>
        <w:tc>
          <w:tcPr>
            <w:tcW w:w="1020" w:type="dxa"/>
            <w:vAlign w:val="bottom"/>
            <w:shd w:val="clear" w:color="auto" w:fill="D9D9D9"/>
          </w:tcPr>
          <w:p>
            <w:pPr>
              <w:ind w:left="380"/>
              <w:spacing w:after="0"/>
              <w:rPr>
                <w:sz w:val="20"/>
                <w:szCs w:val="20"/>
                <w:color w:val="auto"/>
              </w:rPr>
            </w:pPr>
            <w:r>
              <w:rPr>
                <w:rFonts w:ascii="Arial" w:cs="Arial" w:eastAsia="Arial" w:hAnsi="Arial"/>
                <w:sz w:val="13"/>
                <w:szCs w:val="13"/>
                <w:color w:val="auto"/>
                <w:w w:val="95"/>
              </w:rPr>
              <w:t>12/19/2029</w:t>
            </w:r>
          </w:p>
        </w:tc>
        <w:tc>
          <w:tcPr>
            <w:tcW w:w="10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1540" w:type="dxa"/>
            <w:vAlign w:val="bottom"/>
            <w:shd w:val="clear" w:color="auto" w:fill="D9D9D9"/>
          </w:tcPr>
          <w:p>
            <w:pPr>
              <w:spacing w:after="0"/>
              <w:rPr>
                <w:sz w:val="12"/>
                <w:szCs w:val="12"/>
                <w:color w:val="auto"/>
              </w:rPr>
            </w:pPr>
          </w:p>
        </w:tc>
        <w:tc>
          <w:tcPr>
            <w:tcW w:w="126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D9D9D9"/>
          </w:tcPr>
          <w:p>
            <w:pPr>
              <w:spacing w:after="0"/>
              <w:rPr>
                <w:sz w:val="12"/>
                <w:szCs w:val="12"/>
                <w:color w:val="auto"/>
              </w:rPr>
            </w:pPr>
          </w:p>
        </w:tc>
        <w:tc>
          <w:tcPr>
            <w:tcW w:w="100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11,200</w:t>
            </w: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22,400</w:t>
            </w: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93.3300</w:t>
            </w:r>
          </w:p>
        </w:tc>
        <w:tc>
          <w:tcPr>
            <w:tcW w:w="1020" w:type="dxa"/>
            <w:vAlign w:val="bottom"/>
            <w:shd w:val="clear" w:color="auto" w:fill="D9D9D9"/>
          </w:tcPr>
          <w:p>
            <w:pPr>
              <w:ind w:left="380"/>
              <w:spacing w:after="0"/>
              <w:rPr>
                <w:sz w:val="20"/>
                <w:szCs w:val="20"/>
                <w:color w:val="auto"/>
              </w:rPr>
            </w:pPr>
            <w:r>
              <w:rPr>
                <w:rFonts w:ascii="Arial" w:cs="Arial" w:eastAsia="Arial" w:hAnsi="Arial"/>
                <w:sz w:val="13"/>
                <w:szCs w:val="13"/>
                <w:color w:val="auto"/>
                <w:w w:val="95"/>
              </w:rPr>
              <w:t>12/17/2030</w:t>
            </w:r>
          </w:p>
        </w:tc>
        <w:tc>
          <w:tcPr>
            <w:tcW w:w="10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1540" w:type="dxa"/>
            <w:vAlign w:val="bottom"/>
            <w:shd w:val="clear" w:color="auto" w:fill="D9D9D9"/>
          </w:tcPr>
          <w:p>
            <w:pPr>
              <w:spacing w:after="0"/>
              <w:rPr>
                <w:sz w:val="12"/>
                <w:szCs w:val="12"/>
                <w:color w:val="auto"/>
              </w:rPr>
            </w:pPr>
          </w:p>
        </w:tc>
        <w:tc>
          <w:tcPr>
            <w:tcW w:w="126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vMerge w:val="restart"/>
            <w:shd w:val="clear" w:color="auto" w:fill="D9D9D9"/>
          </w:tcPr>
          <w:p>
            <w:pPr>
              <w:ind w:left="140"/>
              <w:spacing w:after="0"/>
              <w:rPr>
                <w:sz w:val="20"/>
                <w:szCs w:val="20"/>
                <w:color w:val="auto"/>
              </w:rPr>
            </w:pPr>
            <w:r>
              <w:rPr>
                <w:rFonts w:ascii="Arial" w:cs="Arial" w:eastAsia="Arial" w:hAnsi="Arial"/>
                <w:sz w:val="13"/>
                <w:szCs w:val="13"/>
                <w:color w:val="auto"/>
              </w:rPr>
              <w:t>F21-F23 Performance Shares</w:t>
            </w:r>
          </w:p>
        </w:tc>
        <w:tc>
          <w:tcPr>
            <w:tcW w:w="100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28,800</w:t>
            </w: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99.3400</w:t>
            </w:r>
          </w:p>
        </w:tc>
        <w:tc>
          <w:tcPr>
            <w:tcW w:w="1020" w:type="dxa"/>
            <w:vAlign w:val="bottom"/>
            <w:shd w:val="clear" w:color="auto" w:fill="D9D9D9"/>
          </w:tcPr>
          <w:p>
            <w:pPr>
              <w:ind w:left="380"/>
              <w:spacing w:after="0"/>
              <w:rPr>
                <w:sz w:val="20"/>
                <w:szCs w:val="20"/>
                <w:color w:val="auto"/>
              </w:rPr>
            </w:pPr>
            <w:r>
              <w:rPr>
                <w:rFonts w:ascii="Arial" w:cs="Arial" w:eastAsia="Arial" w:hAnsi="Arial"/>
                <w:sz w:val="13"/>
                <w:szCs w:val="13"/>
                <w:color w:val="auto"/>
                <w:w w:val="95"/>
              </w:rPr>
              <w:t>12/16/2031</w:t>
            </w:r>
          </w:p>
        </w:tc>
        <w:tc>
          <w:tcPr>
            <w:tcW w:w="10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1540" w:type="dxa"/>
            <w:vAlign w:val="bottom"/>
            <w:vMerge w:val="restart"/>
            <w:shd w:val="clear" w:color="auto" w:fill="D9D9D9"/>
          </w:tcPr>
          <w:p>
            <w:pPr>
              <w:jc w:val="right"/>
              <w:ind w:right="120"/>
              <w:spacing w:after="0"/>
              <w:rPr>
                <w:sz w:val="20"/>
                <w:szCs w:val="20"/>
                <w:color w:val="auto"/>
              </w:rPr>
            </w:pPr>
            <w:r>
              <w:rPr>
                <w:rFonts w:ascii="Arial" w:cs="Arial" w:eastAsia="Arial" w:hAnsi="Arial"/>
                <w:sz w:val="13"/>
                <w:szCs w:val="13"/>
                <w:color w:val="auto"/>
              </w:rPr>
              <w:t>10,710</w:t>
            </w:r>
          </w:p>
        </w:tc>
        <w:tc>
          <w:tcPr>
            <w:tcW w:w="1260" w:type="dxa"/>
            <w:vAlign w:val="bottom"/>
            <w:vMerge w:val="restart"/>
            <w:shd w:val="clear" w:color="auto" w:fill="D9D9D9"/>
          </w:tcPr>
          <w:p>
            <w:pPr>
              <w:jc w:val="right"/>
              <w:spacing w:after="0"/>
              <w:rPr>
                <w:sz w:val="20"/>
                <w:szCs w:val="20"/>
                <w:color w:val="auto"/>
              </w:rPr>
            </w:pPr>
            <w:r>
              <w:rPr>
                <w:rFonts w:ascii="Arial" w:cs="Arial" w:eastAsia="Arial" w:hAnsi="Arial"/>
                <w:sz w:val="13"/>
                <w:szCs w:val="13"/>
                <w:color w:val="auto"/>
              </w:rPr>
              <w:t>1,129,155</w:t>
            </w:r>
          </w:p>
        </w:tc>
        <w:tc>
          <w:tcPr>
            <w:tcW w:w="0" w:type="dxa"/>
            <w:vAlign w:val="bottom"/>
          </w:tcPr>
          <w:p>
            <w:pPr>
              <w:spacing w:after="0"/>
              <w:rPr>
                <w:sz w:val="1"/>
                <w:szCs w:val="1"/>
                <w:color w:val="auto"/>
              </w:rPr>
            </w:pPr>
          </w:p>
        </w:tc>
      </w:tr>
      <w:tr>
        <w:trPr>
          <w:trHeight w:val="148"/>
        </w:trPr>
        <w:tc>
          <w:tcPr>
            <w:tcW w:w="2400" w:type="dxa"/>
            <w:vAlign w:val="bottom"/>
            <w:vMerge w:val="continue"/>
            <w:shd w:val="clear" w:color="auto" w:fill="D9D9D9"/>
          </w:tcPr>
          <w:p>
            <w:pPr>
              <w:spacing w:after="0"/>
              <w:rPr>
                <w:sz w:val="12"/>
                <w:szCs w:val="12"/>
                <w:color w:val="auto"/>
              </w:rPr>
            </w:pPr>
          </w:p>
        </w:tc>
        <w:tc>
          <w:tcPr>
            <w:tcW w:w="820" w:type="dxa"/>
            <w:vAlign w:val="bottom"/>
            <w:shd w:val="clear" w:color="auto" w:fill="D9D9D9"/>
          </w:tcPr>
          <w:p>
            <w:pPr>
              <w:spacing w:after="0"/>
              <w:rPr>
                <w:sz w:val="12"/>
                <w:szCs w:val="12"/>
                <w:color w:val="auto"/>
              </w:rPr>
            </w:pPr>
          </w:p>
        </w:tc>
        <w:tc>
          <w:tcPr>
            <w:tcW w:w="180" w:type="dxa"/>
            <w:vAlign w:val="bottom"/>
            <w:shd w:val="clear" w:color="auto" w:fill="D9D9D9"/>
          </w:tcPr>
          <w:p>
            <w:pPr>
              <w:spacing w:after="0"/>
              <w:rPr>
                <w:sz w:val="12"/>
                <w:szCs w:val="12"/>
                <w:color w:val="auto"/>
              </w:rPr>
            </w:pPr>
          </w:p>
        </w:tc>
        <w:tc>
          <w:tcPr>
            <w:tcW w:w="1040" w:type="dxa"/>
            <w:vAlign w:val="bottom"/>
            <w:shd w:val="clear" w:color="auto" w:fill="D9D9D9"/>
          </w:tcPr>
          <w:p>
            <w:pPr>
              <w:spacing w:after="0"/>
              <w:rPr>
                <w:sz w:val="12"/>
                <w:szCs w:val="12"/>
                <w:color w:val="auto"/>
              </w:rPr>
            </w:pPr>
          </w:p>
        </w:tc>
        <w:tc>
          <w:tcPr>
            <w:tcW w:w="1040" w:type="dxa"/>
            <w:vAlign w:val="bottom"/>
            <w:shd w:val="clear" w:color="auto" w:fill="D9D9D9"/>
          </w:tcPr>
          <w:p>
            <w:pPr>
              <w:spacing w:after="0"/>
              <w:rPr>
                <w:sz w:val="12"/>
                <w:szCs w:val="12"/>
                <w:color w:val="auto"/>
              </w:rPr>
            </w:pPr>
          </w:p>
        </w:tc>
        <w:tc>
          <w:tcPr>
            <w:tcW w:w="102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1540" w:type="dxa"/>
            <w:vAlign w:val="bottom"/>
            <w:vMerge w:val="continue"/>
            <w:shd w:val="clear" w:color="auto" w:fill="D9D9D9"/>
          </w:tcPr>
          <w:p>
            <w:pPr>
              <w:spacing w:after="0"/>
              <w:rPr>
                <w:sz w:val="12"/>
                <w:szCs w:val="12"/>
                <w:color w:val="auto"/>
              </w:rPr>
            </w:pPr>
          </w:p>
        </w:tc>
        <w:tc>
          <w:tcPr>
            <w:tcW w:w="1260" w:type="dxa"/>
            <w:vAlign w:val="bottom"/>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D9D9D9"/>
          </w:tcPr>
          <w:p>
            <w:pPr>
              <w:ind w:left="140"/>
              <w:spacing w:after="0"/>
              <w:rPr>
                <w:sz w:val="20"/>
                <w:szCs w:val="20"/>
                <w:color w:val="auto"/>
              </w:rPr>
            </w:pPr>
            <w:r>
              <w:rPr>
                <w:rFonts w:ascii="Arial" w:cs="Arial" w:eastAsia="Arial" w:hAnsi="Arial"/>
                <w:sz w:val="13"/>
                <w:szCs w:val="13"/>
                <w:color w:val="auto"/>
              </w:rPr>
              <w:t>F22-F24 Performance Shares</w:t>
            </w:r>
          </w:p>
        </w:tc>
        <w:tc>
          <w:tcPr>
            <w:tcW w:w="820" w:type="dxa"/>
            <w:vAlign w:val="bottom"/>
            <w:shd w:val="clear" w:color="auto" w:fill="D9D9D9"/>
          </w:tcPr>
          <w:p>
            <w:pPr>
              <w:spacing w:after="0"/>
              <w:rPr>
                <w:sz w:val="12"/>
                <w:szCs w:val="12"/>
                <w:color w:val="auto"/>
              </w:rPr>
            </w:pPr>
          </w:p>
        </w:tc>
        <w:tc>
          <w:tcPr>
            <w:tcW w:w="180" w:type="dxa"/>
            <w:vAlign w:val="bottom"/>
            <w:shd w:val="clear" w:color="auto" w:fill="D9D9D9"/>
          </w:tcPr>
          <w:p>
            <w:pPr>
              <w:spacing w:after="0"/>
              <w:rPr>
                <w:sz w:val="12"/>
                <w:szCs w:val="12"/>
                <w:color w:val="auto"/>
              </w:rPr>
            </w:pPr>
          </w:p>
        </w:tc>
        <w:tc>
          <w:tcPr>
            <w:tcW w:w="1040" w:type="dxa"/>
            <w:vAlign w:val="bottom"/>
            <w:shd w:val="clear" w:color="auto" w:fill="D9D9D9"/>
          </w:tcPr>
          <w:p>
            <w:pPr>
              <w:spacing w:after="0"/>
              <w:rPr>
                <w:sz w:val="12"/>
                <w:szCs w:val="12"/>
                <w:color w:val="auto"/>
              </w:rPr>
            </w:pPr>
          </w:p>
        </w:tc>
        <w:tc>
          <w:tcPr>
            <w:tcW w:w="1040" w:type="dxa"/>
            <w:vAlign w:val="bottom"/>
            <w:shd w:val="clear" w:color="auto" w:fill="D9D9D9"/>
          </w:tcPr>
          <w:p>
            <w:pPr>
              <w:spacing w:after="0"/>
              <w:rPr>
                <w:sz w:val="12"/>
                <w:szCs w:val="12"/>
                <w:color w:val="auto"/>
              </w:rPr>
            </w:pPr>
          </w:p>
        </w:tc>
        <w:tc>
          <w:tcPr>
            <w:tcW w:w="102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1540" w:type="dxa"/>
            <w:vAlign w:val="bottom"/>
            <w:shd w:val="clear" w:color="auto" w:fill="D9D9D9"/>
          </w:tcPr>
          <w:p>
            <w:pPr>
              <w:jc w:val="right"/>
              <w:ind w:right="120"/>
              <w:spacing w:after="0"/>
              <w:rPr>
                <w:sz w:val="20"/>
                <w:szCs w:val="20"/>
                <w:color w:val="auto"/>
              </w:rPr>
            </w:pPr>
            <w:r>
              <w:rPr>
                <w:rFonts w:ascii="Arial" w:cs="Arial" w:eastAsia="Arial" w:hAnsi="Arial"/>
                <w:sz w:val="13"/>
                <w:szCs w:val="13"/>
                <w:color w:val="auto"/>
              </w:rPr>
              <w:t>6,499</w:t>
            </w:r>
          </w:p>
        </w:tc>
        <w:tc>
          <w:tcPr>
            <w:tcW w:w="12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685,190</w:t>
            </w:r>
          </w:p>
        </w:tc>
        <w:tc>
          <w:tcPr>
            <w:tcW w:w="0" w:type="dxa"/>
            <w:vAlign w:val="bottom"/>
          </w:tcPr>
          <w:p>
            <w:pPr>
              <w:spacing w:after="0"/>
              <w:rPr>
                <w:sz w:val="1"/>
                <w:szCs w:val="1"/>
                <w:color w:val="auto"/>
              </w:rPr>
            </w:pPr>
          </w:p>
        </w:tc>
      </w:tr>
      <w:tr>
        <w:trPr>
          <w:trHeight w:val="144"/>
        </w:trPr>
        <w:tc>
          <w:tcPr>
            <w:tcW w:w="2400" w:type="dxa"/>
            <w:vAlign w:val="bottom"/>
          </w:tcPr>
          <w:p>
            <w:pPr>
              <w:spacing w:after="0" w:line="144" w:lineRule="exact"/>
              <w:rPr>
                <w:sz w:val="20"/>
                <w:szCs w:val="20"/>
                <w:color w:val="auto"/>
              </w:rPr>
            </w:pPr>
            <w:r>
              <w:rPr>
                <w:rFonts w:ascii="Arial" w:cs="Arial" w:eastAsia="Arial" w:hAnsi="Arial"/>
                <w:sz w:val="13"/>
                <w:szCs w:val="13"/>
                <w:color w:val="auto"/>
              </w:rPr>
              <w:t>Kevin N. Carpenter</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tcPr>
          <w:p>
            <w:pPr>
              <w:ind w:left="140"/>
              <w:spacing w:after="0"/>
              <w:rPr>
                <w:sz w:val="20"/>
                <w:szCs w:val="20"/>
                <w:color w:val="auto"/>
              </w:rPr>
            </w:pPr>
            <w:r>
              <w:rPr>
                <w:rFonts w:ascii="Arial" w:cs="Arial" w:eastAsia="Arial" w:hAnsi="Arial"/>
                <w:sz w:val="13"/>
                <w:szCs w:val="13"/>
                <w:color w:val="auto"/>
              </w:rPr>
              <w:t>Stock Options</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1040" w:type="dxa"/>
            <w:vAlign w:val="bottom"/>
          </w:tcPr>
          <w:p>
            <w:pPr>
              <w:jc w:val="right"/>
              <w:spacing w:after="0"/>
              <w:rPr>
                <w:sz w:val="20"/>
                <w:szCs w:val="20"/>
                <w:color w:val="auto"/>
              </w:rPr>
            </w:pPr>
            <w:r>
              <w:rPr>
                <w:rFonts w:ascii="Arial" w:cs="Arial" w:eastAsia="Arial" w:hAnsi="Arial"/>
                <w:sz w:val="13"/>
                <w:szCs w:val="13"/>
                <w:color w:val="auto"/>
              </w:rPr>
              <w:t>10,300</w:t>
            </w:r>
          </w:p>
        </w:tc>
        <w:tc>
          <w:tcPr>
            <w:tcW w:w="1040" w:type="dxa"/>
            <w:vAlign w:val="bottom"/>
          </w:tcPr>
          <w:p>
            <w:pPr>
              <w:jc w:val="right"/>
              <w:spacing w:after="0"/>
              <w:rPr>
                <w:sz w:val="20"/>
                <w:szCs w:val="20"/>
                <w:color w:val="auto"/>
              </w:rPr>
            </w:pPr>
            <w:r>
              <w:rPr>
                <w:rFonts w:ascii="Arial" w:cs="Arial" w:eastAsia="Arial" w:hAnsi="Arial"/>
                <w:sz w:val="13"/>
                <w:szCs w:val="13"/>
                <w:color w:val="auto"/>
              </w:rPr>
              <w:t>99.3400</w:t>
            </w:r>
          </w:p>
        </w:tc>
        <w:tc>
          <w:tcPr>
            <w:tcW w:w="1020" w:type="dxa"/>
            <w:vAlign w:val="bottom"/>
          </w:tcPr>
          <w:p>
            <w:pPr>
              <w:ind w:left="380"/>
              <w:spacing w:after="0"/>
              <w:rPr>
                <w:sz w:val="20"/>
                <w:szCs w:val="20"/>
                <w:color w:val="auto"/>
              </w:rPr>
            </w:pPr>
            <w:r>
              <w:rPr>
                <w:rFonts w:ascii="Arial" w:cs="Arial" w:eastAsia="Arial" w:hAnsi="Arial"/>
                <w:sz w:val="13"/>
                <w:szCs w:val="13"/>
                <w:color w:val="auto"/>
                <w:w w:val="95"/>
              </w:rPr>
              <w:t>12/16/2031</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140"/>
              <w:spacing w:after="0"/>
              <w:rPr>
                <w:sz w:val="20"/>
                <w:szCs w:val="20"/>
                <w:color w:val="auto"/>
              </w:rPr>
            </w:pPr>
            <w:r>
              <w:rPr>
                <w:rFonts w:ascii="Arial" w:cs="Arial" w:eastAsia="Arial" w:hAnsi="Arial"/>
                <w:sz w:val="13"/>
                <w:szCs w:val="13"/>
                <w:color w:val="auto"/>
              </w:rPr>
              <w:t>Restricted Stock Units</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17,637</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1,859,450</w:t>
            </w:r>
          </w:p>
        </w:tc>
        <w:tc>
          <w:tcPr>
            <w:tcW w:w="1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400" w:type="dxa"/>
            <w:vAlign w:val="bottom"/>
          </w:tcPr>
          <w:p>
            <w:pPr>
              <w:ind w:left="140"/>
              <w:spacing w:after="0"/>
              <w:rPr>
                <w:sz w:val="20"/>
                <w:szCs w:val="20"/>
                <w:color w:val="auto"/>
              </w:rPr>
            </w:pPr>
            <w:r>
              <w:rPr>
                <w:rFonts w:ascii="Arial" w:cs="Arial" w:eastAsia="Arial" w:hAnsi="Arial"/>
                <w:sz w:val="13"/>
                <w:szCs w:val="13"/>
                <w:color w:val="auto"/>
              </w:rPr>
              <w:t>F22-F24 Performance Shares</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jc w:val="right"/>
              <w:ind w:right="120"/>
              <w:spacing w:after="0"/>
              <w:rPr>
                <w:sz w:val="20"/>
                <w:szCs w:val="20"/>
                <w:color w:val="auto"/>
              </w:rPr>
            </w:pPr>
            <w:r>
              <w:rPr>
                <w:rFonts w:ascii="Arial" w:cs="Arial" w:eastAsia="Arial" w:hAnsi="Arial"/>
                <w:sz w:val="13"/>
                <w:szCs w:val="13"/>
                <w:color w:val="auto"/>
              </w:rPr>
              <w:t>2,328</w:t>
            </w:r>
          </w:p>
        </w:tc>
        <w:tc>
          <w:tcPr>
            <w:tcW w:w="1260" w:type="dxa"/>
            <w:vAlign w:val="bottom"/>
          </w:tcPr>
          <w:p>
            <w:pPr>
              <w:jc w:val="right"/>
              <w:spacing w:after="0"/>
              <w:rPr>
                <w:sz w:val="20"/>
                <w:szCs w:val="20"/>
                <w:color w:val="auto"/>
              </w:rPr>
            </w:pPr>
            <w:r>
              <w:rPr>
                <w:rFonts w:ascii="Arial" w:cs="Arial" w:eastAsia="Arial" w:hAnsi="Arial"/>
                <w:sz w:val="13"/>
                <w:szCs w:val="13"/>
                <w:color w:val="auto"/>
              </w:rPr>
              <w:t>245,441</w:t>
            </w:r>
          </w:p>
        </w:tc>
        <w:tc>
          <w:tcPr>
            <w:tcW w:w="0" w:type="dxa"/>
            <w:vAlign w:val="bottom"/>
          </w:tcPr>
          <w:p>
            <w:pPr>
              <w:spacing w:after="0"/>
              <w:rPr>
                <w:sz w:val="1"/>
                <w:szCs w:val="1"/>
                <w:color w:val="auto"/>
              </w:rPr>
            </w:pPr>
          </w:p>
        </w:tc>
      </w:tr>
      <w:tr>
        <w:trPr>
          <w:trHeight w:val="148"/>
        </w:trPr>
        <w:tc>
          <w:tcPr>
            <w:tcW w:w="2400" w:type="dxa"/>
            <w:vAlign w:val="bottom"/>
            <w:shd w:val="clear" w:color="auto" w:fill="D9D9D9"/>
          </w:tcPr>
          <w:p>
            <w:pPr>
              <w:spacing w:after="0"/>
              <w:rPr>
                <w:sz w:val="20"/>
                <w:szCs w:val="20"/>
                <w:color w:val="auto"/>
              </w:rPr>
            </w:pPr>
            <w:r>
              <w:rPr>
                <w:rFonts w:ascii="Arial" w:cs="Arial" w:eastAsia="Arial" w:hAnsi="Arial"/>
                <w:sz w:val="13"/>
                <w:szCs w:val="13"/>
                <w:color w:val="auto"/>
              </w:rPr>
              <w:t>Richard W. Rodier</w:t>
            </w:r>
          </w:p>
        </w:tc>
        <w:tc>
          <w:tcPr>
            <w:tcW w:w="820" w:type="dxa"/>
            <w:vAlign w:val="bottom"/>
            <w:shd w:val="clear" w:color="auto" w:fill="D9D9D9"/>
          </w:tcPr>
          <w:p>
            <w:pPr>
              <w:spacing w:after="0"/>
              <w:rPr>
                <w:sz w:val="12"/>
                <w:szCs w:val="12"/>
                <w:color w:val="auto"/>
              </w:rPr>
            </w:pPr>
          </w:p>
        </w:tc>
        <w:tc>
          <w:tcPr>
            <w:tcW w:w="180" w:type="dxa"/>
            <w:vAlign w:val="bottom"/>
            <w:shd w:val="clear" w:color="auto" w:fill="D9D9D9"/>
          </w:tcPr>
          <w:p>
            <w:pPr>
              <w:spacing w:after="0"/>
              <w:rPr>
                <w:sz w:val="12"/>
                <w:szCs w:val="12"/>
                <w:color w:val="auto"/>
              </w:rPr>
            </w:pPr>
          </w:p>
        </w:tc>
        <w:tc>
          <w:tcPr>
            <w:tcW w:w="1040" w:type="dxa"/>
            <w:vAlign w:val="bottom"/>
            <w:shd w:val="clear" w:color="auto" w:fill="D9D9D9"/>
          </w:tcPr>
          <w:p>
            <w:pPr>
              <w:spacing w:after="0"/>
              <w:rPr>
                <w:sz w:val="12"/>
                <w:szCs w:val="12"/>
                <w:color w:val="auto"/>
              </w:rPr>
            </w:pPr>
          </w:p>
        </w:tc>
        <w:tc>
          <w:tcPr>
            <w:tcW w:w="1040" w:type="dxa"/>
            <w:vAlign w:val="bottom"/>
            <w:shd w:val="clear" w:color="auto" w:fill="D9D9D9"/>
          </w:tcPr>
          <w:p>
            <w:pPr>
              <w:spacing w:after="0"/>
              <w:rPr>
                <w:sz w:val="12"/>
                <w:szCs w:val="12"/>
                <w:color w:val="auto"/>
              </w:rPr>
            </w:pPr>
          </w:p>
        </w:tc>
        <w:tc>
          <w:tcPr>
            <w:tcW w:w="102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1540" w:type="dxa"/>
            <w:vAlign w:val="bottom"/>
            <w:shd w:val="clear" w:color="auto" w:fill="D9D9D9"/>
          </w:tcPr>
          <w:p>
            <w:pPr>
              <w:spacing w:after="0"/>
              <w:rPr>
                <w:sz w:val="12"/>
                <w:szCs w:val="12"/>
                <w:color w:val="auto"/>
              </w:rPr>
            </w:pPr>
          </w:p>
        </w:tc>
        <w:tc>
          <w:tcPr>
            <w:tcW w:w="126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D9D9D9"/>
          </w:tcPr>
          <w:p>
            <w:pPr>
              <w:ind w:left="140"/>
              <w:spacing w:after="0"/>
              <w:rPr>
                <w:sz w:val="20"/>
                <w:szCs w:val="20"/>
                <w:color w:val="auto"/>
              </w:rPr>
            </w:pPr>
            <w:r>
              <w:rPr>
                <w:rFonts w:ascii="Arial" w:cs="Arial" w:eastAsia="Arial" w:hAnsi="Arial"/>
                <w:sz w:val="13"/>
                <w:szCs w:val="13"/>
                <w:color w:val="auto"/>
              </w:rPr>
              <w:t>Stock Options</w:t>
            </w:r>
          </w:p>
        </w:tc>
        <w:tc>
          <w:tcPr>
            <w:tcW w:w="100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29.7500</w:t>
            </w:r>
          </w:p>
        </w:tc>
        <w:tc>
          <w:tcPr>
            <w:tcW w:w="1020" w:type="dxa"/>
            <w:vAlign w:val="bottom"/>
            <w:shd w:val="clear" w:color="auto" w:fill="D9D9D9"/>
          </w:tcPr>
          <w:p>
            <w:pPr>
              <w:ind w:left="380"/>
              <w:spacing w:after="0"/>
              <w:rPr>
                <w:sz w:val="20"/>
                <w:szCs w:val="20"/>
                <w:color w:val="auto"/>
              </w:rPr>
            </w:pPr>
            <w:r>
              <w:rPr>
                <w:rFonts w:ascii="Arial" w:cs="Arial" w:eastAsia="Arial" w:hAnsi="Arial"/>
                <w:sz w:val="13"/>
                <w:szCs w:val="13"/>
                <w:color w:val="auto"/>
                <w:w w:val="95"/>
              </w:rPr>
              <w:t>12/06/2023</w:t>
            </w:r>
          </w:p>
        </w:tc>
        <w:tc>
          <w:tcPr>
            <w:tcW w:w="10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1540" w:type="dxa"/>
            <w:vAlign w:val="bottom"/>
            <w:shd w:val="clear" w:color="auto" w:fill="D9D9D9"/>
          </w:tcPr>
          <w:p>
            <w:pPr>
              <w:spacing w:after="0"/>
              <w:rPr>
                <w:sz w:val="12"/>
                <w:szCs w:val="12"/>
                <w:color w:val="auto"/>
              </w:rPr>
            </w:pPr>
          </w:p>
        </w:tc>
        <w:tc>
          <w:tcPr>
            <w:tcW w:w="126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D9D9D9"/>
          </w:tcPr>
          <w:p>
            <w:pPr>
              <w:spacing w:after="0"/>
              <w:rPr>
                <w:sz w:val="12"/>
                <w:szCs w:val="12"/>
                <w:color w:val="auto"/>
              </w:rPr>
            </w:pPr>
          </w:p>
        </w:tc>
        <w:tc>
          <w:tcPr>
            <w:tcW w:w="100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4,400</w:t>
            </w: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31.3750</w:t>
            </w:r>
          </w:p>
        </w:tc>
        <w:tc>
          <w:tcPr>
            <w:tcW w:w="1020" w:type="dxa"/>
            <w:vAlign w:val="bottom"/>
            <w:shd w:val="clear" w:color="auto" w:fill="D9D9D9"/>
          </w:tcPr>
          <w:p>
            <w:pPr>
              <w:ind w:left="380"/>
              <w:spacing w:after="0"/>
              <w:rPr>
                <w:sz w:val="20"/>
                <w:szCs w:val="20"/>
                <w:color w:val="auto"/>
              </w:rPr>
            </w:pPr>
            <w:r>
              <w:rPr>
                <w:rFonts w:ascii="Arial" w:cs="Arial" w:eastAsia="Arial" w:hAnsi="Arial"/>
                <w:sz w:val="13"/>
                <w:szCs w:val="13"/>
                <w:color w:val="auto"/>
                <w:w w:val="95"/>
              </w:rPr>
              <w:t>12/05/2024</w:t>
            </w:r>
          </w:p>
        </w:tc>
        <w:tc>
          <w:tcPr>
            <w:tcW w:w="10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1540" w:type="dxa"/>
            <w:vAlign w:val="bottom"/>
            <w:shd w:val="clear" w:color="auto" w:fill="D9D9D9"/>
          </w:tcPr>
          <w:p>
            <w:pPr>
              <w:spacing w:after="0"/>
              <w:rPr>
                <w:sz w:val="12"/>
                <w:szCs w:val="12"/>
                <w:color w:val="auto"/>
              </w:rPr>
            </w:pPr>
          </w:p>
        </w:tc>
        <w:tc>
          <w:tcPr>
            <w:tcW w:w="126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D9D9D9"/>
          </w:tcPr>
          <w:p>
            <w:pPr>
              <w:spacing w:after="0"/>
              <w:rPr>
                <w:sz w:val="12"/>
                <w:szCs w:val="12"/>
                <w:color w:val="auto"/>
              </w:rPr>
            </w:pPr>
          </w:p>
        </w:tc>
        <w:tc>
          <w:tcPr>
            <w:tcW w:w="100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7,400</w:t>
            </w: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38.8200</w:t>
            </w:r>
          </w:p>
        </w:tc>
        <w:tc>
          <w:tcPr>
            <w:tcW w:w="1020" w:type="dxa"/>
            <w:vAlign w:val="bottom"/>
            <w:shd w:val="clear" w:color="auto" w:fill="D9D9D9"/>
          </w:tcPr>
          <w:p>
            <w:pPr>
              <w:ind w:left="380"/>
              <w:spacing w:after="0"/>
              <w:rPr>
                <w:sz w:val="20"/>
                <w:szCs w:val="20"/>
                <w:color w:val="auto"/>
              </w:rPr>
            </w:pPr>
            <w:r>
              <w:rPr>
                <w:rFonts w:ascii="Arial" w:cs="Arial" w:eastAsia="Arial" w:hAnsi="Arial"/>
                <w:sz w:val="13"/>
                <w:szCs w:val="13"/>
                <w:color w:val="auto"/>
                <w:w w:val="95"/>
              </w:rPr>
              <w:t>12/04/2025</w:t>
            </w:r>
          </w:p>
        </w:tc>
        <w:tc>
          <w:tcPr>
            <w:tcW w:w="10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1540" w:type="dxa"/>
            <w:vAlign w:val="bottom"/>
            <w:shd w:val="clear" w:color="auto" w:fill="D9D9D9"/>
          </w:tcPr>
          <w:p>
            <w:pPr>
              <w:spacing w:after="0"/>
              <w:rPr>
                <w:sz w:val="12"/>
                <w:szCs w:val="12"/>
                <w:color w:val="auto"/>
              </w:rPr>
            </w:pPr>
          </w:p>
        </w:tc>
        <w:tc>
          <w:tcPr>
            <w:tcW w:w="126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D9D9D9"/>
          </w:tcPr>
          <w:p>
            <w:pPr>
              <w:spacing w:after="0"/>
              <w:rPr>
                <w:sz w:val="12"/>
                <w:szCs w:val="12"/>
                <w:color w:val="auto"/>
              </w:rPr>
            </w:pPr>
          </w:p>
        </w:tc>
        <w:tc>
          <w:tcPr>
            <w:tcW w:w="100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6,400</w:t>
            </w: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56.5400</w:t>
            </w:r>
          </w:p>
        </w:tc>
        <w:tc>
          <w:tcPr>
            <w:tcW w:w="1020" w:type="dxa"/>
            <w:vAlign w:val="bottom"/>
            <w:shd w:val="clear" w:color="auto" w:fill="D9D9D9"/>
          </w:tcPr>
          <w:p>
            <w:pPr>
              <w:ind w:left="380"/>
              <w:spacing w:after="0"/>
              <w:rPr>
                <w:sz w:val="20"/>
                <w:szCs w:val="20"/>
                <w:color w:val="auto"/>
              </w:rPr>
            </w:pPr>
            <w:r>
              <w:rPr>
                <w:rFonts w:ascii="Arial" w:cs="Arial" w:eastAsia="Arial" w:hAnsi="Arial"/>
                <w:sz w:val="13"/>
                <w:szCs w:val="13"/>
                <w:color w:val="auto"/>
                <w:w w:val="95"/>
              </w:rPr>
              <w:t>12/09/2026</w:t>
            </w:r>
          </w:p>
        </w:tc>
        <w:tc>
          <w:tcPr>
            <w:tcW w:w="10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1540" w:type="dxa"/>
            <w:vAlign w:val="bottom"/>
            <w:shd w:val="clear" w:color="auto" w:fill="D9D9D9"/>
          </w:tcPr>
          <w:p>
            <w:pPr>
              <w:spacing w:after="0"/>
              <w:rPr>
                <w:sz w:val="12"/>
                <w:szCs w:val="12"/>
                <w:color w:val="auto"/>
              </w:rPr>
            </w:pPr>
          </w:p>
        </w:tc>
        <w:tc>
          <w:tcPr>
            <w:tcW w:w="126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D9D9D9"/>
          </w:tcPr>
          <w:p>
            <w:pPr>
              <w:spacing w:after="0"/>
              <w:rPr>
                <w:sz w:val="12"/>
                <w:szCs w:val="12"/>
                <w:color w:val="auto"/>
              </w:rPr>
            </w:pPr>
          </w:p>
        </w:tc>
        <w:tc>
          <w:tcPr>
            <w:tcW w:w="100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6,600</w:t>
            </w: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65.9300</w:t>
            </w:r>
          </w:p>
        </w:tc>
        <w:tc>
          <w:tcPr>
            <w:tcW w:w="1020" w:type="dxa"/>
            <w:vAlign w:val="bottom"/>
            <w:shd w:val="clear" w:color="auto" w:fill="D9D9D9"/>
          </w:tcPr>
          <w:p>
            <w:pPr>
              <w:ind w:left="380"/>
              <w:spacing w:after="0"/>
              <w:rPr>
                <w:sz w:val="20"/>
                <w:szCs w:val="20"/>
                <w:color w:val="auto"/>
              </w:rPr>
            </w:pPr>
            <w:r>
              <w:rPr>
                <w:rFonts w:ascii="Arial" w:cs="Arial" w:eastAsia="Arial" w:hAnsi="Arial"/>
                <w:sz w:val="13"/>
                <w:szCs w:val="13"/>
                <w:color w:val="auto"/>
                <w:w w:val="95"/>
              </w:rPr>
              <w:t>12/08/2027</w:t>
            </w:r>
          </w:p>
        </w:tc>
        <w:tc>
          <w:tcPr>
            <w:tcW w:w="10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1540" w:type="dxa"/>
            <w:vAlign w:val="bottom"/>
            <w:shd w:val="clear" w:color="auto" w:fill="D9D9D9"/>
          </w:tcPr>
          <w:p>
            <w:pPr>
              <w:spacing w:after="0"/>
              <w:rPr>
                <w:sz w:val="12"/>
                <w:szCs w:val="12"/>
                <w:color w:val="auto"/>
              </w:rPr>
            </w:pPr>
          </w:p>
        </w:tc>
        <w:tc>
          <w:tcPr>
            <w:tcW w:w="126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D9D9D9"/>
          </w:tcPr>
          <w:p>
            <w:pPr>
              <w:spacing w:after="0"/>
              <w:rPr>
                <w:sz w:val="12"/>
                <w:szCs w:val="12"/>
                <w:color w:val="auto"/>
              </w:rPr>
            </w:pPr>
          </w:p>
        </w:tc>
        <w:tc>
          <w:tcPr>
            <w:tcW w:w="100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9,000</w:t>
            </w: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58.5300</w:t>
            </w:r>
          </w:p>
        </w:tc>
        <w:tc>
          <w:tcPr>
            <w:tcW w:w="1020" w:type="dxa"/>
            <w:vAlign w:val="bottom"/>
            <w:shd w:val="clear" w:color="auto" w:fill="D9D9D9"/>
          </w:tcPr>
          <w:p>
            <w:pPr>
              <w:ind w:left="380"/>
              <w:spacing w:after="0"/>
              <w:rPr>
                <w:sz w:val="20"/>
                <w:szCs w:val="20"/>
                <w:color w:val="auto"/>
              </w:rPr>
            </w:pPr>
            <w:r>
              <w:rPr>
                <w:rFonts w:ascii="Arial" w:cs="Arial" w:eastAsia="Arial" w:hAnsi="Arial"/>
                <w:sz w:val="13"/>
                <w:szCs w:val="13"/>
                <w:color w:val="auto"/>
                <w:w w:val="95"/>
              </w:rPr>
              <w:t>12/07/2028</w:t>
            </w:r>
          </w:p>
        </w:tc>
        <w:tc>
          <w:tcPr>
            <w:tcW w:w="10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1540" w:type="dxa"/>
            <w:vAlign w:val="bottom"/>
            <w:shd w:val="clear" w:color="auto" w:fill="D9D9D9"/>
          </w:tcPr>
          <w:p>
            <w:pPr>
              <w:spacing w:after="0"/>
              <w:rPr>
                <w:sz w:val="12"/>
                <w:szCs w:val="12"/>
                <w:color w:val="auto"/>
              </w:rPr>
            </w:pPr>
          </w:p>
        </w:tc>
        <w:tc>
          <w:tcPr>
            <w:tcW w:w="126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D9D9D9"/>
          </w:tcPr>
          <w:p>
            <w:pPr>
              <w:spacing w:after="0"/>
              <w:rPr>
                <w:sz w:val="12"/>
                <w:szCs w:val="12"/>
                <w:color w:val="auto"/>
              </w:rPr>
            </w:pPr>
          </w:p>
        </w:tc>
        <w:tc>
          <w:tcPr>
            <w:tcW w:w="100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12,133</w:t>
            </w: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6,067</w:t>
            </w: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76.5300</w:t>
            </w:r>
          </w:p>
        </w:tc>
        <w:tc>
          <w:tcPr>
            <w:tcW w:w="1020" w:type="dxa"/>
            <w:vAlign w:val="bottom"/>
            <w:shd w:val="clear" w:color="auto" w:fill="D9D9D9"/>
          </w:tcPr>
          <w:p>
            <w:pPr>
              <w:ind w:left="380"/>
              <w:spacing w:after="0"/>
              <w:rPr>
                <w:sz w:val="20"/>
                <w:szCs w:val="20"/>
                <w:color w:val="auto"/>
              </w:rPr>
            </w:pPr>
            <w:r>
              <w:rPr>
                <w:rFonts w:ascii="Arial" w:cs="Arial" w:eastAsia="Arial" w:hAnsi="Arial"/>
                <w:sz w:val="13"/>
                <w:szCs w:val="13"/>
                <w:color w:val="auto"/>
                <w:w w:val="95"/>
              </w:rPr>
              <w:t>12/19/2029</w:t>
            </w:r>
          </w:p>
        </w:tc>
        <w:tc>
          <w:tcPr>
            <w:tcW w:w="10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1540" w:type="dxa"/>
            <w:vAlign w:val="bottom"/>
            <w:shd w:val="clear" w:color="auto" w:fill="D9D9D9"/>
          </w:tcPr>
          <w:p>
            <w:pPr>
              <w:spacing w:after="0"/>
              <w:rPr>
                <w:sz w:val="12"/>
                <w:szCs w:val="12"/>
                <w:color w:val="auto"/>
              </w:rPr>
            </w:pPr>
          </w:p>
        </w:tc>
        <w:tc>
          <w:tcPr>
            <w:tcW w:w="126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D9D9D9"/>
          </w:tcPr>
          <w:p>
            <w:pPr>
              <w:spacing w:after="0"/>
              <w:rPr>
                <w:sz w:val="12"/>
                <w:szCs w:val="12"/>
                <w:color w:val="auto"/>
              </w:rPr>
            </w:pPr>
          </w:p>
        </w:tc>
        <w:tc>
          <w:tcPr>
            <w:tcW w:w="100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16,866</w:t>
            </w: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8,434</w:t>
            </w: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65.7700</w:t>
            </w:r>
          </w:p>
        </w:tc>
        <w:tc>
          <w:tcPr>
            <w:tcW w:w="1020" w:type="dxa"/>
            <w:vAlign w:val="bottom"/>
            <w:shd w:val="clear" w:color="auto" w:fill="D9D9D9"/>
          </w:tcPr>
          <w:p>
            <w:pPr>
              <w:ind w:left="380"/>
              <w:spacing w:after="0"/>
              <w:rPr>
                <w:sz w:val="20"/>
                <w:szCs w:val="20"/>
                <w:color w:val="auto"/>
              </w:rPr>
            </w:pPr>
            <w:r>
              <w:rPr>
                <w:rFonts w:ascii="Arial" w:cs="Arial" w:eastAsia="Arial" w:hAnsi="Arial"/>
                <w:sz w:val="13"/>
                <w:szCs w:val="13"/>
                <w:color w:val="auto"/>
                <w:w w:val="95"/>
              </w:rPr>
              <w:t>05/19/2030</w:t>
            </w:r>
          </w:p>
        </w:tc>
        <w:tc>
          <w:tcPr>
            <w:tcW w:w="10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1540" w:type="dxa"/>
            <w:vAlign w:val="bottom"/>
            <w:shd w:val="clear" w:color="auto" w:fill="D9D9D9"/>
          </w:tcPr>
          <w:p>
            <w:pPr>
              <w:spacing w:after="0"/>
              <w:rPr>
                <w:sz w:val="12"/>
                <w:szCs w:val="12"/>
                <w:color w:val="auto"/>
              </w:rPr>
            </w:pPr>
          </w:p>
        </w:tc>
        <w:tc>
          <w:tcPr>
            <w:tcW w:w="126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D9D9D9"/>
          </w:tcPr>
          <w:p>
            <w:pPr>
              <w:spacing w:after="0"/>
              <w:rPr>
                <w:sz w:val="12"/>
                <w:szCs w:val="12"/>
                <w:color w:val="auto"/>
              </w:rPr>
            </w:pPr>
          </w:p>
        </w:tc>
        <w:tc>
          <w:tcPr>
            <w:tcW w:w="100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9,866</w:t>
            </w: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19,734</w:t>
            </w: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93.3300</w:t>
            </w:r>
          </w:p>
        </w:tc>
        <w:tc>
          <w:tcPr>
            <w:tcW w:w="1020" w:type="dxa"/>
            <w:vAlign w:val="bottom"/>
            <w:shd w:val="clear" w:color="auto" w:fill="D9D9D9"/>
          </w:tcPr>
          <w:p>
            <w:pPr>
              <w:ind w:left="380"/>
              <w:spacing w:after="0"/>
              <w:rPr>
                <w:sz w:val="20"/>
                <w:szCs w:val="20"/>
                <w:color w:val="auto"/>
              </w:rPr>
            </w:pPr>
            <w:r>
              <w:rPr>
                <w:rFonts w:ascii="Arial" w:cs="Arial" w:eastAsia="Arial" w:hAnsi="Arial"/>
                <w:sz w:val="13"/>
                <w:szCs w:val="13"/>
                <w:color w:val="auto"/>
                <w:w w:val="95"/>
              </w:rPr>
              <w:t>12/17/2030</w:t>
            </w:r>
          </w:p>
        </w:tc>
        <w:tc>
          <w:tcPr>
            <w:tcW w:w="10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1540" w:type="dxa"/>
            <w:vAlign w:val="bottom"/>
            <w:shd w:val="clear" w:color="auto" w:fill="D9D9D9"/>
          </w:tcPr>
          <w:p>
            <w:pPr>
              <w:spacing w:after="0"/>
              <w:rPr>
                <w:sz w:val="12"/>
                <w:szCs w:val="12"/>
                <w:color w:val="auto"/>
              </w:rPr>
            </w:pPr>
          </w:p>
        </w:tc>
        <w:tc>
          <w:tcPr>
            <w:tcW w:w="126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vMerge w:val="restart"/>
            <w:shd w:val="clear" w:color="auto" w:fill="D9D9D9"/>
          </w:tcPr>
          <w:p>
            <w:pPr>
              <w:spacing w:after="0"/>
              <w:rPr>
                <w:sz w:val="20"/>
                <w:szCs w:val="20"/>
                <w:color w:val="auto"/>
              </w:rPr>
            </w:pPr>
            <w:r>
              <w:rPr>
                <w:rFonts w:ascii="Arial" w:cs="Arial" w:eastAsia="Arial" w:hAnsi="Arial"/>
                <w:sz w:val="13"/>
                <w:szCs w:val="13"/>
                <w:color w:val="auto"/>
              </w:rPr>
              <w:t>Restricted Stock Units</w:t>
            </w:r>
          </w:p>
        </w:tc>
        <w:tc>
          <w:tcPr>
            <w:tcW w:w="100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20,600</w:t>
            </w: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99.3400</w:t>
            </w:r>
          </w:p>
        </w:tc>
        <w:tc>
          <w:tcPr>
            <w:tcW w:w="1020" w:type="dxa"/>
            <w:vAlign w:val="bottom"/>
            <w:shd w:val="clear" w:color="auto" w:fill="D9D9D9"/>
          </w:tcPr>
          <w:p>
            <w:pPr>
              <w:ind w:left="380"/>
              <w:spacing w:after="0"/>
              <w:rPr>
                <w:sz w:val="20"/>
                <w:szCs w:val="20"/>
                <w:color w:val="auto"/>
              </w:rPr>
            </w:pPr>
            <w:r>
              <w:rPr>
                <w:rFonts w:ascii="Arial" w:cs="Arial" w:eastAsia="Arial" w:hAnsi="Arial"/>
                <w:sz w:val="13"/>
                <w:szCs w:val="13"/>
                <w:color w:val="auto"/>
                <w:w w:val="95"/>
              </w:rPr>
              <w:t>12/16/2031</w:t>
            </w:r>
          </w:p>
        </w:tc>
        <w:tc>
          <w:tcPr>
            <w:tcW w:w="100" w:type="dxa"/>
            <w:vAlign w:val="bottom"/>
            <w:shd w:val="clear" w:color="auto" w:fill="D9D9D9"/>
          </w:tcPr>
          <w:p>
            <w:pPr>
              <w:spacing w:after="0"/>
              <w:rPr>
                <w:sz w:val="12"/>
                <w:szCs w:val="12"/>
                <w:color w:val="auto"/>
              </w:rPr>
            </w:pPr>
          </w:p>
        </w:tc>
        <w:tc>
          <w:tcPr>
            <w:tcW w:w="840" w:type="dxa"/>
            <w:vAlign w:val="bottom"/>
            <w:vMerge w:val="restart"/>
            <w:shd w:val="clear" w:color="auto" w:fill="D9D9D9"/>
          </w:tcPr>
          <w:p>
            <w:pPr>
              <w:jc w:val="right"/>
              <w:spacing w:after="0"/>
              <w:rPr>
                <w:sz w:val="20"/>
                <w:szCs w:val="20"/>
                <w:color w:val="auto"/>
              </w:rPr>
            </w:pPr>
            <w:r>
              <w:rPr>
                <w:rFonts w:ascii="Arial" w:cs="Arial" w:eastAsia="Arial" w:hAnsi="Arial"/>
                <w:sz w:val="13"/>
                <w:szCs w:val="13"/>
                <w:color w:val="auto"/>
              </w:rPr>
              <w:t>550</w:t>
            </w:r>
          </w:p>
        </w:tc>
        <w:tc>
          <w:tcPr>
            <w:tcW w:w="100" w:type="dxa"/>
            <w:vAlign w:val="bottom"/>
            <w:shd w:val="clear" w:color="auto" w:fill="D9D9D9"/>
          </w:tcPr>
          <w:p>
            <w:pPr>
              <w:spacing w:after="0"/>
              <w:rPr>
                <w:sz w:val="12"/>
                <w:szCs w:val="12"/>
                <w:color w:val="auto"/>
              </w:rPr>
            </w:pPr>
          </w:p>
        </w:tc>
        <w:tc>
          <w:tcPr>
            <w:tcW w:w="900" w:type="dxa"/>
            <w:vAlign w:val="bottom"/>
            <w:vMerge w:val="restart"/>
            <w:shd w:val="clear" w:color="auto" w:fill="D9D9D9"/>
          </w:tcPr>
          <w:p>
            <w:pPr>
              <w:jc w:val="right"/>
              <w:spacing w:after="0"/>
              <w:rPr>
                <w:sz w:val="20"/>
                <w:szCs w:val="20"/>
                <w:color w:val="auto"/>
              </w:rPr>
            </w:pPr>
            <w:r>
              <w:rPr>
                <w:rFonts w:ascii="Arial" w:cs="Arial" w:eastAsia="Arial" w:hAnsi="Arial"/>
                <w:sz w:val="13"/>
                <w:szCs w:val="13"/>
                <w:color w:val="auto"/>
              </w:rPr>
              <w:t>58015</w:t>
            </w:r>
          </w:p>
        </w:tc>
        <w:tc>
          <w:tcPr>
            <w:tcW w:w="1540" w:type="dxa"/>
            <w:vAlign w:val="bottom"/>
            <w:shd w:val="clear" w:color="auto" w:fill="D9D9D9"/>
          </w:tcPr>
          <w:p>
            <w:pPr>
              <w:spacing w:after="0"/>
              <w:rPr>
                <w:sz w:val="12"/>
                <w:szCs w:val="12"/>
                <w:color w:val="auto"/>
              </w:rPr>
            </w:pPr>
          </w:p>
        </w:tc>
        <w:tc>
          <w:tcPr>
            <w:tcW w:w="126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vMerge w:val="continue"/>
            <w:shd w:val="clear" w:color="auto" w:fill="D9D9D9"/>
          </w:tcPr>
          <w:p>
            <w:pPr>
              <w:spacing w:after="0"/>
              <w:rPr>
                <w:sz w:val="12"/>
                <w:szCs w:val="12"/>
                <w:color w:val="auto"/>
              </w:rPr>
            </w:pPr>
          </w:p>
        </w:tc>
        <w:tc>
          <w:tcPr>
            <w:tcW w:w="820" w:type="dxa"/>
            <w:vAlign w:val="bottom"/>
            <w:shd w:val="clear" w:color="auto" w:fill="D9D9D9"/>
          </w:tcPr>
          <w:p>
            <w:pPr>
              <w:spacing w:after="0"/>
              <w:rPr>
                <w:sz w:val="12"/>
                <w:szCs w:val="12"/>
                <w:color w:val="auto"/>
              </w:rPr>
            </w:pPr>
          </w:p>
        </w:tc>
        <w:tc>
          <w:tcPr>
            <w:tcW w:w="180" w:type="dxa"/>
            <w:vAlign w:val="bottom"/>
            <w:shd w:val="clear" w:color="auto" w:fill="D9D9D9"/>
          </w:tcPr>
          <w:p>
            <w:pPr>
              <w:spacing w:after="0"/>
              <w:rPr>
                <w:sz w:val="12"/>
                <w:szCs w:val="12"/>
                <w:color w:val="auto"/>
              </w:rPr>
            </w:pPr>
          </w:p>
        </w:tc>
        <w:tc>
          <w:tcPr>
            <w:tcW w:w="1040" w:type="dxa"/>
            <w:vAlign w:val="bottom"/>
            <w:shd w:val="clear" w:color="auto" w:fill="D9D9D9"/>
          </w:tcPr>
          <w:p>
            <w:pPr>
              <w:spacing w:after="0"/>
              <w:rPr>
                <w:sz w:val="12"/>
                <w:szCs w:val="12"/>
                <w:color w:val="auto"/>
              </w:rPr>
            </w:pPr>
          </w:p>
        </w:tc>
        <w:tc>
          <w:tcPr>
            <w:tcW w:w="1040" w:type="dxa"/>
            <w:vAlign w:val="bottom"/>
            <w:shd w:val="clear" w:color="auto" w:fill="D9D9D9"/>
          </w:tcPr>
          <w:p>
            <w:pPr>
              <w:spacing w:after="0"/>
              <w:rPr>
                <w:sz w:val="12"/>
                <w:szCs w:val="12"/>
                <w:color w:val="auto"/>
              </w:rPr>
            </w:pPr>
          </w:p>
        </w:tc>
        <w:tc>
          <w:tcPr>
            <w:tcW w:w="102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840" w:type="dxa"/>
            <w:vAlign w:val="bottom"/>
            <w:vMerge w:val="continue"/>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900" w:type="dxa"/>
            <w:vAlign w:val="bottom"/>
            <w:vMerge w:val="continue"/>
            <w:shd w:val="clear" w:color="auto" w:fill="D9D9D9"/>
          </w:tcPr>
          <w:p>
            <w:pPr>
              <w:spacing w:after="0"/>
              <w:rPr>
                <w:sz w:val="12"/>
                <w:szCs w:val="12"/>
                <w:color w:val="auto"/>
              </w:rPr>
            </w:pPr>
          </w:p>
        </w:tc>
        <w:tc>
          <w:tcPr>
            <w:tcW w:w="1540" w:type="dxa"/>
            <w:vAlign w:val="bottom"/>
            <w:shd w:val="clear" w:color="auto" w:fill="D9D9D9"/>
          </w:tcPr>
          <w:p>
            <w:pPr>
              <w:spacing w:after="0"/>
              <w:rPr>
                <w:sz w:val="12"/>
                <w:szCs w:val="12"/>
                <w:color w:val="auto"/>
              </w:rPr>
            </w:pPr>
          </w:p>
        </w:tc>
        <w:tc>
          <w:tcPr>
            <w:tcW w:w="126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D9D9D9"/>
          </w:tcPr>
          <w:p>
            <w:pPr>
              <w:ind w:left="140"/>
              <w:spacing w:after="0"/>
              <w:rPr>
                <w:sz w:val="20"/>
                <w:szCs w:val="20"/>
                <w:color w:val="auto"/>
              </w:rPr>
            </w:pPr>
            <w:r>
              <w:rPr>
                <w:rFonts w:ascii="Arial" w:cs="Arial" w:eastAsia="Arial" w:hAnsi="Arial"/>
                <w:sz w:val="13"/>
                <w:szCs w:val="13"/>
                <w:color w:val="auto"/>
              </w:rPr>
              <w:t>F21-F23 Performance Shares</w:t>
            </w:r>
          </w:p>
        </w:tc>
        <w:tc>
          <w:tcPr>
            <w:tcW w:w="820" w:type="dxa"/>
            <w:vAlign w:val="bottom"/>
            <w:shd w:val="clear" w:color="auto" w:fill="D9D9D9"/>
          </w:tcPr>
          <w:p>
            <w:pPr>
              <w:spacing w:after="0"/>
              <w:rPr>
                <w:sz w:val="12"/>
                <w:szCs w:val="12"/>
                <w:color w:val="auto"/>
              </w:rPr>
            </w:pPr>
          </w:p>
        </w:tc>
        <w:tc>
          <w:tcPr>
            <w:tcW w:w="180" w:type="dxa"/>
            <w:vAlign w:val="bottom"/>
            <w:shd w:val="clear" w:color="auto" w:fill="D9D9D9"/>
          </w:tcPr>
          <w:p>
            <w:pPr>
              <w:spacing w:after="0"/>
              <w:rPr>
                <w:sz w:val="12"/>
                <w:szCs w:val="12"/>
                <w:color w:val="auto"/>
              </w:rPr>
            </w:pPr>
          </w:p>
        </w:tc>
        <w:tc>
          <w:tcPr>
            <w:tcW w:w="1040" w:type="dxa"/>
            <w:vAlign w:val="bottom"/>
            <w:shd w:val="clear" w:color="auto" w:fill="D9D9D9"/>
          </w:tcPr>
          <w:p>
            <w:pPr>
              <w:spacing w:after="0"/>
              <w:rPr>
                <w:sz w:val="12"/>
                <w:szCs w:val="12"/>
                <w:color w:val="auto"/>
              </w:rPr>
            </w:pPr>
          </w:p>
        </w:tc>
        <w:tc>
          <w:tcPr>
            <w:tcW w:w="1040" w:type="dxa"/>
            <w:vAlign w:val="bottom"/>
            <w:shd w:val="clear" w:color="auto" w:fill="D9D9D9"/>
          </w:tcPr>
          <w:p>
            <w:pPr>
              <w:spacing w:after="0"/>
              <w:rPr>
                <w:sz w:val="12"/>
                <w:szCs w:val="12"/>
                <w:color w:val="auto"/>
              </w:rPr>
            </w:pPr>
          </w:p>
        </w:tc>
        <w:tc>
          <w:tcPr>
            <w:tcW w:w="102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1540" w:type="dxa"/>
            <w:vAlign w:val="bottom"/>
            <w:shd w:val="clear" w:color="auto" w:fill="D9D9D9"/>
          </w:tcPr>
          <w:p>
            <w:pPr>
              <w:jc w:val="right"/>
              <w:ind w:right="120"/>
              <w:spacing w:after="0"/>
              <w:rPr>
                <w:sz w:val="20"/>
                <w:szCs w:val="20"/>
                <w:color w:val="auto"/>
              </w:rPr>
            </w:pPr>
            <w:r>
              <w:rPr>
                <w:rFonts w:ascii="Arial" w:cs="Arial" w:eastAsia="Arial" w:hAnsi="Arial"/>
                <w:sz w:val="13"/>
                <w:szCs w:val="13"/>
                <w:color w:val="auto"/>
              </w:rPr>
              <w:t>9,486</w:t>
            </w:r>
          </w:p>
        </w:tc>
        <w:tc>
          <w:tcPr>
            <w:tcW w:w="12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1,000,109</w:t>
            </w:r>
          </w:p>
        </w:tc>
        <w:tc>
          <w:tcPr>
            <w:tcW w:w="0" w:type="dxa"/>
            <w:vAlign w:val="bottom"/>
          </w:tcPr>
          <w:p>
            <w:pPr>
              <w:spacing w:after="0"/>
              <w:rPr>
                <w:sz w:val="1"/>
                <w:szCs w:val="1"/>
                <w:color w:val="auto"/>
              </w:rPr>
            </w:pPr>
          </w:p>
        </w:tc>
      </w:tr>
      <w:tr>
        <w:trPr>
          <w:trHeight w:val="149"/>
        </w:trPr>
        <w:tc>
          <w:tcPr>
            <w:tcW w:w="2400" w:type="dxa"/>
            <w:vAlign w:val="bottom"/>
            <w:shd w:val="clear" w:color="auto" w:fill="D9D9D9"/>
          </w:tcPr>
          <w:p>
            <w:pPr>
              <w:ind w:left="140"/>
              <w:spacing w:after="0"/>
              <w:rPr>
                <w:sz w:val="20"/>
                <w:szCs w:val="20"/>
                <w:color w:val="auto"/>
              </w:rPr>
            </w:pPr>
            <w:r>
              <w:rPr>
                <w:rFonts w:ascii="Arial" w:cs="Arial" w:eastAsia="Arial" w:hAnsi="Arial"/>
                <w:sz w:val="13"/>
                <w:szCs w:val="13"/>
                <w:color w:val="auto"/>
              </w:rPr>
              <w:t>F22-F24 Performance Shares</w:t>
            </w:r>
          </w:p>
        </w:tc>
        <w:tc>
          <w:tcPr>
            <w:tcW w:w="820" w:type="dxa"/>
            <w:vAlign w:val="bottom"/>
            <w:shd w:val="clear" w:color="auto" w:fill="D9D9D9"/>
          </w:tcPr>
          <w:p>
            <w:pPr>
              <w:spacing w:after="0"/>
              <w:rPr>
                <w:sz w:val="12"/>
                <w:szCs w:val="12"/>
                <w:color w:val="auto"/>
              </w:rPr>
            </w:pPr>
          </w:p>
        </w:tc>
        <w:tc>
          <w:tcPr>
            <w:tcW w:w="180" w:type="dxa"/>
            <w:vAlign w:val="bottom"/>
            <w:shd w:val="clear" w:color="auto" w:fill="D9D9D9"/>
          </w:tcPr>
          <w:p>
            <w:pPr>
              <w:spacing w:after="0"/>
              <w:rPr>
                <w:sz w:val="12"/>
                <w:szCs w:val="12"/>
                <w:color w:val="auto"/>
              </w:rPr>
            </w:pPr>
          </w:p>
        </w:tc>
        <w:tc>
          <w:tcPr>
            <w:tcW w:w="1040" w:type="dxa"/>
            <w:vAlign w:val="bottom"/>
            <w:shd w:val="clear" w:color="auto" w:fill="D9D9D9"/>
          </w:tcPr>
          <w:p>
            <w:pPr>
              <w:spacing w:after="0"/>
              <w:rPr>
                <w:sz w:val="12"/>
                <w:szCs w:val="12"/>
                <w:color w:val="auto"/>
              </w:rPr>
            </w:pPr>
          </w:p>
        </w:tc>
        <w:tc>
          <w:tcPr>
            <w:tcW w:w="1040" w:type="dxa"/>
            <w:vAlign w:val="bottom"/>
            <w:shd w:val="clear" w:color="auto" w:fill="D9D9D9"/>
          </w:tcPr>
          <w:p>
            <w:pPr>
              <w:spacing w:after="0"/>
              <w:rPr>
                <w:sz w:val="12"/>
                <w:szCs w:val="12"/>
                <w:color w:val="auto"/>
              </w:rPr>
            </w:pPr>
          </w:p>
        </w:tc>
        <w:tc>
          <w:tcPr>
            <w:tcW w:w="102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1540" w:type="dxa"/>
            <w:vAlign w:val="bottom"/>
            <w:shd w:val="clear" w:color="auto" w:fill="D9D9D9"/>
          </w:tcPr>
          <w:p>
            <w:pPr>
              <w:jc w:val="right"/>
              <w:ind w:right="120"/>
              <w:spacing w:after="0"/>
              <w:rPr>
                <w:sz w:val="20"/>
                <w:szCs w:val="20"/>
                <w:color w:val="auto"/>
              </w:rPr>
            </w:pPr>
            <w:r>
              <w:rPr>
                <w:rFonts w:ascii="Arial" w:cs="Arial" w:eastAsia="Arial" w:hAnsi="Arial"/>
                <w:sz w:val="13"/>
                <w:szCs w:val="13"/>
                <w:color w:val="auto"/>
              </w:rPr>
              <w:t>4,656</w:t>
            </w:r>
          </w:p>
        </w:tc>
        <w:tc>
          <w:tcPr>
            <w:tcW w:w="12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490,882</w:t>
            </w:r>
          </w:p>
        </w:tc>
        <w:tc>
          <w:tcPr>
            <w:tcW w:w="0" w:type="dxa"/>
            <w:vAlign w:val="bottom"/>
          </w:tcPr>
          <w:p>
            <w:pPr>
              <w:spacing w:after="0"/>
              <w:rPr>
                <w:sz w:val="1"/>
                <w:szCs w:val="1"/>
                <w:color w:val="auto"/>
              </w:rPr>
            </w:pPr>
          </w:p>
        </w:tc>
      </w:tr>
      <w:tr>
        <w:trPr>
          <w:trHeight w:val="144"/>
        </w:trPr>
        <w:tc>
          <w:tcPr>
            <w:tcW w:w="2400" w:type="dxa"/>
            <w:vAlign w:val="bottom"/>
          </w:tcPr>
          <w:p>
            <w:pPr>
              <w:spacing w:after="0" w:line="144" w:lineRule="exact"/>
              <w:rPr>
                <w:sz w:val="20"/>
                <w:szCs w:val="20"/>
                <w:color w:val="auto"/>
              </w:rPr>
            </w:pPr>
            <w:r>
              <w:rPr>
                <w:rFonts w:ascii="Arial" w:cs="Arial" w:eastAsia="Arial" w:hAnsi="Arial"/>
                <w:sz w:val="13"/>
                <w:szCs w:val="13"/>
                <w:color w:val="auto"/>
              </w:rPr>
              <w:t>Amy E. Dahl</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tcPr>
          <w:p>
            <w:pPr>
              <w:ind w:left="140"/>
              <w:spacing w:after="0"/>
              <w:rPr>
                <w:sz w:val="20"/>
                <w:szCs w:val="20"/>
                <w:color w:val="auto"/>
              </w:rPr>
            </w:pPr>
            <w:r>
              <w:rPr>
                <w:rFonts w:ascii="Arial" w:cs="Arial" w:eastAsia="Arial" w:hAnsi="Arial"/>
                <w:sz w:val="13"/>
                <w:szCs w:val="13"/>
                <w:color w:val="auto"/>
              </w:rPr>
              <w:t>Stock Options</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2,230</w:t>
            </w:r>
          </w:p>
        </w:tc>
        <w:tc>
          <w:tcPr>
            <w:tcW w:w="1040" w:type="dxa"/>
            <w:vAlign w:val="bottom"/>
          </w:tcPr>
          <w:p>
            <w:pPr>
              <w:jc w:val="right"/>
              <w:spacing w:after="0"/>
              <w:rPr>
                <w:sz w:val="20"/>
                <w:szCs w:val="20"/>
                <w:color w:val="auto"/>
              </w:rPr>
            </w:pPr>
            <w:r>
              <w:rPr>
                <w:rFonts w:ascii="Arial" w:cs="Arial" w:eastAsia="Arial" w:hAnsi="Arial"/>
                <w:sz w:val="13"/>
                <w:szCs w:val="13"/>
                <w:color w:val="auto"/>
              </w:rPr>
              <w:t>0</w:t>
            </w:r>
          </w:p>
        </w:tc>
        <w:tc>
          <w:tcPr>
            <w:tcW w:w="1040" w:type="dxa"/>
            <w:vAlign w:val="bottom"/>
          </w:tcPr>
          <w:p>
            <w:pPr>
              <w:jc w:val="right"/>
              <w:spacing w:after="0"/>
              <w:rPr>
                <w:sz w:val="20"/>
                <w:szCs w:val="20"/>
                <w:color w:val="auto"/>
              </w:rPr>
            </w:pPr>
            <w:r>
              <w:rPr>
                <w:rFonts w:ascii="Arial" w:cs="Arial" w:eastAsia="Arial" w:hAnsi="Arial"/>
                <w:sz w:val="13"/>
                <w:szCs w:val="13"/>
                <w:color w:val="auto"/>
              </w:rPr>
              <w:t>29.7500</w:t>
            </w:r>
          </w:p>
        </w:tc>
        <w:tc>
          <w:tcPr>
            <w:tcW w:w="1020" w:type="dxa"/>
            <w:vAlign w:val="bottom"/>
          </w:tcPr>
          <w:p>
            <w:pPr>
              <w:ind w:left="380"/>
              <w:spacing w:after="0"/>
              <w:rPr>
                <w:sz w:val="20"/>
                <w:szCs w:val="20"/>
                <w:color w:val="auto"/>
              </w:rPr>
            </w:pPr>
            <w:r>
              <w:rPr>
                <w:rFonts w:ascii="Arial" w:cs="Arial" w:eastAsia="Arial" w:hAnsi="Arial"/>
                <w:sz w:val="13"/>
                <w:szCs w:val="13"/>
                <w:color w:val="auto"/>
                <w:w w:val="95"/>
              </w:rPr>
              <w:t>12/06/2023</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2,230</w:t>
            </w:r>
          </w:p>
        </w:tc>
        <w:tc>
          <w:tcPr>
            <w:tcW w:w="1040" w:type="dxa"/>
            <w:vAlign w:val="bottom"/>
          </w:tcPr>
          <w:p>
            <w:pPr>
              <w:jc w:val="right"/>
              <w:spacing w:after="0"/>
              <w:rPr>
                <w:sz w:val="20"/>
                <w:szCs w:val="20"/>
                <w:color w:val="auto"/>
              </w:rPr>
            </w:pPr>
            <w:r>
              <w:rPr>
                <w:rFonts w:ascii="Arial" w:cs="Arial" w:eastAsia="Arial" w:hAnsi="Arial"/>
                <w:sz w:val="13"/>
                <w:szCs w:val="13"/>
                <w:color w:val="auto"/>
              </w:rPr>
              <w:t>0</w:t>
            </w:r>
          </w:p>
        </w:tc>
        <w:tc>
          <w:tcPr>
            <w:tcW w:w="1040" w:type="dxa"/>
            <w:vAlign w:val="bottom"/>
          </w:tcPr>
          <w:p>
            <w:pPr>
              <w:jc w:val="right"/>
              <w:spacing w:after="0"/>
              <w:rPr>
                <w:sz w:val="20"/>
                <w:szCs w:val="20"/>
                <w:color w:val="auto"/>
              </w:rPr>
            </w:pPr>
            <w:r>
              <w:rPr>
                <w:rFonts w:ascii="Arial" w:cs="Arial" w:eastAsia="Arial" w:hAnsi="Arial"/>
                <w:sz w:val="13"/>
                <w:szCs w:val="13"/>
                <w:color w:val="auto"/>
              </w:rPr>
              <w:t>29.7500</w:t>
            </w:r>
          </w:p>
        </w:tc>
        <w:tc>
          <w:tcPr>
            <w:tcW w:w="1020" w:type="dxa"/>
            <w:vAlign w:val="bottom"/>
          </w:tcPr>
          <w:p>
            <w:pPr>
              <w:ind w:left="380"/>
              <w:spacing w:after="0"/>
              <w:rPr>
                <w:sz w:val="20"/>
                <w:szCs w:val="20"/>
                <w:color w:val="auto"/>
              </w:rPr>
            </w:pPr>
            <w:r>
              <w:rPr>
                <w:rFonts w:ascii="Arial" w:cs="Arial" w:eastAsia="Arial" w:hAnsi="Arial"/>
                <w:sz w:val="13"/>
                <w:szCs w:val="13"/>
                <w:color w:val="auto"/>
                <w:w w:val="95"/>
              </w:rPr>
              <w:t>12/06/2023</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2,230</w:t>
            </w:r>
          </w:p>
        </w:tc>
        <w:tc>
          <w:tcPr>
            <w:tcW w:w="1040" w:type="dxa"/>
            <w:vAlign w:val="bottom"/>
          </w:tcPr>
          <w:p>
            <w:pPr>
              <w:jc w:val="right"/>
              <w:spacing w:after="0"/>
              <w:rPr>
                <w:sz w:val="20"/>
                <w:szCs w:val="20"/>
                <w:color w:val="auto"/>
              </w:rPr>
            </w:pPr>
            <w:r>
              <w:rPr>
                <w:rFonts w:ascii="Arial" w:cs="Arial" w:eastAsia="Arial" w:hAnsi="Arial"/>
                <w:sz w:val="13"/>
                <w:szCs w:val="13"/>
                <w:color w:val="auto"/>
              </w:rPr>
              <w:t>0</w:t>
            </w:r>
          </w:p>
        </w:tc>
        <w:tc>
          <w:tcPr>
            <w:tcW w:w="1040" w:type="dxa"/>
            <w:vAlign w:val="bottom"/>
          </w:tcPr>
          <w:p>
            <w:pPr>
              <w:jc w:val="right"/>
              <w:spacing w:after="0"/>
              <w:rPr>
                <w:sz w:val="20"/>
                <w:szCs w:val="20"/>
                <w:color w:val="auto"/>
              </w:rPr>
            </w:pPr>
            <w:r>
              <w:rPr>
                <w:rFonts w:ascii="Arial" w:cs="Arial" w:eastAsia="Arial" w:hAnsi="Arial"/>
                <w:sz w:val="13"/>
                <w:szCs w:val="13"/>
                <w:color w:val="auto"/>
              </w:rPr>
              <w:t>31.3750</w:t>
            </w:r>
          </w:p>
        </w:tc>
        <w:tc>
          <w:tcPr>
            <w:tcW w:w="1020" w:type="dxa"/>
            <w:vAlign w:val="bottom"/>
          </w:tcPr>
          <w:p>
            <w:pPr>
              <w:ind w:left="380"/>
              <w:spacing w:after="0"/>
              <w:rPr>
                <w:sz w:val="20"/>
                <w:szCs w:val="20"/>
                <w:color w:val="auto"/>
              </w:rPr>
            </w:pPr>
            <w:r>
              <w:rPr>
                <w:rFonts w:ascii="Arial" w:cs="Arial" w:eastAsia="Arial" w:hAnsi="Arial"/>
                <w:sz w:val="13"/>
                <w:szCs w:val="13"/>
                <w:color w:val="auto"/>
                <w:w w:val="95"/>
              </w:rPr>
              <w:t>12/05/2024</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2,230</w:t>
            </w:r>
          </w:p>
        </w:tc>
        <w:tc>
          <w:tcPr>
            <w:tcW w:w="1040" w:type="dxa"/>
            <w:vAlign w:val="bottom"/>
          </w:tcPr>
          <w:p>
            <w:pPr>
              <w:jc w:val="right"/>
              <w:spacing w:after="0"/>
              <w:rPr>
                <w:sz w:val="20"/>
                <w:szCs w:val="20"/>
                <w:color w:val="auto"/>
              </w:rPr>
            </w:pPr>
            <w:r>
              <w:rPr>
                <w:rFonts w:ascii="Arial" w:cs="Arial" w:eastAsia="Arial" w:hAnsi="Arial"/>
                <w:sz w:val="13"/>
                <w:szCs w:val="13"/>
                <w:color w:val="auto"/>
              </w:rPr>
              <w:t>0</w:t>
            </w:r>
          </w:p>
        </w:tc>
        <w:tc>
          <w:tcPr>
            <w:tcW w:w="1040" w:type="dxa"/>
            <w:vAlign w:val="bottom"/>
          </w:tcPr>
          <w:p>
            <w:pPr>
              <w:jc w:val="right"/>
              <w:spacing w:after="0"/>
              <w:rPr>
                <w:sz w:val="20"/>
                <w:szCs w:val="20"/>
                <w:color w:val="auto"/>
              </w:rPr>
            </w:pPr>
            <w:r>
              <w:rPr>
                <w:rFonts w:ascii="Arial" w:cs="Arial" w:eastAsia="Arial" w:hAnsi="Arial"/>
                <w:sz w:val="13"/>
                <w:szCs w:val="13"/>
                <w:color w:val="auto"/>
              </w:rPr>
              <w:t>31.3750</w:t>
            </w:r>
          </w:p>
        </w:tc>
        <w:tc>
          <w:tcPr>
            <w:tcW w:w="1020" w:type="dxa"/>
            <w:vAlign w:val="bottom"/>
          </w:tcPr>
          <w:p>
            <w:pPr>
              <w:ind w:left="380"/>
              <w:spacing w:after="0"/>
              <w:rPr>
                <w:sz w:val="20"/>
                <w:szCs w:val="20"/>
                <w:color w:val="auto"/>
              </w:rPr>
            </w:pPr>
            <w:r>
              <w:rPr>
                <w:rFonts w:ascii="Arial" w:cs="Arial" w:eastAsia="Arial" w:hAnsi="Arial"/>
                <w:sz w:val="13"/>
                <w:szCs w:val="13"/>
                <w:color w:val="auto"/>
                <w:w w:val="95"/>
              </w:rPr>
              <w:t>12/05/2024</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17,200</w:t>
            </w:r>
          </w:p>
        </w:tc>
        <w:tc>
          <w:tcPr>
            <w:tcW w:w="1040" w:type="dxa"/>
            <w:vAlign w:val="bottom"/>
          </w:tcPr>
          <w:p>
            <w:pPr>
              <w:jc w:val="right"/>
              <w:spacing w:after="0"/>
              <w:rPr>
                <w:sz w:val="20"/>
                <w:szCs w:val="20"/>
                <w:color w:val="auto"/>
              </w:rPr>
            </w:pPr>
            <w:r>
              <w:rPr>
                <w:rFonts w:ascii="Arial" w:cs="Arial" w:eastAsia="Arial" w:hAnsi="Arial"/>
                <w:sz w:val="13"/>
                <w:szCs w:val="13"/>
                <w:color w:val="auto"/>
              </w:rPr>
              <w:t>0</w:t>
            </w:r>
          </w:p>
        </w:tc>
        <w:tc>
          <w:tcPr>
            <w:tcW w:w="1040" w:type="dxa"/>
            <w:vAlign w:val="bottom"/>
          </w:tcPr>
          <w:p>
            <w:pPr>
              <w:jc w:val="right"/>
              <w:spacing w:after="0"/>
              <w:rPr>
                <w:sz w:val="20"/>
                <w:szCs w:val="20"/>
                <w:color w:val="auto"/>
              </w:rPr>
            </w:pPr>
            <w:r>
              <w:rPr>
                <w:rFonts w:ascii="Arial" w:cs="Arial" w:eastAsia="Arial" w:hAnsi="Arial"/>
                <w:sz w:val="13"/>
                <w:szCs w:val="13"/>
                <w:color w:val="auto"/>
              </w:rPr>
              <w:t>38.8200</w:t>
            </w:r>
          </w:p>
        </w:tc>
        <w:tc>
          <w:tcPr>
            <w:tcW w:w="1020" w:type="dxa"/>
            <w:vAlign w:val="bottom"/>
          </w:tcPr>
          <w:p>
            <w:pPr>
              <w:ind w:left="380"/>
              <w:spacing w:after="0"/>
              <w:rPr>
                <w:sz w:val="20"/>
                <w:szCs w:val="20"/>
                <w:color w:val="auto"/>
              </w:rPr>
            </w:pPr>
            <w:r>
              <w:rPr>
                <w:rFonts w:ascii="Arial" w:cs="Arial" w:eastAsia="Arial" w:hAnsi="Arial"/>
                <w:sz w:val="13"/>
                <w:szCs w:val="13"/>
                <w:color w:val="auto"/>
                <w:w w:val="95"/>
              </w:rPr>
              <w:t>12/04/2025</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16,600</w:t>
            </w:r>
          </w:p>
        </w:tc>
        <w:tc>
          <w:tcPr>
            <w:tcW w:w="1040" w:type="dxa"/>
            <w:vAlign w:val="bottom"/>
          </w:tcPr>
          <w:p>
            <w:pPr>
              <w:jc w:val="right"/>
              <w:spacing w:after="0"/>
              <w:rPr>
                <w:sz w:val="20"/>
                <w:szCs w:val="20"/>
                <w:color w:val="auto"/>
              </w:rPr>
            </w:pPr>
            <w:r>
              <w:rPr>
                <w:rFonts w:ascii="Arial" w:cs="Arial" w:eastAsia="Arial" w:hAnsi="Arial"/>
                <w:sz w:val="13"/>
                <w:szCs w:val="13"/>
                <w:color w:val="auto"/>
              </w:rPr>
              <w:t>0</w:t>
            </w:r>
          </w:p>
        </w:tc>
        <w:tc>
          <w:tcPr>
            <w:tcW w:w="1040" w:type="dxa"/>
            <w:vAlign w:val="bottom"/>
          </w:tcPr>
          <w:p>
            <w:pPr>
              <w:jc w:val="right"/>
              <w:spacing w:after="0"/>
              <w:rPr>
                <w:sz w:val="20"/>
                <w:szCs w:val="20"/>
                <w:color w:val="auto"/>
              </w:rPr>
            </w:pPr>
            <w:r>
              <w:rPr>
                <w:rFonts w:ascii="Arial" w:cs="Arial" w:eastAsia="Arial" w:hAnsi="Arial"/>
                <w:sz w:val="13"/>
                <w:szCs w:val="13"/>
                <w:color w:val="auto"/>
              </w:rPr>
              <w:t>56.5400</w:t>
            </w:r>
          </w:p>
        </w:tc>
        <w:tc>
          <w:tcPr>
            <w:tcW w:w="1020" w:type="dxa"/>
            <w:vAlign w:val="bottom"/>
          </w:tcPr>
          <w:p>
            <w:pPr>
              <w:ind w:left="380"/>
              <w:spacing w:after="0"/>
              <w:rPr>
                <w:sz w:val="20"/>
                <w:szCs w:val="20"/>
                <w:color w:val="auto"/>
              </w:rPr>
            </w:pPr>
            <w:r>
              <w:rPr>
                <w:rFonts w:ascii="Arial" w:cs="Arial" w:eastAsia="Arial" w:hAnsi="Arial"/>
                <w:sz w:val="13"/>
                <w:szCs w:val="13"/>
                <w:color w:val="auto"/>
                <w:w w:val="95"/>
              </w:rPr>
              <w:t>12/09/2026</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13,200</w:t>
            </w:r>
          </w:p>
        </w:tc>
        <w:tc>
          <w:tcPr>
            <w:tcW w:w="1040" w:type="dxa"/>
            <w:vAlign w:val="bottom"/>
          </w:tcPr>
          <w:p>
            <w:pPr>
              <w:jc w:val="right"/>
              <w:spacing w:after="0"/>
              <w:rPr>
                <w:sz w:val="20"/>
                <w:szCs w:val="20"/>
                <w:color w:val="auto"/>
              </w:rPr>
            </w:pPr>
            <w:r>
              <w:rPr>
                <w:rFonts w:ascii="Arial" w:cs="Arial" w:eastAsia="Arial" w:hAnsi="Arial"/>
                <w:sz w:val="13"/>
                <w:szCs w:val="13"/>
                <w:color w:val="auto"/>
              </w:rPr>
              <w:t>0</w:t>
            </w:r>
          </w:p>
        </w:tc>
        <w:tc>
          <w:tcPr>
            <w:tcW w:w="1040" w:type="dxa"/>
            <w:vAlign w:val="bottom"/>
          </w:tcPr>
          <w:p>
            <w:pPr>
              <w:jc w:val="right"/>
              <w:spacing w:after="0"/>
              <w:rPr>
                <w:sz w:val="20"/>
                <w:szCs w:val="20"/>
                <w:color w:val="auto"/>
              </w:rPr>
            </w:pPr>
            <w:r>
              <w:rPr>
                <w:rFonts w:ascii="Arial" w:cs="Arial" w:eastAsia="Arial" w:hAnsi="Arial"/>
                <w:sz w:val="13"/>
                <w:szCs w:val="13"/>
                <w:color w:val="auto"/>
              </w:rPr>
              <w:t>65.9300</w:t>
            </w:r>
          </w:p>
        </w:tc>
        <w:tc>
          <w:tcPr>
            <w:tcW w:w="1020" w:type="dxa"/>
            <w:vAlign w:val="bottom"/>
          </w:tcPr>
          <w:p>
            <w:pPr>
              <w:ind w:left="380"/>
              <w:spacing w:after="0"/>
              <w:rPr>
                <w:sz w:val="20"/>
                <w:szCs w:val="20"/>
                <w:color w:val="auto"/>
              </w:rPr>
            </w:pPr>
            <w:r>
              <w:rPr>
                <w:rFonts w:ascii="Arial" w:cs="Arial" w:eastAsia="Arial" w:hAnsi="Arial"/>
                <w:sz w:val="13"/>
                <w:szCs w:val="13"/>
                <w:color w:val="auto"/>
                <w:w w:val="95"/>
              </w:rPr>
              <w:t>12/08/2027</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16,200</w:t>
            </w:r>
          </w:p>
        </w:tc>
        <w:tc>
          <w:tcPr>
            <w:tcW w:w="1040" w:type="dxa"/>
            <w:vAlign w:val="bottom"/>
          </w:tcPr>
          <w:p>
            <w:pPr>
              <w:jc w:val="right"/>
              <w:spacing w:after="0"/>
              <w:rPr>
                <w:sz w:val="20"/>
                <w:szCs w:val="20"/>
                <w:color w:val="auto"/>
              </w:rPr>
            </w:pPr>
            <w:r>
              <w:rPr>
                <w:rFonts w:ascii="Arial" w:cs="Arial" w:eastAsia="Arial" w:hAnsi="Arial"/>
                <w:sz w:val="13"/>
                <w:szCs w:val="13"/>
                <w:color w:val="auto"/>
              </w:rPr>
              <w:t>0</w:t>
            </w:r>
          </w:p>
        </w:tc>
        <w:tc>
          <w:tcPr>
            <w:tcW w:w="1040" w:type="dxa"/>
            <w:vAlign w:val="bottom"/>
          </w:tcPr>
          <w:p>
            <w:pPr>
              <w:jc w:val="right"/>
              <w:spacing w:after="0"/>
              <w:rPr>
                <w:sz w:val="20"/>
                <w:szCs w:val="20"/>
                <w:color w:val="auto"/>
              </w:rPr>
            </w:pPr>
            <w:r>
              <w:rPr>
                <w:rFonts w:ascii="Arial" w:cs="Arial" w:eastAsia="Arial" w:hAnsi="Arial"/>
                <w:sz w:val="13"/>
                <w:szCs w:val="13"/>
                <w:color w:val="auto"/>
              </w:rPr>
              <w:t>58.5300</w:t>
            </w:r>
          </w:p>
        </w:tc>
        <w:tc>
          <w:tcPr>
            <w:tcW w:w="1020" w:type="dxa"/>
            <w:vAlign w:val="bottom"/>
          </w:tcPr>
          <w:p>
            <w:pPr>
              <w:ind w:left="380"/>
              <w:spacing w:after="0"/>
              <w:rPr>
                <w:sz w:val="20"/>
                <w:szCs w:val="20"/>
                <w:color w:val="auto"/>
              </w:rPr>
            </w:pPr>
            <w:r>
              <w:rPr>
                <w:rFonts w:ascii="Arial" w:cs="Arial" w:eastAsia="Arial" w:hAnsi="Arial"/>
                <w:sz w:val="13"/>
                <w:szCs w:val="13"/>
                <w:color w:val="auto"/>
                <w:w w:val="95"/>
              </w:rPr>
              <w:t>12/07/2028</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13,866</w:t>
            </w:r>
          </w:p>
        </w:tc>
        <w:tc>
          <w:tcPr>
            <w:tcW w:w="1040" w:type="dxa"/>
            <w:vAlign w:val="bottom"/>
          </w:tcPr>
          <w:p>
            <w:pPr>
              <w:jc w:val="right"/>
              <w:spacing w:after="0"/>
              <w:rPr>
                <w:sz w:val="20"/>
                <w:szCs w:val="20"/>
                <w:color w:val="auto"/>
              </w:rPr>
            </w:pPr>
            <w:r>
              <w:rPr>
                <w:rFonts w:ascii="Arial" w:cs="Arial" w:eastAsia="Arial" w:hAnsi="Arial"/>
                <w:sz w:val="13"/>
                <w:szCs w:val="13"/>
                <w:color w:val="auto"/>
              </w:rPr>
              <w:t>6,934</w:t>
            </w:r>
          </w:p>
        </w:tc>
        <w:tc>
          <w:tcPr>
            <w:tcW w:w="1040" w:type="dxa"/>
            <w:vAlign w:val="bottom"/>
          </w:tcPr>
          <w:p>
            <w:pPr>
              <w:jc w:val="right"/>
              <w:spacing w:after="0"/>
              <w:rPr>
                <w:sz w:val="20"/>
                <w:szCs w:val="20"/>
                <w:color w:val="auto"/>
              </w:rPr>
            </w:pPr>
            <w:r>
              <w:rPr>
                <w:rFonts w:ascii="Arial" w:cs="Arial" w:eastAsia="Arial" w:hAnsi="Arial"/>
                <w:sz w:val="13"/>
                <w:szCs w:val="13"/>
                <w:color w:val="auto"/>
              </w:rPr>
              <w:t>76.5300</w:t>
            </w:r>
          </w:p>
        </w:tc>
        <w:tc>
          <w:tcPr>
            <w:tcW w:w="1020" w:type="dxa"/>
            <w:vAlign w:val="bottom"/>
          </w:tcPr>
          <w:p>
            <w:pPr>
              <w:ind w:left="380"/>
              <w:spacing w:after="0"/>
              <w:rPr>
                <w:sz w:val="20"/>
                <w:szCs w:val="20"/>
                <w:color w:val="auto"/>
              </w:rPr>
            </w:pPr>
            <w:r>
              <w:rPr>
                <w:rFonts w:ascii="Arial" w:cs="Arial" w:eastAsia="Arial" w:hAnsi="Arial"/>
                <w:sz w:val="13"/>
                <w:szCs w:val="13"/>
                <w:color w:val="auto"/>
                <w:w w:val="95"/>
              </w:rPr>
              <w:t>12/19/2029</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7,100</w:t>
            </w:r>
          </w:p>
        </w:tc>
        <w:tc>
          <w:tcPr>
            <w:tcW w:w="1040" w:type="dxa"/>
            <w:vAlign w:val="bottom"/>
          </w:tcPr>
          <w:p>
            <w:pPr>
              <w:jc w:val="right"/>
              <w:spacing w:after="0"/>
              <w:rPr>
                <w:sz w:val="20"/>
                <w:szCs w:val="20"/>
                <w:color w:val="auto"/>
              </w:rPr>
            </w:pPr>
            <w:r>
              <w:rPr>
                <w:rFonts w:ascii="Arial" w:cs="Arial" w:eastAsia="Arial" w:hAnsi="Arial"/>
                <w:sz w:val="13"/>
                <w:szCs w:val="13"/>
                <w:color w:val="auto"/>
              </w:rPr>
              <w:t>14,200</w:t>
            </w:r>
          </w:p>
        </w:tc>
        <w:tc>
          <w:tcPr>
            <w:tcW w:w="1040" w:type="dxa"/>
            <w:vAlign w:val="bottom"/>
          </w:tcPr>
          <w:p>
            <w:pPr>
              <w:jc w:val="right"/>
              <w:spacing w:after="0"/>
              <w:rPr>
                <w:sz w:val="20"/>
                <w:szCs w:val="20"/>
                <w:color w:val="auto"/>
              </w:rPr>
            </w:pPr>
            <w:r>
              <w:rPr>
                <w:rFonts w:ascii="Arial" w:cs="Arial" w:eastAsia="Arial" w:hAnsi="Arial"/>
                <w:sz w:val="13"/>
                <w:szCs w:val="13"/>
                <w:color w:val="auto"/>
              </w:rPr>
              <w:t>93.3300</w:t>
            </w:r>
          </w:p>
        </w:tc>
        <w:tc>
          <w:tcPr>
            <w:tcW w:w="1020" w:type="dxa"/>
            <w:vAlign w:val="bottom"/>
          </w:tcPr>
          <w:p>
            <w:pPr>
              <w:ind w:left="380"/>
              <w:spacing w:after="0"/>
              <w:rPr>
                <w:sz w:val="20"/>
                <w:szCs w:val="20"/>
                <w:color w:val="auto"/>
              </w:rPr>
            </w:pPr>
            <w:r>
              <w:rPr>
                <w:rFonts w:ascii="Arial" w:cs="Arial" w:eastAsia="Arial" w:hAnsi="Arial"/>
                <w:sz w:val="13"/>
                <w:szCs w:val="13"/>
                <w:color w:val="auto"/>
                <w:w w:val="95"/>
              </w:rPr>
              <w:t>12/17/2030</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400" w:type="dxa"/>
            <w:vAlign w:val="bottom"/>
            <w:vMerge w:val="restart"/>
          </w:tcPr>
          <w:p>
            <w:pPr>
              <w:ind w:left="140"/>
              <w:spacing w:after="0"/>
              <w:rPr>
                <w:sz w:val="20"/>
                <w:szCs w:val="20"/>
                <w:color w:val="auto"/>
              </w:rPr>
            </w:pPr>
            <w:r>
              <w:rPr>
                <w:rFonts w:ascii="Arial" w:cs="Arial" w:eastAsia="Arial" w:hAnsi="Arial"/>
                <w:sz w:val="13"/>
                <w:szCs w:val="13"/>
                <w:color w:val="auto"/>
              </w:rPr>
              <w:t>F21-F23 Performance Shares</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1040" w:type="dxa"/>
            <w:vAlign w:val="bottom"/>
          </w:tcPr>
          <w:p>
            <w:pPr>
              <w:jc w:val="right"/>
              <w:spacing w:after="0"/>
              <w:rPr>
                <w:sz w:val="20"/>
                <w:szCs w:val="20"/>
                <w:color w:val="auto"/>
              </w:rPr>
            </w:pPr>
            <w:r>
              <w:rPr>
                <w:rFonts w:ascii="Arial" w:cs="Arial" w:eastAsia="Arial" w:hAnsi="Arial"/>
                <w:sz w:val="13"/>
                <w:szCs w:val="13"/>
                <w:color w:val="auto"/>
              </w:rPr>
              <w:t>16,900</w:t>
            </w:r>
          </w:p>
        </w:tc>
        <w:tc>
          <w:tcPr>
            <w:tcW w:w="1040" w:type="dxa"/>
            <w:vAlign w:val="bottom"/>
          </w:tcPr>
          <w:p>
            <w:pPr>
              <w:jc w:val="right"/>
              <w:spacing w:after="0"/>
              <w:rPr>
                <w:sz w:val="20"/>
                <w:szCs w:val="20"/>
                <w:color w:val="auto"/>
              </w:rPr>
            </w:pPr>
            <w:r>
              <w:rPr>
                <w:rFonts w:ascii="Arial" w:cs="Arial" w:eastAsia="Arial" w:hAnsi="Arial"/>
                <w:sz w:val="13"/>
                <w:szCs w:val="13"/>
                <w:color w:val="auto"/>
              </w:rPr>
              <w:t>99.3400</w:t>
            </w:r>
          </w:p>
        </w:tc>
        <w:tc>
          <w:tcPr>
            <w:tcW w:w="1020" w:type="dxa"/>
            <w:vAlign w:val="bottom"/>
          </w:tcPr>
          <w:p>
            <w:pPr>
              <w:ind w:left="380"/>
              <w:spacing w:after="0"/>
              <w:rPr>
                <w:sz w:val="20"/>
                <w:szCs w:val="20"/>
                <w:color w:val="auto"/>
              </w:rPr>
            </w:pPr>
            <w:r>
              <w:rPr>
                <w:rFonts w:ascii="Arial" w:cs="Arial" w:eastAsia="Arial" w:hAnsi="Arial"/>
                <w:sz w:val="13"/>
                <w:szCs w:val="13"/>
                <w:color w:val="auto"/>
                <w:w w:val="95"/>
              </w:rPr>
              <w:t>12/16/2031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vMerge w:val="restart"/>
          </w:tcPr>
          <w:p>
            <w:pPr>
              <w:jc w:val="right"/>
              <w:ind w:right="120"/>
              <w:spacing w:after="0"/>
              <w:rPr>
                <w:sz w:val="20"/>
                <w:szCs w:val="20"/>
                <w:color w:val="auto"/>
              </w:rPr>
            </w:pPr>
            <w:r>
              <w:rPr>
                <w:rFonts w:ascii="Arial" w:cs="Arial" w:eastAsia="Arial" w:hAnsi="Arial"/>
                <w:sz w:val="13"/>
                <w:szCs w:val="13"/>
                <w:color w:val="auto"/>
              </w:rPr>
              <w:t>6,732</w:t>
            </w:r>
          </w:p>
        </w:tc>
        <w:tc>
          <w:tcPr>
            <w:tcW w:w="1260" w:type="dxa"/>
            <w:vAlign w:val="bottom"/>
            <w:vMerge w:val="restart"/>
          </w:tcPr>
          <w:p>
            <w:pPr>
              <w:jc w:val="right"/>
              <w:spacing w:after="0"/>
              <w:rPr>
                <w:sz w:val="20"/>
                <w:szCs w:val="20"/>
                <w:color w:val="auto"/>
              </w:rPr>
            </w:pPr>
            <w:r>
              <w:rPr>
                <w:rFonts w:ascii="Arial" w:cs="Arial" w:eastAsia="Arial" w:hAnsi="Arial"/>
                <w:sz w:val="13"/>
                <w:szCs w:val="13"/>
                <w:color w:val="auto"/>
              </w:rPr>
              <w:t>709,755</w:t>
            </w:r>
          </w:p>
        </w:tc>
        <w:tc>
          <w:tcPr>
            <w:tcW w:w="0" w:type="dxa"/>
            <w:vAlign w:val="bottom"/>
          </w:tcPr>
          <w:p>
            <w:pPr>
              <w:spacing w:after="0"/>
              <w:rPr>
                <w:sz w:val="1"/>
                <w:szCs w:val="1"/>
                <w:color w:val="auto"/>
              </w:rPr>
            </w:pPr>
          </w:p>
        </w:tc>
      </w:tr>
      <w:tr>
        <w:trPr>
          <w:trHeight w:val="131"/>
        </w:trPr>
        <w:tc>
          <w:tcPr>
            <w:tcW w:w="240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400" w:type="dxa"/>
            <w:vAlign w:val="bottom"/>
          </w:tcPr>
          <w:p>
            <w:pPr>
              <w:ind w:left="140"/>
              <w:spacing w:after="0"/>
              <w:rPr>
                <w:sz w:val="20"/>
                <w:szCs w:val="20"/>
                <w:color w:val="auto"/>
              </w:rPr>
            </w:pPr>
            <w:r>
              <w:rPr>
                <w:rFonts w:ascii="Arial" w:cs="Arial" w:eastAsia="Arial" w:hAnsi="Arial"/>
                <w:sz w:val="13"/>
                <w:szCs w:val="13"/>
                <w:color w:val="auto"/>
              </w:rPr>
              <w:t>F22-F24 Performance Shares</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jc w:val="right"/>
              <w:ind w:right="120"/>
              <w:spacing w:after="0"/>
              <w:rPr>
                <w:sz w:val="20"/>
                <w:szCs w:val="20"/>
                <w:color w:val="auto"/>
              </w:rPr>
            </w:pPr>
            <w:r>
              <w:rPr>
                <w:rFonts w:ascii="Arial" w:cs="Arial" w:eastAsia="Arial" w:hAnsi="Arial"/>
                <w:sz w:val="13"/>
                <w:szCs w:val="13"/>
                <w:color w:val="auto"/>
              </w:rPr>
              <w:t>3,783</w:t>
            </w:r>
          </w:p>
        </w:tc>
        <w:tc>
          <w:tcPr>
            <w:tcW w:w="1260" w:type="dxa"/>
            <w:vAlign w:val="bottom"/>
          </w:tcPr>
          <w:p>
            <w:pPr>
              <w:jc w:val="right"/>
              <w:spacing w:after="0"/>
              <w:rPr>
                <w:sz w:val="20"/>
                <w:szCs w:val="20"/>
                <w:color w:val="auto"/>
              </w:rPr>
            </w:pPr>
            <w:r>
              <w:rPr>
                <w:rFonts w:ascii="Arial" w:cs="Arial" w:eastAsia="Arial" w:hAnsi="Arial"/>
                <w:sz w:val="13"/>
                <w:szCs w:val="13"/>
                <w:color w:val="auto"/>
              </w:rPr>
              <w:t>398,842</w:t>
            </w:r>
          </w:p>
        </w:tc>
        <w:tc>
          <w:tcPr>
            <w:tcW w:w="0" w:type="dxa"/>
            <w:vAlign w:val="bottom"/>
          </w:tcPr>
          <w:p>
            <w:pPr>
              <w:spacing w:after="0"/>
              <w:rPr>
                <w:sz w:val="1"/>
                <w:szCs w:val="1"/>
                <w:color w:val="auto"/>
              </w:rPr>
            </w:pPr>
          </w:p>
        </w:tc>
      </w:tr>
      <w:tr>
        <w:trPr>
          <w:trHeight w:val="95"/>
        </w:trPr>
        <w:tc>
          <w:tcPr>
            <w:tcW w:w="2400" w:type="dxa"/>
            <w:vAlign w:val="bottom"/>
            <w:tcBorders>
              <w:bottom w:val="single" w:sz="8" w:color="C00000"/>
            </w:tcBorders>
          </w:tcPr>
          <w:p>
            <w:pPr>
              <w:spacing w:after="0"/>
              <w:rPr>
                <w:sz w:val="8"/>
                <w:szCs w:val="8"/>
                <w:color w:val="auto"/>
              </w:rPr>
            </w:pPr>
          </w:p>
        </w:tc>
        <w:tc>
          <w:tcPr>
            <w:tcW w:w="820" w:type="dxa"/>
            <w:vAlign w:val="bottom"/>
            <w:tcBorders>
              <w:bottom w:val="single" w:sz="8" w:color="C00000"/>
            </w:tcBorders>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-6120130</wp:posOffset>
            </wp:positionV>
            <wp:extent cx="55460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54609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256" w:lineRule="exact"/>
        <w:rPr>
          <w:sz w:val="20"/>
          <w:szCs w:val="20"/>
          <w:color w:val="auto"/>
        </w:rPr>
      </w:pPr>
    </w:p>
    <w:p>
      <w:pPr>
        <w:ind w:left="400" w:right="120" w:hanging="392"/>
        <w:spacing w:after="0" w:line="286" w:lineRule="auto"/>
        <w:tabs>
          <w:tab w:leader="none" w:pos="4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Stock options have a ten-year term and vest in three equal installments on each of the first, second and third year anniversaries of the grant date. The vesting schedule for options unexercisable as of October 31, 2022 is as follows:</w:t>
      </w:r>
    </w:p>
    <w:p>
      <w:pPr>
        <w:spacing w:after="0" w:line="8" w:lineRule="exact"/>
        <w:rPr>
          <w:sz w:val="20"/>
          <w:szCs w:val="20"/>
          <w:color w:val="auto"/>
        </w:rPr>
      </w:pPr>
    </w:p>
    <w:tbl>
      <w:tblPr>
        <w:tblLayout w:type="fixed"/>
        <w:tblInd w:w="460" w:type="dxa"/>
        <w:tblCellMar>
          <w:top w:w="0" w:type="dxa"/>
          <w:left w:w="0" w:type="dxa"/>
          <w:bottom w:w="0" w:type="dxa"/>
          <w:right w:w="0" w:type="dxa"/>
        </w:tblCellMar>
      </w:tblPr>
      <w:tr>
        <w:trPr>
          <w:trHeight w:val="166"/>
        </w:trPr>
        <w:tc>
          <w:tcPr>
            <w:tcW w:w="1120" w:type="dxa"/>
            <w:vAlign w:val="bottom"/>
            <w:shd w:val="clear" w:color="auto" w:fill="C00000"/>
          </w:tcPr>
          <w:p>
            <w:pPr>
              <w:spacing w:after="0"/>
              <w:rPr>
                <w:sz w:val="14"/>
                <w:szCs w:val="14"/>
                <w:color w:val="auto"/>
              </w:rPr>
            </w:pPr>
          </w:p>
        </w:tc>
        <w:tc>
          <w:tcPr>
            <w:tcW w:w="1080" w:type="dxa"/>
            <w:vAlign w:val="bottom"/>
            <w:shd w:val="clear" w:color="auto" w:fill="C00000"/>
          </w:tcPr>
          <w:p>
            <w:pPr>
              <w:spacing w:after="0"/>
              <w:rPr>
                <w:sz w:val="14"/>
                <w:szCs w:val="14"/>
                <w:color w:val="auto"/>
              </w:rPr>
            </w:pPr>
          </w:p>
        </w:tc>
        <w:tc>
          <w:tcPr>
            <w:tcW w:w="1200" w:type="dxa"/>
            <w:vAlign w:val="bottom"/>
            <w:shd w:val="clear" w:color="auto" w:fill="C00000"/>
          </w:tcPr>
          <w:p>
            <w:pPr>
              <w:spacing w:after="0"/>
              <w:rPr>
                <w:sz w:val="14"/>
                <w:szCs w:val="14"/>
                <w:color w:val="auto"/>
              </w:rPr>
            </w:pPr>
          </w:p>
        </w:tc>
        <w:tc>
          <w:tcPr>
            <w:tcW w:w="1080" w:type="dxa"/>
            <w:vAlign w:val="bottom"/>
            <w:shd w:val="clear" w:color="auto" w:fill="C00000"/>
          </w:tcPr>
          <w:p>
            <w:pPr>
              <w:spacing w:after="0"/>
              <w:rPr>
                <w:sz w:val="14"/>
                <w:szCs w:val="14"/>
                <w:color w:val="auto"/>
              </w:rPr>
            </w:pPr>
          </w:p>
        </w:tc>
        <w:tc>
          <w:tcPr>
            <w:tcW w:w="1060" w:type="dxa"/>
            <w:vAlign w:val="bottom"/>
            <w:shd w:val="clear" w:color="auto" w:fill="C00000"/>
          </w:tcPr>
          <w:p>
            <w:pPr>
              <w:spacing w:after="0"/>
              <w:rPr>
                <w:sz w:val="14"/>
                <w:szCs w:val="14"/>
                <w:color w:val="auto"/>
              </w:rPr>
            </w:pPr>
          </w:p>
        </w:tc>
        <w:tc>
          <w:tcPr>
            <w:tcW w:w="1080" w:type="dxa"/>
            <w:vAlign w:val="bottom"/>
            <w:shd w:val="clear" w:color="auto" w:fill="C00000"/>
          </w:tcPr>
          <w:p>
            <w:pPr>
              <w:spacing w:after="0"/>
              <w:rPr>
                <w:sz w:val="14"/>
                <w:szCs w:val="14"/>
                <w:color w:val="auto"/>
              </w:rPr>
            </w:pPr>
          </w:p>
        </w:tc>
        <w:tc>
          <w:tcPr>
            <w:tcW w:w="1080" w:type="dxa"/>
            <w:vAlign w:val="bottom"/>
            <w:shd w:val="clear" w:color="auto" w:fill="C00000"/>
          </w:tcPr>
          <w:p>
            <w:pPr>
              <w:spacing w:after="0"/>
              <w:rPr>
                <w:sz w:val="14"/>
                <w:szCs w:val="14"/>
                <w:color w:val="auto"/>
              </w:rPr>
            </w:pPr>
          </w:p>
        </w:tc>
        <w:tc>
          <w:tcPr>
            <w:tcW w:w="1080" w:type="dxa"/>
            <w:vAlign w:val="bottom"/>
            <w:shd w:val="clear" w:color="auto" w:fill="C00000"/>
          </w:tcPr>
          <w:p>
            <w:pPr>
              <w:spacing w:after="0"/>
              <w:rPr>
                <w:sz w:val="14"/>
                <w:szCs w:val="14"/>
                <w:color w:val="auto"/>
              </w:rPr>
            </w:pPr>
          </w:p>
        </w:tc>
        <w:tc>
          <w:tcPr>
            <w:tcW w:w="1040" w:type="dxa"/>
            <w:vAlign w:val="bottom"/>
            <w:shd w:val="clear" w:color="auto" w:fill="C00000"/>
          </w:tcPr>
          <w:p>
            <w:pPr>
              <w:spacing w:after="0"/>
              <w:rPr>
                <w:sz w:val="14"/>
                <w:szCs w:val="14"/>
                <w:color w:val="auto"/>
              </w:rPr>
            </w:pPr>
          </w:p>
        </w:tc>
        <w:tc>
          <w:tcPr>
            <w:tcW w:w="9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Option</w:t>
            </w:r>
          </w:p>
        </w:tc>
        <w:tc>
          <w:tcPr>
            <w:tcW w:w="0" w:type="dxa"/>
            <w:vAlign w:val="bottom"/>
          </w:tcPr>
          <w:p>
            <w:pPr>
              <w:spacing w:after="0"/>
              <w:rPr>
                <w:sz w:val="1"/>
                <w:szCs w:val="1"/>
                <w:color w:val="auto"/>
              </w:rPr>
            </w:pPr>
          </w:p>
        </w:tc>
      </w:tr>
      <w:tr>
        <w:trPr>
          <w:trHeight w:val="162"/>
        </w:trPr>
        <w:tc>
          <w:tcPr>
            <w:tcW w:w="1120" w:type="dxa"/>
            <w:vAlign w:val="bottom"/>
            <w:shd w:val="clear" w:color="auto" w:fill="C00000"/>
          </w:tcPr>
          <w:p>
            <w:pPr>
              <w:spacing w:after="0"/>
              <w:rPr>
                <w:sz w:val="14"/>
                <w:szCs w:val="14"/>
                <w:color w:val="auto"/>
              </w:rPr>
            </w:pPr>
          </w:p>
        </w:tc>
        <w:tc>
          <w:tcPr>
            <w:tcW w:w="1080" w:type="dxa"/>
            <w:vAlign w:val="bottom"/>
            <w:shd w:val="clear" w:color="auto" w:fill="C00000"/>
          </w:tcPr>
          <w:p>
            <w:pPr>
              <w:spacing w:after="0"/>
              <w:rPr>
                <w:sz w:val="14"/>
                <w:szCs w:val="14"/>
                <w:color w:val="auto"/>
              </w:rPr>
            </w:pPr>
          </w:p>
        </w:tc>
        <w:tc>
          <w:tcPr>
            <w:tcW w:w="1200" w:type="dxa"/>
            <w:vAlign w:val="bottom"/>
            <w:shd w:val="clear" w:color="auto" w:fill="C00000"/>
          </w:tcPr>
          <w:p>
            <w:pPr>
              <w:spacing w:after="0"/>
              <w:rPr>
                <w:sz w:val="14"/>
                <w:szCs w:val="14"/>
                <w:color w:val="auto"/>
              </w:rPr>
            </w:pPr>
          </w:p>
        </w:tc>
        <w:tc>
          <w:tcPr>
            <w:tcW w:w="1080" w:type="dxa"/>
            <w:vAlign w:val="bottom"/>
            <w:shd w:val="clear" w:color="auto" w:fill="C00000"/>
          </w:tcPr>
          <w:p>
            <w:pPr>
              <w:spacing w:after="0"/>
              <w:rPr>
                <w:sz w:val="14"/>
                <w:szCs w:val="14"/>
                <w:color w:val="auto"/>
              </w:rPr>
            </w:pPr>
          </w:p>
        </w:tc>
        <w:tc>
          <w:tcPr>
            <w:tcW w:w="1060" w:type="dxa"/>
            <w:vAlign w:val="bottom"/>
            <w:shd w:val="clear" w:color="auto" w:fill="C00000"/>
          </w:tcPr>
          <w:p>
            <w:pPr>
              <w:spacing w:after="0"/>
              <w:rPr>
                <w:sz w:val="14"/>
                <w:szCs w:val="14"/>
                <w:color w:val="auto"/>
              </w:rPr>
            </w:pPr>
          </w:p>
        </w:tc>
        <w:tc>
          <w:tcPr>
            <w:tcW w:w="1080" w:type="dxa"/>
            <w:vAlign w:val="bottom"/>
            <w:shd w:val="clear" w:color="auto" w:fill="C00000"/>
          </w:tcPr>
          <w:p>
            <w:pPr>
              <w:spacing w:after="0"/>
              <w:rPr>
                <w:sz w:val="14"/>
                <w:szCs w:val="14"/>
                <w:color w:val="auto"/>
              </w:rPr>
            </w:pPr>
          </w:p>
        </w:tc>
        <w:tc>
          <w:tcPr>
            <w:tcW w:w="1080" w:type="dxa"/>
            <w:vAlign w:val="bottom"/>
            <w:shd w:val="clear" w:color="auto" w:fill="C00000"/>
          </w:tcPr>
          <w:p>
            <w:pPr>
              <w:spacing w:after="0"/>
              <w:rPr>
                <w:sz w:val="14"/>
                <w:szCs w:val="14"/>
                <w:color w:val="auto"/>
              </w:rPr>
            </w:pPr>
          </w:p>
        </w:tc>
        <w:tc>
          <w:tcPr>
            <w:tcW w:w="1080" w:type="dxa"/>
            <w:vAlign w:val="bottom"/>
            <w:shd w:val="clear" w:color="auto" w:fill="C00000"/>
          </w:tcPr>
          <w:p>
            <w:pPr>
              <w:spacing w:after="0"/>
              <w:rPr>
                <w:sz w:val="14"/>
                <w:szCs w:val="14"/>
                <w:color w:val="auto"/>
              </w:rPr>
            </w:pPr>
          </w:p>
        </w:tc>
        <w:tc>
          <w:tcPr>
            <w:tcW w:w="1040" w:type="dxa"/>
            <w:vAlign w:val="bottom"/>
            <w:shd w:val="clear" w:color="auto" w:fill="C00000"/>
          </w:tcPr>
          <w:p>
            <w:pPr>
              <w:spacing w:after="0"/>
              <w:rPr>
                <w:sz w:val="14"/>
                <w:szCs w:val="14"/>
                <w:color w:val="auto"/>
              </w:rPr>
            </w:pPr>
          </w:p>
        </w:tc>
        <w:tc>
          <w:tcPr>
            <w:tcW w:w="9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Expiration</w:t>
            </w:r>
          </w:p>
        </w:tc>
        <w:tc>
          <w:tcPr>
            <w:tcW w:w="0" w:type="dxa"/>
            <w:vAlign w:val="bottom"/>
          </w:tcPr>
          <w:p>
            <w:pPr>
              <w:spacing w:after="0"/>
              <w:rPr>
                <w:sz w:val="1"/>
                <w:szCs w:val="1"/>
                <w:color w:val="auto"/>
              </w:rPr>
            </w:pPr>
          </w:p>
        </w:tc>
      </w:tr>
      <w:tr>
        <w:trPr>
          <w:trHeight w:val="171"/>
        </w:trPr>
        <w:tc>
          <w:tcPr>
            <w:tcW w:w="112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Name</w:t>
            </w:r>
          </w:p>
        </w:tc>
        <w:tc>
          <w:tcPr>
            <w:tcW w:w="1080" w:type="dxa"/>
            <w:vAlign w:val="bottom"/>
            <w:shd w:val="clear" w:color="auto" w:fill="C00000"/>
          </w:tcPr>
          <w:p>
            <w:pPr>
              <w:jc w:val="right"/>
              <w:ind w:right="48"/>
              <w:spacing w:after="0"/>
              <w:rPr>
                <w:sz w:val="20"/>
                <w:szCs w:val="20"/>
                <w:color w:val="auto"/>
              </w:rPr>
            </w:pPr>
            <w:r>
              <w:rPr>
                <w:rFonts w:ascii="Arial" w:cs="Arial" w:eastAsia="Arial" w:hAnsi="Arial"/>
                <w:sz w:val="14"/>
                <w:szCs w:val="14"/>
                <w:b w:val="1"/>
                <w:bCs w:val="1"/>
                <w:color w:val="FFFFFF"/>
              </w:rPr>
              <w:t>Grant Date</w:t>
            </w:r>
          </w:p>
        </w:tc>
        <w:tc>
          <w:tcPr>
            <w:tcW w:w="1200" w:type="dxa"/>
            <w:vAlign w:val="bottom"/>
            <w:shd w:val="clear" w:color="auto" w:fill="C00000"/>
          </w:tcPr>
          <w:p>
            <w:pPr>
              <w:jc w:val="right"/>
              <w:ind w:right="268"/>
              <w:spacing w:after="0"/>
              <w:rPr>
                <w:sz w:val="20"/>
                <w:szCs w:val="20"/>
                <w:color w:val="auto"/>
              </w:rPr>
            </w:pPr>
            <w:r>
              <w:rPr>
                <w:rFonts w:ascii="Arial" w:cs="Arial" w:eastAsia="Arial" w:hAnsi="Arial"/>
                <w:sz w:val="14"/>
                <w:szCs w:val="14"/>
                <w:b w:val="1"/>
                <w:bCs w:val="1"/>
                <w:color w:val="FFFFFF"/>
              </w:rPr>
              <w:t>12/16/22</w:t>
            </w:r>
          </w:p>
        </w:tc>
        <w:tc>
          <w:tcPr>
            <w:tcW w:w="1080" w:type="dxa"/>
            <w:vAlign w:val="bottom"/>
            <w:shd w:val="clear" w:color="auto" w:fill="C00000"/>
          </w:tcPr>
          <w:p>
            <w:pPr>
              <w:jc w:val="right"/>
              <w:ind w:right="288"/>
              <w:spacing w:after="0"/>
              <w:rPr>
                <w:sz w:val="20"/>
                <w:szCs w:val="20"/>
                <w:color w:val="auto"/>
              </w:rPr>
            </w:pPr>
            <w:r>
              <w:rPr>
                <w:rFonts w:ascii="Arial" w:cs="Arial" w:eastAsia="Arial" w:hAnsi="Arial"/>
                <w:sz w:val="14"/>
                <w:szCs w:val="14"/>
                <w:b w:val="1"/>
                <w:bCs w:val="1"/>
                <w:color w:val="FFFFFF"/>
              </w:rPr>
              <w:t>12/17/22</w:t>
            </w:r>
          </w:p>
        </w:tc>
        <w:tc>
          <w:tcPr>
            <w:tcW w:w="1060" w:type="dxa"/>
            <w:vAlign w:val="bottom"/>
            <w:shd w:val="clear" w:color="auto" w:fill="C00000"/>
          </w:tcPr>
          <w:p>
            <w:pPr>
              <w:jc w:val="right"/>
              <w:ind w:right="268"/>
              <w:spacing w:after="0"/>
              <w:rPr>
                <w:sz w:val="20"/>
                <w:szCs w:val="20"/>
                <w:color w:val="auto"/>
              </w:rPr>
            </w:pPr>
            <w:r>
              <w:rPr>
                <w:rFonts w:ascii="Arial" w:cs="Arial" w:eastAsia="Arial" w:hAnsi="Arial"/>
                <w:sz w:val="14"/>
                <w:szCs w:val="14"/>
                <w:b w:val="1"/>
                <w:bCs w:val="1"/>
                <w:color w:val="FFFFFF"/>
              </w:rPr>
              <w:t>12/19/22</w:t>
            </w:r>
          </w:p>
        </w:tc>
        <w:tc>
          <w:tcPr>
            <w:tcW w:w="1080" w:type="dxa"/>
            <w:vAlign w:val="bottom"/>
            <w:shd w:val="clear" w:color="auto" w:fill="C00000"/>
          </w:tcPr>
          <w:p>
            <w:pPr>
              <w:jc w:val="right"/>
              <w:ind w:right="288"/>
              <w:spacing w:after="0"/>
              <w:rPr>
                <w:sz w:val="20"/>
                <w:szCs w:val="20"/>
                <w:color w:val="auto"/>
              </w:rPr>
            </w:pPr>
            <w:r>
              <w:rPr>
                <w:rFonts w:ascii="Arial" w:cs="Arial" w:eastAsia="Arial" w:hAnsi="Arial"/>
                <w:sz w:val="14"/>
                <w:szCs w:val="14"/>
                <w:b w:val="1"/>
                <w:bCs w:val="1"/>
                <w:color w:val="FFFFFF"/>
              </w:rPr>
              <w:t>05/19/23</w:t>
            </w:r>
          </w:p>
        </w:tc>
        <w:tc>
          <w:tcPr>
            <w:tcW w:w="1080" w:type="dxa"/>
            <w:vAlign w:val="bottom"/>
            <w:shd w:val="clear" w:color="auto" w:fill="C00000"/>
          </w:tcPr>
          <w:p>
            <w:pPr>
              <w:jc w:val="right"/>
              <w:ind w:right="288"/>
              <w:spacing w:after="0"/>
              <w:rPr>
                <w:sz w:val="20"/>
                <w:szCs w:val="20"/>
                <w:color w:val="auto"/>
              </w:rPr>
            </w:pPr>
            <w:r>
              <w:rPr>
                <w:rFonts w:ascii="Arial" w:cs="Arial" w:eastAsia="Arial" w:hAnsi="Arial"/>
                <w:sz w:val="14"/>
                <w:szCs w:val="14"/>
                <w:b w:val="1"/>
                <w:bCs w:val="1"/>
                <w:color w:val="FFFFFF"/>
              </w:rPr>
              <w:t>12/16/23</w:t>
            </w:r>
          </w:p>
        </w:tc>
        <w:tc>
          <w:tcPr>
            <w:tcW w:w="1080" w:type="dxa"/>
            <w:vAlign w:val="bottom"/>
            <w:shd w:val="clear" w:color="auto" w:fill="C00000"/>
          </w:tcPr>
          <w:p>
            <w:pPr>
              <w:jc w:val="right"/>
              <w:ind w:right="288"/>
              <w:spacing w:after="0"/>
              <w:rPr>
                <w:sz w:val="20"/>
                <w:szCs w:val="20"/>
                <w:color w:val="auto"/>
              </w:rPr>
            </w:pPr>
            <w:r>
              <w:rPr>
                <w:rFonts w:ascii="Arial" w:cs="Arial" w:eastAsia="Arial" w:hAnsi="Arial"/>
                <w:sz w:val="14"/>
                <w:szCs w:val="14"/>
                <w:b w:val="1"/>
                <w:bCs w:val="1"/>
                <w:color w:val="FFFFFF"/>
              </w:rPr>
              <w:t>12/17/23</w:t>
            </w:r>
          </w:p>
        </w:tc>
        <w:tc>
          <w:tcPr>
            <w:tcW w:w="1040" w:type="dxa"/>
            <w:vAlign w:val="bottom"/>
            <w:shd w:val="clear" w:color="auto" w:fill="C00000"/>
          </w:tcPr>
          <w:p>
            <w:pPr>
              <w:jc w:val="right"/>
              <w:ind w:right="248"/>
              <w:spacing w:after="0"/>
              <w:rPr>
                <w:sz w:val="20"/>
                <w:szCs w:val="20"/>
                <w:color w:val="auto"/>
              </w:rPr>
            </w:pPr>
            <w:r>
              <w:rPr>
                <w:rFonts w:ascii="Arial" w:cs="Arial" w:eastAsia="Arial" w:hAnsi="Arial"/>
                <w:sz w:val="14"/>
                <w:szCs w:val="14"/>
                <w:b w:val="1"/>
                <w:bCs w:val="1"/>
                <w:color w:val="FFFFFF"/>
              </w:rPr>
              <w:t>12/16/24</w:t>
            </w:r>
          </w:p>
        </w:tc>
        <w:tc>
          <w:tcPr>
            <w:tcW w:w="9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Date</w:t>
            </w:r>
          </w:p>
        </w:tc>
        <w:tc>
          <w:tcPr>
            <w:tcW w:w="0" w:type="dxa"/>
            <w:vAlign w:val="bottom"/>
          </w:tcPr>
          <w:p>
            <w:pPr>
              <w:spacing w:after="0"/>
              <w:rPr>
                <w:sz w:val="1"/>
                <w:szCs w:val="1"/>
                <w:color w:val="auto"/>
              </w:rPr>
            </w:pPr>
          </w:p>
        </w:tc>
      </w:tr>
      <w:tr>
        <w:trPr>
          <w:trHeight w:val="180"/>
        </w:trPr>
        <w:tc>
          <w:tcPr>
            <w:tcW w:w="1120" w:type="dxa"/>
            <w:vAlign w:val="bottom"/>
          </w:tcPr>
          <w:p>
            <w:pPr>
              <w:spacing w:after="0"/>
              <w:rPr>
                <w:sz w:val="20"/>
                <w:szCs w:val="20"/>
                <w:color w:val="auto"/>
              </w:rPr>
            </w:pPr>
            <w:r>
              <w:rPr>
                <w:rFonts w:ascii="Arial" w:cs="Arial" w:eastAsia="Arial" w:hAnsi="Arial"/>
                <w:sz w:val="14"/>
                <w:szCs w:val="14"/>
                <w:color w:val="auto"/>
              </w:rPr>
              <w:t>Mr. Olson</w:t>
            </w:r>
          </w:p>
        </w:tc>
        <w:tc>
          <w:tcPr>
            <w:tcW w:w="1080" w:type="dxa"/>
            <w:vAlign w:val="bottom"/>
          </w:tcPr>
          <w:p>
            <w:pPr>
              <w:jc w:val="right"/>
              <w:spacing w:after="0"/>
              <w:rPr>
                <w:sz w:val="20"/>
                <w:szCs w:val="20"/>
                <w:color w:val="auto"/>
              </w:rPr>
            </w:pPr>
            <w:r>
              <w:rPr>
                <w:rFonts w:ascii="Arial" w:cs="Arial" w:eastAsia="Arial" w:hAnsi="Arial"/>
                <w:sz w:val="14"/>
                <w:szCs w:val="14"/>
                <w:color w:val="auto"/>
              </w:rPr>
              <w:t>12/19/19</w:t>
            </w:r>
          </w:p>
        </w:tc>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50,967</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12/19/29</w:t>
            </w: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12/17/20</w:t>
            </w:r>
          </w:p>
        </w:tc>
        <w:tc>
          <w:tcPr>
            <w:tcW w:w="120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44,767</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44,767</w:t>
            </w:r>
          </w:p>
        </w:tc>
        <w:tc>
          <w:tcPr>
            <w:tcW w:w="10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12/17/30</w:t>
            </w:r>
          </w:p>
        </w:tc>
        <w:tc>
          <w:tcPr>
            <w:tcW w:w="0" w:type="dxa"/>
            <w:vAlign w:val="bottom"/>
          </w:tcPr>
          <w:p>
            <w:pPr>
              <w:spacing w:after="0"/>
              <w:rPr>
                <w:sz w:val="1"/>
                <w:szCs w:val="1"/>
                <w:color w:val="auto"/>
              </w:rPr>
            </w:pPr>
          </w:p>
        </w:tc>
      </w:tr>
      <w:tr>
        <w:trPr>
          <w:trHeight w:val="171"/>
        </w:trPr>
        <w:tc>
          <w:tcPr>
            <w:tcW w:w="1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12/16/21</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36,366</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36,367</w:t>
            </w:r>
          </w:p>
        </w:tc>
        <w:tc>
          <w:tcPr>
            <w:tcW w:w="108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36,367</w:t>
            </w:r>
          </w:p>
        </w:tc>
        <w:tc>
          <w:tcPr>
            <w:tcW w:w="960" w:type="dxa"/>
            <w:vAlign w:val="bottom"/>
          </w:tcPr>
          <w:p>
            <w:pPr>
              <w:jc w:val="right"/>
              <w:spacing w:after="0"/>
              <w:rPr>
                <w:sz w:val="20"/>
                <w:szCs w:val="20"/>
                <w:color w:val="auto"/>
              </w:rPr>
            </w:pPr>
            <w:r>
              <w:rPr>
                <w:rFonts w:ascii="Arial" w:cs="Arial" w:eastAsia="Arial" w:hAnsi="Arial"/>
                <w:sz w:val="14"/>
                <w:szCs w:val="14"/>
                <w:color w:val="auto"/>
              </w:rPr>
              <w:t>12/16/31</w:t>
            </w:r>
          </w:p>
        </w:tc>
        <w:tc>
          <w:tcPr>
            <w:tcW w:w="0" w:type="dxa"/>
            <w:vAlign w:val="bottom"/>
          </w:tcPr>
          <w:p>
            <w:pPr>
              <w:spacing w:after="0"/>
              <w:rPr>
                <w:sz w:val="1"/>
                <w:szCs w:val="1"/>
                <w:color w:val="auto"/>
              </w:rPr>
            </w:pPr>
          </w:p>
        </w:tc>
      </w:tr>
      <w:tr>
        <w:trPr>
          <w:trHeight w:val="176"/>
        </w:trPr>
        <w:tc>
          <w:tcPr>
            <w:tcW w:w="1120" w:type="dxa"/>
            <w:vAlign w:val="bottom"/>
            <w:shd w:val="clear" w:color="auto" w:fill="D9D9D9"/>
          </w:tcPr>
          <w:p>
            <w:pPr>
              <w:spacing w:after="0"/>
              <w:rPr>
                <w:sz w:val="20"/>
                <w:szCs w:val="20"/>
                <w:color w:val="auto"/>
              </w:rPr>
            </w:pPr>
            <w:r>
              <w:rPr>
                <w:rFonts w:ascii="Arial" w:cs="Arial" w:eastAsia="Arial" w:hAnsi="Arial"/>
                <w:sz w:val="14"/>
                <w:szCs w:val="14"/>
                <w:color w:val="auto"/>
              </w:rPr>
              <w:t>Ms. Peterson</w:t>
            </w:r>
          </w:p>
        </w:tc>
        <w:tc>
          <w:tcPr>
            <w:tcW w:w="10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12/19/19</w:t>
            </w:r>
          </w:p>
        </w:tc>
        <w:tc>
          <w:tcPr>
            <w:tcW w:w="1200" w:type="dxa"/>
            <w:vAlign w:val="bottom"/>
            <w:shd w:val="clear" w:color="auto" w:fill="D9D9D9"/>
          </w:tcPr>
          <w:p>
            <w:pPr>
              <w:spacing w:after="0"/>
              <w:rPr>
                <w:sz w:val="15"/>
                <w:szCs w:val="15"/>
                <w:color w:val="auto"/>
              </w:rPr>
            </w:pPr>
          </w:p>
        </w:tc>
        <w:tc>
          <w:tcPr>
            <w:tcW w:w="1080" w:type="dxa"/>
            <w:vAlign w:val="bottom"/>
            <w:shd w:val="clear" w:color="auto" w:fill="D9D9D9"/>
          </w:tcPr>
          <w:p>
            <w:pPr>
              <w:spacing w:after="0"/>
              <w:rPr>
                <w:sz w:val="15"/>
                <w:szCs w:val="15"/>
                <w:color w:val="auto"/>
              </w:rPr>
            </w:pPr>
          </w:p>
        </w:tc>
        <w:tc>
          <w:tcPr>
            <w:tcW w:w="1060" w:type="dxa"/>
            <w:vAlign w:val="bottom"/>
            <w:shd w:val="clear" w:color="auto" w:fill="D9D9D9"/>
          </w:tcPr>
          <w:p>
            <w:pPr>
              <w:jc w:val="right"/>
              <w:ind w:right="88"/>
              <w:spacing w:after="0"/>
              <w:rPr>
                <w:sz w:val="20"/>
                <w:szCs w:val="20"/>
                <w:color w:val="auto"/>
              </w:rPr>
            </w:pPr>
            <w:r>
              <w:rPr>
                <w:rFonts w:ascii="Arial" w:cs="Arial" w:eastAsia="Arial" w:hAnsi="Arial"/>
                <w:sz w:val="14"/>
                <w:szCs w:val="14"/>
                <w:color w:val="auto"/>
              </w:rPr>
              <w:t>11,300</w:t>
            </w:r>
          </w:p>
        </w:tc>
        <w:tc>
          <w:tcPr>
            <w:tcW w:w="1080" w:type="dxa"/>
            <w:vAlign w:val="bottom"/>
            <w:shd w:val="clear" w:color="auto" w:fill="D9D9D9"/>
          </w:tcPr>
          <w:p>
            <w:pPr>
              <w:spacing w:after="0"/>
              <w:rPr>
                <w:sz w:val="15"/>
                <w:szCs w:val="15"/>
                <w:color w:val="auto"/>
              </w:rPr>
            </w:pPr>
          </w:p>
        </w:tc>
        <w:tc>
          <w:tcPr>
            <w:tcW w:w="1080" w:type="dxa"/>
            <w:vAlign w:val="bottom"/>
            <w:shd w:val="clear" w:color="auto" w:fill="D9D9D9"/>
          </w:tcPr>
          <w:p>
            <w:pPr>
              <w:spacing w:after="0"/>
              <w:rPr>
                <w:sz w:val="15"/>
                <w:szCs w:val="15"/>
                <w:color w:val="auto"/>
              </w:rPr>
            </w:pPr>
          </w:p>
        </w:tc>
        <w:tc>
          <w:tcPr>
            <w:tcW w:w="1080" w:type="dxa"/>
            <w:vAlign w:val="bottom"/>
            <w:shd w:val="clear" w:color="auto" w:fill="D9D9D9"/>
          </w:tcPr>
          <w:p>
            <w:pPr>
              <w:spacing w:after="0"/>
              <w:rPr>
                <w:sz w:val="15"/>
                <w:szCs w:val="15"/>
                <w:color w:val="auto"/>
              </w:rPr>
            </w:pPr>
          </w:p>
        </w:tc>
        <w:tc>
          <w:tcPr>
            <w:tcW w:w="1040" w:type="dxa"/>
            <w:vAlign w:val="bottom"/>
            <w:shd w:val="clear" w:color="auto" w:fill="D9D9D9"/>
          </w:tcPr>
          <w:p>
            <w:pPr>
              <w:spacing w:after="0"/>
              <w:rPr>
                <w:sz w:val="15"/>
                <w:szCs w:val="15"/>
                <w:color w:val="auto"/>
              </w:rPr>
            </w:pPr>
          </w:p>
        </w:tc>
        <w:tc>
          <w:tcPr>
            <w:tcW w:w="9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12/19/29</w:t>
            </w:r>
          </w:p>
        </w:tc>
        <w:tc>
          <w:tcPr>
            <w:tcW w:w="0" w:type="dxa"/>
            <w:vAlign w:val="bottom"/>
          </w:tcPr>
          <w:p>
            <w:pPr>
              <w:spacing w:after="0"/>
              <w:rPr>
                <w:sz w:val="1"/>
                <w:szCs w:val="1"/>
                <w:color w:val="auto"/>
              </w:rPr>
            </w:pPr>
          </w:p>
        </w:tc>
      </w:tr>
      <w:tr>
        <w:trPr>
          <w:trHeight w:val="175"/>
        </w:trPr>
        <w:tc>
          <w:tcPr>
            <w:tcW w:w="1120" w:type="dxa"/>
            <w:vAlign w:val="bottom"/>
            <w:shd w:val="clear" w:color="auto" w:fill="D9D9D9"/>
          </w:tcPr>
          <w:p>
            <w:pPr>
              <w:spacing w:after="0"/>
              <w:rPr>
                <w:sz w:val="15"/>
                <w:szCs w:val="15"/>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12/17/20</w:t>
            </w:r>
          </w:p>
        </w:tc>
        <w:tc>
          <w:tcPr>
            <w:tcW w:w="1200" w:type="dxa"/>
            <w:vAlign w:val="bottom"/>
            <w:shd w:val="clear" w:color="auto" w:fill="D9D9D9"/>
          </w:tcPr>
          <w:p>
            <w:pPr>
              <w:spacing w:after="0"/>
              <w:rPr>
                <w:sz w:val="15"/>
                <w:szCs w:val="15"/>
                <w:color w:val="auto"/>
              </w:rPr>
            </w:pPr>
          </w:p>
        </w:tc>
        <w:tc>
          <w:tcPr>
            <w:tcW w:w="1080" w:type="dxa"/>
            <w:vAlign w:val="bottom"/>
            <w:shd w:val="clear" w:color="auto" w:fill="D9D9D9"/>
          </w:tcPr>
          <w:p>
            <w:pPr>
              <w:jc w:val="right"/>
              <w:ind w:right="88"/>
              <w:spacing w:after="0"/>
              <w:rPr>
                <w:sz w:val="20"/>
                <w:szCs w:val="20"/>
                <w:color w:val="auto"/>
              </w:rPr>
            </w:pPr>
            <w:r>
              <w:rPr>
                <w:rFonts w:ascii="Arial" w:cs="Arial" w:eastAsia="Arial" w:hAnsi="Arial"/>
                <w:sz w:val="14"/>
                <w:szCs w:val="14"/>
                <w:color w:val="auto"/>
              </w:rPr>
              <w:t>11,200</w:t>
            </w:r>
          </w:p>
        </w:tc>
        <w:tc>
          <w:tcPr>
            <w:tcW w:w="1060" w:type="dxa"/>
            <w:vAlign w:val="bottom"/>
            <w:shd w:val="clear" w:color="auto" w:fill="D9D9D9"/>
          </w:tcPr>
          <w:p>
            <w:pPr>
              <w:spacing w:after="0"/>
              <w:rPr>
                <w:sz w:val="15"/>
                <w:szCs w:val="15"/>
                <w:color w:val="auto"/>
              </w:rPr>
            </w:pPr>
          </w:p>
        </w:tc>
        <w:tc>
          <w:tcPr>
            <w:tcW w:w="1080" w:type="dxa"/>
            <w:vAlign w:val="bottom"/>
            <w:shd w:val="clear" w:color="auto" w:fill="D9D9D9"/>
          </w:tcPr>
          <w:p>
            <w:pPr>
              <w:spacing w:after="0"/>
              <w:rPr>
                <w:sz w:val="15"/>
                <w:szCs w:val="15"/>
                <w:color w:val="auto"/>
              </w:rPr>
            </w:pPr>
          </w:p>
        </w:tc>
        <w:tc>
          <w:tcPr>
            <w:tcW w:w="1080" w:type="dxa"/>
            <w:vAlign w:val="bottom"/>
            <w:shd w:val="clear" w:color="auto" w:fill="D9D9D9"/>
          </w:tcPr>
          <w:p>
            <w:pPr>
              <w:spacing w:after="0"/>
              <w:rPr>
                <w:sz w:val="15"/>
                <w:szCs w:val="15"/>
                <w:color w:val="auto"/>
              </w:rPr>
            </w:pPr>
          </w:p>
        </w:tc>
        <w:tc>
          <w:tcPr>
            <w:tcW w:w="1080" w:type="dxa"/>
            <w:vAlign w:val="bottom"/>
            <w:shd w:val="clear" w:color="auto" w:fill="D9D9D9"/>
          </w:tcPr>
          <w:p>
            <w:pPr>
              <w:jc w:val="right"/>
              <w:ind w:right="108"/>
              <w:spacing w:after="0"/>
              <w:rPr>
                <w:sz w:val="20"/>
                <w:szCs w:val="20"/>
                <w:color w:val="auto"/>
              </w:rPr>
            </w:pPr>
            <w:r>
              <w:rPr>
                <w:rFonts w:ascii="Arial" w:cs="Arial" w:eastAsia="Arial" w:hAnsi="Arial"/>
                <w:sz w:val="14"/>
                <w:szCs w:val="14"/>
                <w:color w:val="auto"/>
              </w:rPr>
              <w:t>11,200</w:t>
            </w:r>
          </w:p>
        </w:tc>
        <w:tc>
          <w:tcPr>
            <w:tcW w:w="1040" w:type="dxa"/>
            <w:vAlign w:val="bottom"/>
            <w:shd w:val="clear" w:color="auto" w:fill="D9D9D9"/>
          </w:tcPr>
          <w:p>
            <w:pPr>
              <w:spacing w:after="0"/>
              <w:rPr>
                <w:sz w:val="15"/>
                <w:szCs w:val="15"/>
                <w:color w:val="auto"/>
              </w:rPr>
            </w:pPr>
          </w:p>
        </w:tc>
        <w:tc>
          <w:tcPr>
            <w:tcW w:w="9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12/17/30</w:t>
            </w:r>
          </w:p>
        </w:tc>
        <w:tc>
          <w:tcPr>
            <w:tcW w:w="0" w:type="dxa"/>
            <w:vAlign w:val="bottom"/>
          </w:tcPr>
          <w:p>
            <w:pPr>
              <w:spacing w:after="0"/>
              <w:rPr>
                <w:sz w:val="1"/>
                <w:szCs w:val="1"/>
                <w:color w:val="auto"/>
              </w:rPr>
            </w:pPr>
          </w:p>
        </w:tc>
      </w:tr>
      <w:tr>
        <w:trPr>
          <w:trHeight w:val="176"/>
        </w:trPr>
        <w:tc>
          <w:tcPr>
            <w:tcW w:w="1120" w:type="dxa"/>
            <w:vAlign w:val="bottom"/>
            <w:shd w:val="clear" w:color="auto" w:fill="D9D9D9"/>
          </w:tcPr>
          <w:p>
            <w:pPr>
              <w:spacing w:after="0"/>
              <w:rPr>
                <w:sz w:val="15"/>
                <w:szCs w:val="15"/>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12/16/21</w:t>
            </w:r>
          </w:p>
        </w:tc>
        <w:tc>
          <w:tcPr>
            <w:tcW w:w="1200" w:type="dxa"/>
            <w:vAlign w:val="bottom"/>
            <w:shd w:val="clear" w:color="auto" w:fill="D9D9D9"/>
          </w:tcPr>
          <w:p>
            <w:pPr>
              <w:jc w:val="right"/>
              <w:ind w:right="88"/>
              <w:spacing w:after="0"/>
              <w:rPr>
                <w:sz w:val="20"/>
                <w:szCs w:val="20"/>
                <w:color w:val="auto"/>
              </w:rPr>
            </w:pPr>
            <w:r>
              <w:rPr>
                <w:rFonts w:ascii="Arial" w:cs="Arial" w:eastAsia="Arial" w:hAnsi="Arial"/>
                <w:sz w:val="14"/>
                <w:szCs w:val="14"/>
                <w:color w:val="auto"/>
              </w:rPr>
              <w:t>9,600</w:t>
            </w:r>
          </w:p>
        </w:tc>
        <w:tc>
          <w:tcPr>
            <w:tcW w:w="1080" w:type="dxa"/>
            <w:vAlign w:val="bottom"/>
            <w:shd w:val="clear" w:color="auto" w:fill="D9D9D9"/>
          </w:tcPr>
          <w:p>
            <w:pPr>
              <w:spacing w:after="0"/>
              <w:rPr>
                <w:sz w:val="15"/>
                <w:szCs w:val="15"/>
                <w:color w:val="auto"/>
              </w:rPr>
            </w:pPr>
          </w:p>
        </w:tc>
        <w:tc>
          <w:tcPr>
            <w:tcW w:w="1060" w:type="dxa"/>
            <w:vAlign w:val="bottom"/>
            <w:shd w:val="clear" w:color="auto" w:fill="D9D9D9"/>
          </w:tcPr>
          <w:p>
            <w:pPr>
              <w:spacing w:after="0"/>
              <w:rPr>
                <w:sz w:val="15"/>
                <w:szCs w:val="15"/>
                <w:color w:val="auto"/>
              </w:rPr>
            </w:pPr>
          </w:p>
        </w:tc>
        <w:tc>
          <w:tcPr>
            <w:tcW w:w="1080" w:type="dxa"/>
            <w:vAlign w:val="bottom"/>
            <w:shd w:val="clear" w:color="auto" w:fill="D9D9D9"/>
          </w:tcPr>
          <w:p>
            <w:pPr>
              <w:spacing w:after="0"/>
              <w:rPr>
                <w:sz w:val="15"/>
                <w:szCs w:val="15"/>
                <w:color w:val="auto"/>
              </w:rPr>
            </w:pPr>
          </w:p>
        </w:tc>
        <w:tc>
          <w:tcPr>
            <w:tcW w:w="1080" w:type="dxa"/>
            <w:vAlign w:val="bottom"/>
            <w:shd w:val="clear" w:color="auto" w:fill="D9D9D9"/>
          </w:tcPr>
          <w:p>
            <w:pPr>
              <w:jc w:val="right"/>
              <w:ind w:right="108"/>
              <w:spacing w:after="0"/>
              <w:rPr>
                <w:sz w:val="20"/>
                <w:szCs w:val="20"/>
                <w:color w:val="auto"/>
              </w:rPr>
            </w:pPr>
            <w:r>
              <w:rPr>
                <w:rFonts w:ascii="Arial" w:cs="Arial" w:eastAsia="Arial" w:hAnsi="Arial"/>
                <w:sz w:val="14"/>
                <w:szCs w:val="14"/>
                <w:color w:val="auto"/>
              </w:rPr>
              <w:t>9,600</w:t>
            </w:r>
          </w:p>
        </w:tc>
        <w:tc>
          <w:tcPr>
            <w:tcW w:w="1080" w:type="dxa"/>
            <w:vAlign w:val="bottom"/>
            <w:shd w:val="clear" w:color="auto" w:fill="D9D9D9"/>
          </w:tcPr>
          <w:p>
            <w:pPr>
              <w:spacing w:after="0"/>
              <w:rPr>
                <w:sz w:val="15"/>
                <w:szCs w:val="15"/>
                <w:color w:val="auto"/>
              </w:rPr>
            </w:pPr>
          </w:p>
        </w:tc>
        <w:tc>
          <w:tcPr>
            <w:tcW w:w="104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9,600</w:t>
            </w:r>
          </w:p>
        </w:tc>
        <w:tc>
          <w:tcPr>
            <w:tcW w:w="9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12/16/31</w:t>
            </w:r>
          </w:p>
        </w:tc>
        <w:tc>
          <w:tcPr>
            <w:tcW w:w="0" w:type="dxa"/>
            <w:vAlign w:val="bottom"/>
          </w:tcPr>
          <w:p>
            <w:pPr>
              <w:spacing w:after="0"/>
              <w:rPr>
                <w:sz w:val="1"/>
                <w:szCs w:val="1"/>
                <w:color w:val="auto"/>
              </w:rPr>
            </w:pPr>
          </w:p>
        </w:tc>
      </w:tr>
      <w:tr>
        <w:trPr>
          <w:trHeight w:val="175"/>
        </w:trPr>
        <w:tc>
          <w:tcPr>
            <w:tcW w:w="1120" w:type="dxa"/>
            <w:vAlign w:val="bottom"/>
          </w:tcPr>
          <w:p>
            <w:pPr>
              <w:spacing w:after="0"/>
              <w:rPr>
                <w:sz w:val="20"/>
                <w:szCs w:val="20"/>
                <w:color w:val="auto"/>
              </w:rPr>
            </w:pPr>
            <w:r>
              <w:rPr>
                <w:rFonts w:ascii="Arial" w:cs="Arial" w:eastAsia="Arial" w:hAnsi="Arial"/>
                <w:sz w:val="14"/>
                <w:szCs w:val="14"/>
                <w:color w:val="auto"/>
              </w:rPr>
              <w:t>Mr. Carpenter</w:t>
            </w:r>
          </w:p>
        </w:tc>
        <w:tc>
          <w:tcPr>
            <w:tcW w:w="1080" w:type="dxa"/>
            <w:vAlign w:val="bottom"/>
          </w:tcPr>
          <w:p>
            <w:pPr>
              <w:jc w:val="right"/>
              <w:spacing w:after="0"/>
              <w:rPr>
                <w:sz w:val="20"/>
                <w:szCs w:val="20"/>
                <w:color w:val="auto"/>
              </w:rPr>
            </w:pPr>
            <w:r>
              <w:rPr>
                <w:rFonts w:ascii="Arial" w:cs="Arial" w:eastAsia="Arial" w:hAnsi="Arial"/>
                <w:sz w:val="14"/>
                <w:szCs w:val="14"/>
                <w:color w:val="auto"/>
              </w:rPr>
              <w:t>12/16/21</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3,433</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3,433</w:t>
            </w:r>
          </w:p>
        </w:tc>
        <w:tc>
          <w:tcPr>
            <w:tcW w:w="1080" w:type="dxa"/>
            <w:vAlign w:val="bottom"/>
          </w:tcPr>
          <w:p>
            <w:pPr>
              <w:spacing w:after="0"/>
              <w:rPr>
                <w:sz w:val="15"/>
                <w:szCs w:val="15"/>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3,434</w:t>
            </w:r>
          </w:p>
        </w:tc>
        <w:tc>
          <w:tcPr>
            <w:tcW w:w="960" w:type="dxa"/>
            <w:vAlign w:val="bottom"/>
          </w:tcPr>
          <w:p>
            <w:pPr>
              <w:jc w:val="right"/>
              <w:spacing w:after="0"/>
              <w:rPr>
                <w:sz w:val="20"/>
                <w:szCs w:val="20"/>
                <w:color w:val="auto"/>
              </w:rPr>
            </w:pPr>
            <w:r>
              <w:rPr>
                <w:rFonts w:ascii="Arial" w:cs="Arial" w:eastAsia="Arial" w:hAnsi="Arial"/>
                <w:sz w:val="14"/>
                <w:szCs w:val="14"/>
                <w:color w:val="auto"/>
              </w:rPr>
              <w:t>12/16/31</w:t>
            </w:r>
          </w:p>
        </w:tc>
        <w:tc>
          <w:tcPr>
            <w:tcW w:w="0" w:type="dxa"/>
            <w:vAlign w:val="bottom"/>
          </w:tcPr>
          <w:p>
            <w:pPr>
              <w:spacing w:after="0"/>
              <w:rPr>
                <w:sz w:val="1"/>
                <w:szCs w:val="1"/>
                <w:color w:val="auto"/>
              </w:rPr>
            </w:pPr>
          </w:p>
        </w:tc>
      </w:tr>
      <w:tr>
        <w:trPr>
          <w:trHeight w:val="195"/>
        </w:trPr>
        <w:tc>
          <w:tcPr>
            <w:tcW w:w="1120" w:type="dxa"/>
            <w:vAlign w:val="bottom"/>
            <w:shd w:val="clear" w:color="auto" w:fill="D9D9D9"/>
          </w:tcPr>
          <w:p>
            <w:pPr>
              <w:spacing w:after="0"/>
              <w:rPr>
                <w:sz w:val="20"/>
                <w:szCs w:val="20"/>
                <w:color w:val="auto"/>
              </w:rPr>
            </w:pPr>
            <w:r>
              <w:rPr>
                <w:rFonts w:ascii="Arial" w:cs="Arial" w:eastAsia="Arial" w:hAnsi="Arial"/>
                <w:sz w:val="14"/>
                <w:szCs w:val="14"/>
                <w:color w:val="auto"/>
              </w:rPr>
              <w:t>Mr. Rodier</w:t>
            </w:r>
          </w:p>
        </w:tc>
        <w:tc>
          <w:tcPr>
            <w:tcW w:w="108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12/19/19</w:t>
            </w:r>
          </w:p>
        </w:tc>
        <w:tc>
          <w:tcPr>
            <w:tcW w:w="1200" w:type="dxa"/>
            <w:vAlign w:val="bottom"/>
            <w:shd w:val="clear" w:color="auto" w:fill="D9D9D9"/>
          </w:tcPr>
          <w:p>
            <w:pPr>
              <w:spacing w:after="0"/>
              <w:rPr>
                <w:sz w:val="16"/>
                <w:szCs w:val="16"/>
                <w:color w:val="auto"/>
              </w:rPr>
            </w:pPr>
          </w:p>
        </w:tc>
        <w:tc>
          <w:tcPr>
            <w:tcW w:w="1080" w:type="dxa"/>
            <w:vAlign w:val="bottom"/>
            <w:shd w:val="clear" w:color="auto" w:fill="D9D9D9"/>
          </w:tcPr>
          <w:p>
            <w:pPr>
              <w:spacing w:after="0"/>
              <w:rPr>
                <w:sz w:val="16"/>
                <w:szCs w:val="16"/>
                <w:color w:val="auto"/>
              </w:rPr>
            </w:pPr>
          </w:p>
        </w:tc>
        <w:tc>
          <w:tcPr>
            <w:tcW w:w="1060" w:type="dxa"/>
            <w:vAlign w:val="bottom"/>
            <w:vMerge w:val="restart"/>
            <w:shd w:val="clear" w:color="auto" w:fill="D9D9D9"/>
          </w:tcPr>
          <w:p>
            <w:pPr>
              <w:jc w:val="right"/>
              <w:ind w:right="88"/>
              <w:spacing w:after="0"/>
              <w:rPr>
                <w:sz w:val="20"/>
                <w:szCs w:val="20"/>
                <w:color w:val="auto"/>
              </w:rPr>
            </w:pPr>
            <w:r>
              <w:rPr>
                <w:rFonts w:ascii="Arial" w:cs="Arial" w:eastAsia="Arial" w:hAnsi="Arial"/>
                <w:sz w:val="14"/>
                <w:szCs w:val="14"/>
                <w:color w:val="auto"/>
              </w:rPr>
              <w:t>6,067</w:t>
            </w:r>
          </w:p>
        </w:tc>
        <w:tc>
          <w:tcPr>
            <w:tcW w:w="1080" w:type="dxa"/>
            <w:vAlign w:val="bottom"/>
            <w:shd w:val="clear" w:color="auto" w:fill="D9D9D9"/>
          </w:tcPr>
          <w:p>
            <w:pPr>
              <w:spacing w:after="0"/>
              <w:rPr>
                <w:sz w:val="16"/>
                <w:szCs w:val="16"/>
                <w:color w:val="auto"/>
              </w:rPr>
            </w:pPr>
          </w:p>
        </w:tc>
        <w:tc>
          <w:tcPr>
            <w:tcW w:w="1080" w:type="dxa"/>
            <w:vAlign w:val="bottom"/>
            <w:shd w:val="clear" w:color="auto" w:fill="D9D9D9"/>
          </w:tcPr>
          <w:p>
            <w:pPr>
              <w:spacing w:after="0"/>
              <w:rPr>
                <w:sz w:val="16"/>
                <w:szCs w:val="16"/>
                <w:color w:val="auto"/>
              </w:rPr>
            </w:pPr>
          </w:p>
        </w:tc>
        <w:tc>
          <w:tcPr>
            <w:tcW w:w="1080" w:type="dxa"/>
            <w:vAlign w:val="bottom"/>
            <w:shd w:val="clear" w:color="auto" w:fill="D9D9D9"/>
          </w:tcPr>
          <w:p>
            <w:pPr>
              <w:spacing w:after="0"/>
              <w:rPr>
                <w:sz w:val="16"/>
                <w:szCs w:val="16"/>
                <w:color w:val="auto"/>
              </w:rPr>
            </w:pPr>
          </w:p>
        </w:tc>
        <w:tc>
          <w:tcPr>
            <w:tcW w:w="1040" w:type="dxa"/>
            <w:vAlign w:val="bottom"/>
            <w:shd w:val="clear" w:color="auto" w:fill="D9D9D9"/>
          </w:tcPr>
          <w:p>
            <w:pPr>
              <w:spacing w:after="0"/>
              <w:rPr>
                <w:sz w:val="16"/>
                <w:szCs w:val="16"/>
                <w:color w:val="auto"/>
              </w:rPr>
            </w:pPr>
          </w:p>
        </w:tc>
        <w:tc>
          <w:tcPr>
            <w:tcW w:w="96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12/19/29</w:t>
            </w:r>
          </w:p>
        </w:tc>
        <w:tc>
          <w:tcPr>
            <w:tcW w:w="0" w:type="dxa"/>
            <w:vAlign w:val="bottom"/>
          </w:tcPr>
          <w:p>
            <w:pPr>
              <w:spacing w:after="0"/>
              <w:rPr>
                <w:sz w:val="1"/>
                <w:szCs w:val="1"/>
                <w:color w:val="auto"/>
              </w:rPr>
            </w:pPr>
          </w:p>
        </w:tc>
      </w:tr>
      <w:tr>
        <w:trPr>
          <w:trHeight w:val="35"/>
        </w:trPr>
        <w:tc>
          <w:tcPr>
            <w:tcW w:w="1120" w:type="dxa"/>
            <w:vAlign w:val="bottom"/>
            <w:shd w:val="clear" w:color="auto" w:fill="D9D9D9"/>
          </w:tcPr>
          <w:p>
            <w:pPr>
              <w:spacing w:after="0"/>
              <w:rPr>
                <w:sz w:val="3"/>
                <w:szCs w:val="3"/>
                <w:color w:val="auto"/>
              </w:rPr>
            </w:pPr>
          </w:p>
        </w:tc>
        <w:tc>
          <w:tcPr>
            <w:tcW w:w="1080" w:type="dxa"/>
            <w:vAlign w:val="bottom"/>
            <w:vMerge w:val="continue"/>
            <w:shd w:val="clear" w:color="auto" w:fill="D9D9D9"/>
          </w:tcPr>
          <w:p>
            <w:pPr>
              <w:spacing w:after="0"/>
              <w:rPr>
                <w:sz w:val="3"/>
                <w:szCs w:val="3"/>
                <w:color w:val="auto"/>
              </w:rPr>
            </w:pPr>
          </w:p>
        </w:tc>
        <w:tc>
          <w:tcPr>
            <w:tcW w:w="1200" w:type="dxa"/>
            <w:vAlign w:val="bottom"/>
            <w:shd w:val="clear" w:color="auto" w:fill="D9D9D9"/>
          </w:tcPr>
          <w:p>
            <w:pPr>
              <w:spacing w:after="0"/>
              <w:rPr>
                <w:sz w:val="3"/>
                <w:szCs w:val="3"/>
                <w:color w:val="auto"/>
              </w:rPr>
            </w:pPr>
          </w:p>
        </w:tc>
        <w:tc>
          <w:tcPr>
            <w:tcW w:w="1080" w:type="dxa"/>
            <w:vAlign w:val="bottom"/>
            <w:shd w:val="clear" w:color="auto" w:fill="D9D9D9"/>
          </w:tcPr>
          <w:p>
            <w:pPr>
              <w:spacing w:after="0"/>
              <w:rPr>
                <w:sz w:val="3"/>
                <w:szCs w:val="3"/>
                <w:color w:val="auto"/>
              </w:rPr>
            </w:pPr>
          </w:p>
        </w:tc>
        <w:tc>
          <w:tcPr>
            <w:tcW w:w="1060" w:type="dxa"/>
            <w:vAlign w:val="bottom"/>
            <w:vMerge w:val="continue"/>
            <w:shd w:val="clear" w:color="auto" w:fill="D9D9D9"/>
          </w:tcPr>
          <w:p>
            <w:pPr>
              <w:spacing w:after="0"/>
              <w:rPr>
                <w:sz w:val="3"/>
                <w:szCs w:val="3"/>
                <w:color w:val="auto"/>
              </w:rPr>
            </w:pPr>
          </w:p>
        </w:tc>
        <w:tc>
          <w:tcPr>
            <w:tcW w:w="1080" w:type="dxa"/>
            <w:vAlign w:val="bottom"/>
            <w:shd w:val="clear" w:color="auto" w:fill="D9D9D9"/>
          </w:tcPr>
          <w:p>
            <w:pPr>
              <w:spacing w:after="0"/>
              <w:rPr>
                <w:sz w:val="3"/>
                <w:szCs w:val="3"/>
                <w:color w:val="auto"/>
              </w:rPr>
            </w:pPr>
          </w:p>
        </w:tc>
        <w:tc>
          <w:tcPr>
            <w:tcW w:w="1080" w:type="dxa"/>
            <w:vAlign w:val="bottom"/>
            <w:shd w:val="clear" w:color="auto" w:fill="D9D9D9"/>
          </w:tcPr>
          <w:p>
            <w:pPr>
              <w:spacing w:after="0"/>
              <w:rPr>
                <w:sz w:val="3"/>
                <w:szCs w:val="3"/>
                <w:color w:val="auto"/>
              </w:rPr>
            </w:pPr>
          </w:p>
        </w:tc>
        <w:tc>
          <w:tcPr>
            <w:tcW w:w="1080" w:type="dxa"/>
            <w:vAlign w:val="bottom"/>
            <w:shd w:val="clear" w:color="auto" w:fill="D9D9D9"/>
          </w:tcPr>
          <w:p>
            <w:pPr>
              <w:spacing w:after="0"/>
              <w:rPr>
                <w:sz w:val="3"/>
                <w:szCs w:val="3"/>
                <w:color w:val="auto"/>
              </w:rPr>
            </w:pPr>
          </w:p>
        </w:tc>
        <w:tc>
          <w:tcPr>
            <w:tcW w:w="1040" w:type="dxa"/>
            <w:vAlign w:val="bottom"/>
            <w:shd w:val="clear" w:color="auto" w:fill="D9D9D9"/>
          </w:tcPr>
          <w:p>
            <w:pPr>
              <w:spacing w:after="0"/>
              <w:rPr>
                <w:sz w:val="3"/>
                <w:szCs w:val="3"/>
                <w:color w:val="auto"/>
              </w:rPr>
            </w:pPr>
          </w:p>
        </w:tc>
        <w:tc>
          <w:tcPr>
            <w:tcW w:w="960" w:type="dxa"/>
            <w:vAlign w:val="bottom"/>
            <w:vMerge w:val="continue"/>
            <w:shd w:val="clear" w:color="auto" w:fill="D9D9D9"/>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1120" w:type="dxa"/>
            <w:vAlign w:val="bottom"/>
            <w:shd w:val="clear" w:color="auto" w:fill="D9D9D9"/>
          </w:tcPr>
          <w:p>
            <w:pPr>
              <w:spacing w:after="0"/>
              <w:rPr>
                <w:sz w:val="19"/>
                <w:szCs w:val="19"/>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05/19/20</w:t>
            </w:r>
          </w:p>
        </w:tc>
        <w:tc>
          <w:tcPr>
            <w:tcW w:w="1200" w:type="dxa"/>
            <w:vAlign w:val="bottom"/>
            <w:shd w:val="clear" w:color="auto" w:fill="D9D9D9"/>
          </w:tcPr>
          <w:p>
            <w:pPr>
              <w:spacing w:after="0"/>
              <w:rPr>
                <w:sz w:val="19"/>
                <w:szCs w:val="19"/>
                <w:color w:val="auto"/>
              </w:rPr>
            </w:pPr>
          </w:p>
        </w:tc>
        <w:tc>
          <w:tcPr>
            <w:tcW w:w="1080" w:type="dxa"/>
            <w:vAlign w:val="bottom"/>
            <w:shd w:val="clear" w:color="auto" w:fill="D9D9D9"/>
          </w:tcPr>
          <w:p>
            <w:pPr>
              <w:spacing w:after="0"/>
              <w:rPr>
                <w:sz w:val="19"/>
                <w:szCs w:val="19"/>
                <w:color w:val="auto"/>
              </w:rPr>
            </w:pPr>
          </w:p>
        </w:tc>
        <w:tc>
          <w:tcPr>
            <w:tcW w:w="1060" w:type="dxa"/>
            <w:vAlign w:val="bottom"/>
            <w:shd w:val="clear" w:color="auto" w:fill="D9D9D9"/>
          </w:tcPr>
          <w:p>
            <w:pPr>
              <w:spacing w:after="0"/>
              <w:rPr>
                <w:sz w:val="19"/>
                <w:szCs w:val="19"/>
                <w:color w:val="auto"/>
              </w:rPr>
            </w:pPr>
          </w:p>
        </w:tc>
        <w:tc>
          <w:tcPr>
            <w:tcW w:w="1080" w:type="dxa"/>
            <w:vAlign w:val="bottom"/>
            <w:shd w:val="clear" w:color="auto" w:fill="D9D9D9"/>
          </w:tcPr>
          <w:p>
            <w:pPr>
              <w:jc w:val="right"/>
              <w:ind w:right="108"/>
              <w:spacing w:after="0"/>
              <w:rPr>
                <w:sz w:val="20"/>
                <w:szCs w:val="20"/>
                <w:color w:val="auto"/>
              </w:rPr>
            </w:pPr>
            <w:r>
              <w:rPr>
                <w:rFonts w:ascii="Arial" w:cs="Arial" w:eastAsia="Arial" w:hAnsi="Arial"/>
                <w:sz w:val="14"/>
                <w:szCs w:val="14"/>
                <w:color w:val="auto"/>
              </w:rPr>
              <w:t>8,434</w:t>
            </w:r>
          </w:p>
        </w:tc>
        <w:tc>
          <w:tcPr>
            <w:tcW w:w="1080" w:type="dxa"/>
            <w:vAlign w:val="bottom"/>
            <w:shd w:val="clear" w:color="auto" w:fill="D9D9D9"/>
          </w:tcPr>
          <w:p>
            <w:pPr>
              <w:spacing w:after="0"/>
              <w:rPr>
                <w:sz w:val="19"/>
                <w:szCs w:val="19"/>
                <w:color w:val="auto"/>
              </w:rPr>
            </w:pPr>
          </w:p>
        </w:tc>
        <w:tc>
          <w:tcPr>
            <w:tcW w:w="1080" w:type="dxa"/>
            <w:vAlign w:val="bottom"/>
            <w:shd w:val="clear" w:color="auto" w:fill="D9D9D9"/>
          </w:tcPr>
          <w:p>
            <w:pPr>
              <w:spacing w:after="0"/>
              <w:rPr>
                <w:sz w:val="19"/>
                <w:szCs w:val="19"/>
                <w:color w:val="auto"/>
              </w:rPr>
            </w:pPr>
          </w:p>
        </w:tc>
        <w:tc>
          <w:tcPr>
            <w:tcW w:w="1040" w:type="dxa"/>
            <w:vAlign w:val="bottom"/>
            <w:shd w:val="clear" w:color="auto" w:fill="D9D9D9"/>
          </w:tcPr>
          <w:p>
            <w:pPr>
              <w:spacing w:after="0"/>
              <w:rPr>
                <w:sz w:val="19"/>
                <w:szCs w:val="19"/>
                <w:color w:val="auto"/>
              </w:rPr>
            </w:pPr>
          </w:p>
        </w:tc>
        <w:tc>
          <w:tcPr>
            <w:tcW w:w="9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05/19/30</w:t>
            </w:r>
          </w:p>
        </w:tc>
        <w:tc>
          <w:tcPr>
            <w:tcW w:w="0" w:type="dxa"/>
            <w:vAlign w:val="bottom"/>
          </w:tcPr>
          <w:p>
            <w:pPr>
              <w:spacing w:after="0"/>
              <w:rPr>
                <w:sz w:val="1"/>
                <w:szCs w:val="1"/>
                <w:color w:val="auto"/>
              </w:rPr>
            </w:pPr>
          </w:p>
        </w:tc>
      </w:tr>
      <w:tr>
        <w:trPr>
          <w:trHeight w:val="230"/>
        </w:trPr>
        <w:tc>
          <w:tcPr>
            <w:tcW w:w="1120" w:type="dxa"/>
            <w:vAlign w:val="bottom"/>
            <w:shd w:val="clear" w:color="auto" w:fill="D9D9D9"/>
          </w:tcPr>
          <w:p>
            <w:pPr>
              <w:spacing w:after="0"/>
              <w:rPr>
                <w:sz w:val="19"/>
                <w:szCs w:val="19"/>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12/17/20</w:t>
            </w:r>
          </w:p>
        </w:tc>
        <w:tc>
          <w:tcPr>
            <w:tcW w:w="1200" w:type="dxa"/>
            <w:vAlign w:val="bottom"/>
            <w:shd w:val="clear" w:color="auto" w:fill="D9D9D9"/>
          </w:tcPr>
          <w:p>
            <w:pPr>
              <w:spacing w:after="0"/>
              <w:rPr>
                <w:sz w:val="19"/>
                <w:szCs w:val="19"/>
                <w:color w:val="auto"/>
              </w:rPr>
            </w:pPr>
          </w:p>
        </w:tc>
        <w:tc>
          <w:tcPr>
            <w:tcW w:w="1080" w:type="dxa"/>
            <w:vAlign w:val="bottom"/>
            <w:shd w:val="clear" w:color="auto" w:fill="D9D9D9"/>
          </w:tcPr>
          <w:p>
            <w:pPr>
              <w:jc w:val="right"/>
              <w:ind w:right="88"/>
              <w:spacing w:after="0"/>
              <w:rPr>
                <w:sz w:val="20"/>
                <w:szCs w:val="20"/>
                <w:color w:val="auto"/>
              </w:rPr>
            </w:pPr>
            <w:r>
              <w:rPr>
                <w:rFonts w:ascii="Arial" w:cs="Arial" w:eastAsia="Arial" w:hAnsi="Arial"/>
                <w:sz w:val="14"/>
                <w:szCs w:val="14"/>
                <w:color w:val="auto"/>
              </w:rPr>
              <w:t>9,867</w:t>
            </w:r>
          </w:p>
        </w:tc>
        <w:tc>
          <w:tcPr>
            <w:tcW w:w="1060" w:type="dxa"/>
            <w:vAlign w:val="bottom"/>
            <w:shd w:val="clear" w:color="auto" w:fill="D9D9D9"/>
          </w:tcPr>
          <w:p>
            <w:pPr>
              <w:spacing w:after="0"/>
              <w:rPr>
                <w:sz w:val="19"/>
                <w:szCs w:val="19"/>
                <w:color w:val="auto"/>
              </w:rPr>
            </w:pPr>
          </w:p>
        </w:tc>
        <w:tc>
          <w:tcPr>
            <w:tcW w:w="1080" w:type="dxa"/>
            <w:vAlign w:val="bottom"/>
            <w:shd w:val="clear" w:color="auto" w:fill="D9D9D9"/>
          </w:tcPr>
          <w:p>
            <w:pPr>
              <w:spacing w:after="0"/>
              <w:rPr>
                <w:sz w:val="19"/>
                <w:szCs w:val="19"/>
                <w:color w:val="auto"/>
              </w:rPr>
            </w:pPr>
          </w:p>
        </w:tc>
        <w:tc>
          <w:tcPr>
            <w:tcW w:w="1080" w:type="dxa"/>
            <w:vAlign w:val="bottom"/>
            <w:shd w:val="clear" w:color="auto" w:fill="D9D9D9"/>
          </w:tcPr>
          <w:p>
            <w:pPr>
              <w:spacing w:after="0"/>
              <w:rPr>
                <w:sz w:val="19"/>
                <w:szCs w:val="19"/>
                <w:color w:val="auto"/>
              </w:rPr>
            </w:pPr>
          </w:p>
        </w:tc>
        <w:tc>
          <w:tcPr>
            <w:tcW w:w="1080" w:type="dxa"/>
            <w:vAlign w:val="bottom"/>
            <w:shd w:val="clear" w:color="auto" w:fill="D9D9D9"/>
          </w:tcPr>
          <w:p>
            <w:pPr>
              <w:jc w:val="right"/>
              <w:ind w:right="108"/>
              <w:spacing w:after="0"/>
              <w:rPr>
                <w:sz w:val="20"/>
                <w:szCs w:val="20"/>
                <w:color w:val="auto"/>
              </w:rPr>
            </w:pPr>
            <w:r>
              <w:rPr>
                <w:rFonts w:ascii="Arial" w:cs="Arial" w:eastAsia="Arial" w:hAnsi="Arial"/>
                <w:sz w:val="14"/>
                <w:szCs w:val="14"/>
                <w:color w:val="auto"/>
              </w:rPr>
              <w:t>9,867</w:t>
            </w:r>
          </w:p>
        </w:tc>
        <w:tc>
          <w:tcPr>
            <w:tcW w:w="1040" w:type="dxa"/>
            <w:vAlign w:val="bottom"/>
            <w:shd w:val="clear" w:color="auto" w:fill="D9D9D9"/>
          </w:tcPr>
          <w:p>
            <w:pPr>
              <w:spacing w:after="0"/>
              <w:rPr>
                <w:sz w:val="19"/>
                <w:szCs w:val="19"/>
                <w:color w:val="auto"/>
              </w:rPr>
            </w:pPr>
          </w:p>
        </w:tc>
        <w:tc>
          <w:tcPr>
            <w:tcW w:w="9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12/17/30</w:t>
            </w:r>
          </w:p>
        </w:tc>
        <w:tc>
          <w:tcPr>
            <w:tcW w:w="0" w:type="dxa"/>
            <w:vAlign w:val="bottom"/>
          </w:tcPr>
          <w:p>
            <w:pPr>
              <w:spacing w:after="0"/>
              <w:rPr>
                <w:sz w:val="1"/>
                <w:szCs w:val="1"/>
                <w:color w:val="auto"/>
              </w:rPr>
            </w:pPr>
          </w:p>
        </w:tc>
      </w:tr>
      <w:tr>
        <w:trPr>
          <w:trHeight w:val="229"/>
        </w:trPr>
        <w:tc>
          <w:tcPr>
            <w:tcW w:w="1120" w:type="dxa"/>
            <w:vAlign w:val="bottom"/>
            <w:shd w:val="clear" w:color="auto" w:fill="D9D9D9"/>
          </w:tcPr>
          <w:p>
            <w:pPr>
              <w:spacing w:after="0"/>
              <w:rPr>
                <w:sz w:val="19"/>
                <w:szCs w:val="19"/>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12/16/21</w:t>
            </w:r>
          </w:p>
        </w:tc>
        <w:tc>
          <w:tcPr>
            <w:tcW w:w="1200" w:type="dxa"/>
            <w:vAlign w:val="bottom"/>
            <w:shd w:val="clear" w:color="auto" w:fill="D9D9D9"/>
          </w:tcPr>
          <w:p>
            <w:pPr>
              <w:jc w:val="right"/>
              <w:ind w:right="88"/>
              <w:spacing w:after="0"/>
              <w:rPr>
                <w:sz w:val="20"/>
                <w:szCs w:val="20"/>
                <w:color w:val="auto"/>
              </w:rPr>
            </w:pPr>
            <w:r>
              <w:rPr>
                <w:rFonts w:ascii="Arial" w:cs="Arial" w:eastAsia="Arial" w:hAnsi="Arial"/>
                <w:sz w:val="14"/>
                <w:szCs w:val="14"/>
                <w:color w:val="auto"/>
              </w:rPr>
              <w:t>6,866</w:t>
            </w:r>
          </w:p>
        </w:tc>
        <w:tc>
          <w:tcPr>
            <w:tcW w:w="1080" w:type="dxa"/>
            <w:vAlign w:val="bottom"/>
            <w:shd w:val="clear" w:color="auto" w:fill="D9D9D9"/>
          </w:tcPr>
          <w:p>
            <w:pPr>
              <w:spacing w:after="0"/>
              <w:rPr>
                <w:sz w:val="19"/>
                <w:szCs w:val="19"/>
                <w:color w:val="auto"/>
              </w:rPr>
            </w:pPr>
          </w:p>
        </w:tc>
        <w:tc>
          <w:tcPr>
            <w:tcW w:w="1060" w:type="dxa"/>
            <w:vAlign w:val="bottom"/>
            <w:shd w:val="clear" w:color="auto" w:fill="D9D9D9"/>
          </w:tcPr>
          <w:p>
            <w:pPr>
              <w:spacing w:after="0"/>
              <w:rPr>
                <w:sz w:val="19"/>
                <w:szCs w:val="19"/>
                <w:color w:val="auto"/>
              </w:rPr>
            </w:pPr>
          </w:p>
        </w:tc>
        <w:tc>
          <w:tcPr>
            <w:tcW w:w="1080" w:type="dxa"/>
            <w:vAlign w:val="bottom"/>
            <w:shd w:val="clear" w:color="auto" w:fill="D9D9D9"/>
          </w:tcPr>
          <w:p>
            <w:pPr>
              <w:spacing w:after="0"/>
              <w:rPr>
                <w:sz w:val="19"/>
                <w:szCs w:val="19"/>
                <w:color w:val="auto"/>
              </w:rPr>
            </w:pPr>
          </w:p>
        </w:tc>
        <w:tc>
          <w:tcPr>
            <w:tcW w:w="1080" w:type="dxa"/>
            <w:vAlign w:val="bottom"/>
            <w:shd w:val="clear" w:color="auto" w:fill="D9D9D9"/>
          </w:tcPr>
          <w:p>
            <w:pPr>
              <w:jc w:val="right"/>
              <w:ind w:right="108"/>
              <w:spacing w:after="0"/>
              <w:rPr>
                <w:sz w:val="20"/>
                <w:szCs w:val="20"/>
                <w:color w:val="auto"/>
              </w:rPr>
            </w:pPr>
            <w:r>
              <w:rPr>
                <w:rFonts w:ascii="Arial" w:cs="Arial" w:eastAsia="Arial" w:hAnsi="Arial"/>
                <w:sz w:val="14"/>
                <w:szCs w:val="14"/>
                <w:color w:val="auto"/>
              </w:rPr>
              <w:t>6,867</w:t>
            </w:r>
          </w:p>
        </w:tc>
        <w:tc>
          <w:tcPr>
            <w:tcW w:w="1080" w:type="dxa"/>
            <w:vAlign w:val="bottom"/>
            <w:shd w:val="clear" w:color="auto" w:fill="D9D9D9"/>
          </w:tcPr>
          <w:p>
            <w:pPr>
              <w:spacing w:after="0"/>
              <w:rPr>
                <w:sz w:val="19"/>
                <w:szCs w:val="19"/>
                <w:color w:val="auto"/>
              </w:rPr>
            </w:pPr>
          </w:p>
        </w:tc>
        <w:tc>
          <w:tcPr>
            <w:tcW w:w="104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6,867</w:t>
            </w:r>
          </w:p>
        </w:tc>
        <w:tc>
          <w:tcPr>
            <w:tcW w:w="9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12/16/31</w:t>
            </w:r>
          </w:p>
        </w:tc>
        <w:tc>
          <w:tcPr>
            <w:tcW w:w="0" w:type="dxa"/>
            <w:vAlign w:val="bottom"/>
          </w:tcPr>
          <w:p>
            <w:pPr>
              <w:spacing w:after="0"/>
              <w:rPr>
                <w:sz w:val="1"/>
                <w:szCs w:val="1"/>
                <w:color w:val="auto"/>
              </w:rPr>
            </w:pPr>
          </w:p>
        </w:tc>
      </w:tr>
      <w:tr>
        <w:trPr>
          <w:trHeight w:val="248"/>
        </w:trPr>
        <w:tc>
          <w:tcPr>
            <w:tcW w:w="1120" w:type="dxa"/>
            <w:vAlign w:val="bottom"/>
          </w:tcPr>
          <w:p>
            <w:pPr>
              <w:spacing w:after="0"/>
              <w:rPr>
                <w:sz w:val="20"/>
                <w:szCs w:val="20"/>
                <w:color w:val="auto"/>
              </w:rPr>
            </w:pPr>
            <w:r>
              <w:rPr>
                <w:rFonts w:ascii="Arial" w:cs="Arial" w:eastAsia="Arial" w:hAnsi="Arial"/>
                <w:sz w:val="14"/>
                <w:szCs w:val="14"/>
                <w:color w:val="auto"/>
              </w:rPr>
              <w:t>Ms. Dahl</w:t>
            </w:r>
          </w:p>
        </w:tc>
        <w:tc>
          <w:tcPr>
            <w:tcW w:w="1080" w:type="dxa"/>
            <w:vAlign w:val="bottom"/>
          </w:tcPr>
          <w:p>
            <w:pPr>
              <w:jc w:val="right"/>
              <w:spacing w:after="0"/>
              <w:rPr>
                <w:sz w:val="20"/>
                <w:szCs w:val="20"/>
                <w:color w:val="auto"/>
              </w:rPr>
            </w:pPr>
            <w:r>
              <w:rPr>
                <w:rFonts w:ascii="Arial" w:cs="Arial" w:eastAsia="Arial" w:hAnsi="Arial"/>
                <w:sz w:val="14"/>
                <w:szCs w:val="14"/>
                <w:color w:val="auto"/>
              </w:rPr>
              <w:t>12/19/19</w:t>
            </w:r>
          </w:p>
        </w:tc>
        <w:tc>
          <w:tcPr>
            <w:tcW w:w="1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6,934</w:t>
            </w:r>
          </w:p>
        </w:tc>
        <w:tc>
          <w:tcPr>
            <w:tcW w:w="10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12/19/29</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12/17/20</w:t>
            </w:r>
          </w:p>
        </w:tc>
        <w:tc>
          <w:tcPr>
            <w:tcW w:w="1200" w:type="dxa"/>
            <w:vAlign w:val="bottom"/>
          </w:tcPr>
          <w:p>
            <w:pPr>
              <w:spacing w:after="0"/>
              <w:rPr>
                <w:sz w:val="19"/>
                <w:szCs w:val="19"/>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7,100</w:t>
            </w: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7,100</w:t>
            </w:r>
          </w:p>
        </w:tc>
        <w:tc>
          <w:tcPr>
            <w:tcW w:w="10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12/17/30</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12/16/21</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5,633</w:t>
            </w: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5,633</w:t>
            </w:r>
          </w:p>
        </w:tc>
        <w:tc>
          <w:tcPr>
            <w:tcW w:w="1080" w:type="dxa"/>
            <w:vAlign w:val="bottom"/>
          </w:tcPr>
          <w:p>
            <w:pPr>
              <w:spacing w:after="0"/>
              <w:rPr>
                <w:sz w:val="19"/>
                <w:szCs w:val="19"/>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5,634</w:t>
            </w:r>
          </w:p>
        </w:tc>
        <w:tc>
          <w:tcPr>
            <w:tcW w:w="960" w:type="dxa"/>
            <w:vAlign w:val="bottom"/>
          </w:tcPr>
          <w:p>
            <w:pPr>
              <w:jc w:val="right"/>
              <w:spacing w:after="0"/>
              <w:rPr>
                <w:sz w:val="20"/>
                <w:szCs w:val="20"/>
                <w:color w:val="auto"/>
              </w:rPr>
            </w:pPr>
            <w:r>
              <w:rPr>
                <w:rFonts w:ascii="Arial" w:cs="Arial" w:eastAsia="Arial" w:hAnsi="Arial"/>
                <w:sz w:val="14"/>
                <w:szCs w:val="14"/>
                <w:color w:val="auto"/>
              </w:rPr>
              <w:t>12/16/31</w:t>
            </w: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400" w:right="20" w:hanging="392"/>
        <w:spacing w:after="0" w:line="247" w:lineRule="auto"/>
        <w:tabs>
          <w:tab w:leader="none" w:pos="4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Amounts reported represent the number of unvested restricted stock units held by Mr. Carpenter and Mr. Rodier, including dividend equivalents earned on those restricted stock units. Mr. Carpenter’s unvested restricted stock units were granted on November 30, 2021 and vest in three approximately equal installments on each anniversary of the grant date. Mr. Carpenter’s unvested restricted stock units were granted on May 19, 2020 and vest in three equal installments on each anniversary of the grant date.</w:t>
      </w:r>
    </w:p>
    <w:p>
      <w:pPr>
        <w:spacing w:after="0" w:line="11" w:lineRule="exact"/>
        <w:rPr>
          <w:rFonts w:ascii="Arial" w:cs="Arial" w:eastAsia="Arial" w:hAnsi="Arial"/>
          <w:sz w:val="18"/>
          <w:szCs w:val="18"/>
          <w:color w:val="auto"/>
        </w:rPr>
      </w:pPr>
    </w:p>
    <w:p>
      <w:pPr>
        <w:ind w:left="400" w:right="40" w:hanging="392"/>
        <w:spacing w:after="0" w:line="266" w:lineRule="auto"/>
        <w:tabs>
          <w:tab w:leader="none" w:pos="4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Amounts reported represent the value of unvested restricted stock units based on the closing price of our common stock on October 31, 2022 of $105.43 per share.</w:t>
      </w:r>
    </w:p>
    <w:p>
      <w:pPr>
        <w:ind w:left="400" w:right="20" w:hanging="392"/>
        <w:spacing w:after="0" w:line="242" w:lineRule="auto"/>
        <w:tabs>
          <w:tab w:leader="none" w:pos="4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Amounts reported represent the number of performance share awards that were in progress based on actual levels of performance for fiscal 2021 and fiscal 2022 and financial plan levels of performance for fiscal 2023 and fiscal 2024. The fiscal 2021 to fiscal 2023 performance share awards will vest solely based on the accomplishment of the performance goals established for the three-year performance period, which will end on October 31, 2023. The fiscal 2022 to fiscal 2024 performance share awards will vest solely based on the accomplishment of the performance goals established for the three-year performance period, which will end on October 31, 2024.</w:t>
      </w:r>
    </w:p>
    <w:p>
      <w:pPr>
        <w:spacing w:after="0" w:line="16" w:lineRule="exact"/>
        <w:rPr>
          <w:rFonts w:ascii="Arial" w:cs="Arial" w:eastAsia="Arial" w:hAnsi="Arial"/>
          <w:sz w:val="18"/>
          <w:szCs w:val="18"/>
          <w:color w:val="auto"/>
        </w:rPr>
      </w:pPr>
    </w:p>
    <w:p>
      <w:pPr>
        <w:ind w:left="420" w:right="300" w:hanging="412"/>
        <w:spacing w:after="0" w:line="271" w:lineRule="auto"/>
        <w:tabs>
          <w:tab w:leader="none" w:pos="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Amounts reported represent the value of performance share awards that were in progress based on the closing price of our common stock on October 31, 2022 of $105.43 per share.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36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C00000"/>
        </w:rPr>
        <w:t>Option Exercises and Stock Vested for Fiscal 2022</w:t>
      </w:r>
    </w:p>
    <w:p>
      <w:pPr>
        <w:spacing w:after="0" w:line="45" w:lineRule="exact"/>
        <w:rPr>
          <w:sz w:val="20"/>
          <w:szCs w:val="20"/>
          <w:color w:val="auto"/>
        </w:rPr>
      </w:pPr>
    </w:p>
    <w:p>
      <w:pPr>
        <w:ind w:right="60" w:firstLine="409"/>
        <w:spacing w:after="0" w:line="271" w:lineRule="auto"/>
        <w:rPr>
          <w:sz w:val="20"/>
          <w:szCs w:val="20"/>
          <w:color w:val="auto"/>
        </w:rPr>
      </w:pPr>
      <w:r>
        <w:rPr>
          <w:rFonts w:ascii="Arial" w:cs="Arial" w:eastAsia="Arial" w:hAnsi="Arial"/>
          <w:sz w:val="18"/>
          <w:szCs w:val="18"/>
          <w:color w:val="auto"/>
        </w:rPr>
        <w:t>The following table summarizes all of the stock options exercised during fiscal 2022, restricted stock units vested during fiscal 2022 and performance share awards that were paid out or deferred by our NEOs for the fiscal 2020 to fiscal 2022 performance period.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5660" w:type="dxa"/>
            <w:vAlign w:val="bottom"/>
            <w:shd w:val="clear" w:color="auto" w:fill="C00000"/>
          </w:tcPr>
          <w:p>
            <w:pPr>
              <w:spacing w:after="0"/>
              <w:rPr>
                <w:sz w:val="23"/>
                <w:szCs w:val="23"/>
                <w:color w:val="auto"/>
              </w:rPr>
            </w:pPr>
          </w:p>
        </w:tc>
        <w:tc>
          <w:tcPr>
            <w:tcW w:w="120" w:type="dxa"/>
            <w:vAlign w:val="bottom"/>
            <w:shd w:val="clear" w:color="auto" w:fill="C00000"/>
          </w:tcPr>
          <w:p>
            <w:pPr>
              <w:spacing w:after="0"/>
              <w:rPr>
                <w:sz w:val="23"/>
                <w:szCs w:val="23"/>
                <w:color w:val="auto"/>
              </w:rPr>
            </w:pPr>
          </w:p>
        </w:tc>
        <w:tc>
          <w:tcPr>
            <w:tcW w:w="2840" w:type="dxa"/>
            <w:vAlign w:val="bottom"/>
            <w:gridSpan w:val="2"/>
            <w:shd w:val="clear" w:color="auto" w:fill="C00000"/>
          </w:tcPr>
          <w:p>
            <w:pPr>
              <w:jc w:val="right"/>
              <w:ind w:right="868"/>
              <w:spacing w:after="0"/>
              <w:rPr>
                <w:sz w:val="20"/>
                <w:szCs w:val="20"/>
                <w:color w:val="auto"/>
              </w:rPr>
            </w:pPr>
            <w:r>
              <w:rPr>
                <w:rFonts w:ascii="Arial" w:cs="Arial" w:eastAsia="Arial" w:hAnsi="Arial"/>
                <w:sz w:val="14"/>
                <w:szCs w:val="14"/>
                <w:b w:val="1"/>
                <w:bCs w:val="1"/>
                <w:color w:val="FFFFFF"/>
              </w:rPr>
              <w:t>Option Awards</w:t>
            </w:r>
            <w:r>
              <w:rPr>
                <w:rFonts w:ascii="Arial" w:cs="Arial" w:eastAsia="Arial" w:hAnsi="Arial"/>
                <w:sz w:val="24"/>
                <w:szCs w:val="24"/>
                <w:b w:val="1"/>
                <w:bCs w:val="1"/>
                <w:color w:val="FFFFFF"/>
                <w:vertAlign w:val="superscript"/>
              </w:rPr>
              <w:t>(1)</w:t>
            </w:r>
          </w:p>
        </w:tc>
        <w:tc>
          <w:tcPr>
            <w:tcW w:w="2620" w:type="dxa"/>
            <w:vAlign w:val="bottom"/>
            <w:gridSpan w:val="2"/>
            <w:shd w:val="clear" w:color="auto" w:fill="C00000"/>
          </w:tcPr>
          <w:p>
            <w:pPr>
              <w:jc w:val="right"/>
              <w:ind w:right="728"/>
              <w:spacing w:after="0"/>
              <w:rPr>
                <w:sz w:val="20"/>
                <w:szCs w:val="20"/>
                <w:color w:val="auto"/>
              </w:rPr>
            </w:pPr>
            <w:r>
              <w:rPr>
                <w:rFonts w:ascii="Arial" w:cs="Arial" w:eastAsia="Arial" w:hAnsi="Arial"/>
                <w:sz w:val="14"/>
                <w:szCs w:val="14"/>
                <w:b w:val="1"/>
                <w:bCs w:val="1"/>
                <w:color w:val="FFFFFF"/>
              </w:rPr>
              <w:t>Stock Awards</w:t>
            </w:r>
            <w:r>
              <w:rPr>
                <w:rFonts w:ascii="Arial" w:cs="Arial" w:eastAsia="Arial" w:hAnsi="Arial"/>
                <w:sz w:val="24"/>
                <w:szCs w:val="24"/>
                <w:b w:val="1"/>
                <w:bCs w:val="1"/>
                <w:color w:val="FFFFFF"/>
                <w:vertAlign w:val="superscript"/>
              </w:rPr>
              <w:t>(2)</w:t>
            </w:r>
          </w:p>
        </w:tc>
        <w:tc>
          <w:tcPr>
            <w:tcW w:w="0" w:type="dxa"/>
            <w:vAlign w:val="bottom"/>
          </w:tcPr>
          <w:p>
            <w:pPr>
              <w:spacing w:after="0"/>
              <w:rPr>
                <w:sz w:val="1"/>
                <w:szCs w:val="1"/>
                <w:color w:val="auto"/>
              </w:rPr>
            </w:pPr>
          </w:p>
        </w:tc>
      </w:tr>
      <w:tr>
        <w:trPr>
          <w:trHeight w:val="180"/>
        </w:trPr>
        <w:tc>
          <w:tcPr>
            <w:tcW w:w="5660" w:type="dxa"/>
            <w:vAlign w:val="bottom"/>
            <w:shd w:val="clear" w:color="auto" w:fill="C00000"/>
          </w:tcPr>
          <w:p>
            <w:pPr>
              <w:spacing w:after="0"/>
              <w:rPr>
                <w:sz w:val="15"/>
                <w:szCs w:val="15"/>
                <w:color w:val="auto"/>
              </w:rPr>
            </w:pPr>
          </w:p>
        </w:tc>
        <w:tc>
          <w:tcPr>
            <w:tcW w:w="120" w:type="dxa"/>
            <w:vAlign w:val="bottom"/>
            <w:shd w:val="clear" w:color="auto" w:fill="C00000"/>
          </w:tcPr>
          <w:p>
            <w:pPr>
              <w:spacing w:after="0"/>
              <w:rPr>
                <w:sz w:val="15"/>
                <w:szCs w:val="15"/>
                <w:color w:val="auto"/>
              </w:rPr>
            </w:pPr>
          </w:p>
        </w:tc>
        <w:tc>
          <w:tcPr>
            <w:tcW w:w="12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Number of</w:t>
            </w:r>
          </w:p>
        </w:tc>
        <w:tc>
          <w:tcPr>
            <w:tcW w:w="1580" w:type="dxa"/>
            <w:vAlign w:val="bottom"/>
            <w:shd w:val="clear" w:color="auto" w:fill="C00000"/>
          </w:tcPr>
          <w:p>
            <w:pPr>
              <w:spacing w:after="0"/>
              <w:rPr>
                <w:sz w:val="15"/>
                <w:szCs w:val="15"/>
                <w:color w:val="auto"/>
              </w:rPr>
            </w:pPr>
          </w:p>
        </w:tc>
        <w:tc>
          <w:tcPr>
            <w:tcW w:w="1380" w:type="dxa"/>
            <w:vAlign w:val="bottom"/>
            <w:shd w:val="clear" w:color="auto" w:fill="C00000"/>
          </w:tcPr>
          <w:p>
            <w:pPr>
              <w:jc w:val="center"/>
              <w:ind w:right="188"/>
              <w:spacing w:after="0"/>
              <w:rPr>
                <w:sz w:val="20"/>
                <w:szCs w:val="20"/>
                <w:color w:val="auto"/>
              </w:rPr>
            </w:pPr>
            <w:r>
              <w:rPr>
                <w:rFonts w:ascii="Arial" w:cs="Arial" w:eastAsia="Arial" w:hAnsi="Arial"/>
                <w:sz w:val="14"/>
                <w:szCs w:val="14"/>
                <w:b w:val="1"/>
                <w:bCs w:val="1"/>
                <w:color w:val="FFFFFF"/>
              </w:rPr>
              <w:t>Number of</w:t>
            </w:r>
          </w:p>
        </w:tc>
        <w:tc>
          <w:tcPr>
            <w:tcW w:w="1240" w:type="dxa"/>
            <w:vAlign w:val="bottom"/>
            <w:shd w:val="clear" w:color="auto" w:fill="C00000"/>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660" w:type="dxa"/>
            <w:vAlign w:val="bottom"/>
            <w:shd w:val="clear" w:color="auto" w:fill="C00000"/>
          </w:tcPr>
          <w:p>
            <w:pPr>
              <w:spacing w:after="0"/>
              <w:rPr>
                <w:sz w:val="14"/>
                <w:szCs w:val="14"/>
                <w:color w:val="auto"/>
              </w:rPr>
            </w:pPr>
          </w:p>
        </w:tc>
        <w:tc>
          <w:tcPr>
            <w:tcW w:w="120" w:type="dxa"/>
            <w:vAlign w:val="bottom"/>
            <w:shd w:val="clear" w:color="auto" w:fill="C00000"/>
          </w:tcPr>
          <w:p>
            <w:pPr>
              <w:spacing w:after="0"/>
              <w:rPr>
                <w:sz w:val="14"/>
                <w:szCs w:val="14"/>
                <w:color w:val="auto"/>
              </w:rPr>
            </w:pPr>
          </w:p>
        </w:tc>
        <w:tc>
          <w:tcPr>
            <w:tcW w:w="12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Shares</w:t>
            </w:r>
          </w:p>
        </w:tc>
        <w:tc>
          <w:tcPr>
            <w:tcW w:w="1580" w:type="dxa"/>
            <w:vAlign w:val="bottom"/>
            <w:shd w:val="clear" w:color="auto" w:fill="C00000"/>
          </w:tcPr>
          <w:p>
            <w:pPr>
              <w:jc w:val="center"/>
              <w:ind w:right="8"/>
              <w:spacing w:after="0"/>
              <w:rPr>
                <w:sz w:val="20"/>
                <w:szCs w:val="20"/>
                <w:color w:val="auto"/>
              </w:rPr>
            </w:pPr>
            <w:r>
              <w:rPr>
                <w:rFonts w:ascii="Arial" w:cs="Arial" w:eastAsia="Arial" w:hAnsi="Arial"/>
                <w:sz w:val="14"/>
                <w:szCs w:val="14"/>
                <w:b w:val="1"/>
                <w:bCs w:val="1"/>
                <w:color w:val="FFFFFF"/>
              </w:rPr>
              <w:t>Value</w:t>
            </w:r>
          </w:p>
        </w:tc>
        <w:tc>
          <w:tcPr>
            <w:tcW w:w="1380" w:type="dxa"/>
            <w:vAlign w:val="bottom"/>
            <w:shd w:val="clear" w:color="auto" w:fill="C00000"/>
          </w:tcPr>
          <w:p>
            <w:pPr>
              <w:jc w:val="center"/>
              <w:ind w:right="188"/>
              <w:spacing w:after="0"/>
              <w:rPr>
                <w:sz w:val="20"/>
                <w:szCs w:val="20"/>
                <w:color w:val="auto"/>
              </w:rPr>
            </w:pPr>
            <w:r>
              <w:rPr>
                <w:rFonts w:ascii="Arial" w:cs="Arial" w:eastAsia="Arial" w:hAnsi="Arial"/>
                <w:sz w:val="14"/>
                <w:szCs w:val="14"/>
                <w:b w:val="1"/>
                <w:bCs w:val="1"/>
                <w:color w:val="FFFFFF"/>
              </w:rPr>
              <w:t>Shares</w:t>
            </w:r>
          </w:p>
        </w:tc>
        <w:tc>
          <w:tcPr>
            <w:tcW w:w="12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Value</w:t>
            </w:r>
          </w:p>
        </w:tc>
        <w:tc>
          <w:tcPr>
            <w:tcW w:w="0" w:type="dxa"/>
            <w:vAlign w:val="bottom"/>
          </w:tcPr>
          <w:p>
            <w:pPr>
              <w:spacing w:after="0"/>
              <w:rPr>
                <w:sz w:val="1"/>
                <w:szCs w:val="1"/>
                <w:color w:val="auto"/>
              </w:rPr>
            </w:pPr>
          </w:p>
        </w:tc>
      </w:tr>
      <w:tr>
        <w:trPr>
          <w:trHeight w:val="162"/>
        </w:trPr>
        <w:tc>
          <w:tcPr>
            <w:tcW w:w="5660" w:type="dxa"/>
            <w:vAlign w:val="bottom"/>
            <w:shd w:val="clear" w:color="auto" w:fill="C00000"/>
          </w:tcPr>
          <w:p>
            <w:pPr>
              <w:spacing w:after="0"/>
              <w:rPr>
                <w:sz w:val="14"/>
                <w:szCs w:val="14"/>
                <w:color w:val="auto"/>
              </w:rPr>
            </w:pPr>
          </w:p>
        </w:tc>
        <w:tc>
          <w:tcPr>
            <w:tcW w:w="120" w:type="dxa"/>
            <w:vAlign w:val="bottom"/>
            <w:shd w:val="clear" w:color="auto" w:fill="C00000"/>
          </w:tcPr>
          <w:p>
            <w:pPr>
              <w:spacing w:after="0"/>
              <w:rPr>
                <w:sz w:val="14"/>
                <w:szCs w:val="14"/>
                <w:color w:val="auto"/>
              </w:rPr>
            </w:pPr>
          </w:p>
        </w:tc>
        <w:tc>
          <w:tcPr>
            <w:tcW w:w="12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Acquired</w:t>
            </w:r>
          </w:p>
        </w:tc>
        <w:tc>
          <w:tcPr>
            <w:tcW w:w="1580" w:type="dxa"/>
            <w:vAlign w:val="bottom"/>
            <w:shd w:val="clear" w:color="auto" w:fill="C00000"/>
          </w:tcPr>
          <w:p>
            <w:pPr>
              <w:jc w:val="center"/>
              <w:ind w:right="8"/>
              <w:spacing w:after="0"/>
              <w:rPr>
                <w:sz w:val="20"/>
                <w:szCs w:val="20"/>
                <w:color w:val="auto"/>
              </w:rPr>
            </w:pPr>
            <w:r>
              <w:rPr>
                <w:rFonts w:ascii="Arial" w:cs="Arial" w:eastAsia="Arial" w:hAnsi="Arial"/>
                <w:sz w:val="14"/>
                <w:szCs w:val="14"/>
                <w:b w:val="1"/>
                <w:bCs w:val="1"/>
                <w:color w:val="FFFFFF"/>
              </w:rPr>
              <w:t>Realized</w:t>
            </w:r>
          </w:p>
        </w:tc>
        <w:tc>
          <w:tcPr>
            <w:tcW w:w="1380" w:type="dxa"/>
            <w:vAlign w:val="bottom"/>
            <w:shd w:val="clear" w:color="auto" w:fill="C00000"/>
          </w:tcPr>
          <w:p>
            <w:pPr>
              <w:jc w:val="center"/>
              <w:ind w:right="168"/>
              <w:spacing w:after="0"/>
              <w:rPr>
                <w:sz w:val="20"/>
                <w:szCs w:val="20"/>
                <w:color w:val="auto"/>
              </w:rPr>
            </w:pPr>
            <w:r>
              <w:rPr>
                <w:rFonts w:ascii="Arial" w:cs="Arial" w:eastAsia="Arial" w:hAnsi="Arial"/>
                <w:sz w:val="14"/>
                <w:szCs w:val="14"/>
                <w:b w:val="1"/>
                <w:bCs w:val="1"/>
                <w:color w:val="FFFFFF"/>
              </w:rPr>
              <w:t>Acquired</w:t>
            </w:r>
          </w:p>
        </w:tc>
        <w:tc>
          <w:tcPr>
            <w:tcW w:w="12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Realized on</w:t>
            </w:r>
          </w:p>
        </w:tc>
        <w:tc>
          <w:tcPr>
            <w:tcW w:w="0" w:type="dxa"/>
            <w:vAlign w:val="bottom"/>
          </w:tcPr>
          <w:p>
            <w:pPr>
              <w:spacing w:after="0"/>
              <w:rPr>
                <w:sz w:val="1"/>
                <w:szCs w:val="1"/>
                <w:color w:val="auto"/>
              </w:rPr>
            </w:pPr>
          </w:p>
        </w:tc>
      </w:tr>
      <w:tr>
        <w:trPr>
          <w:trHeight w:val="162"/>
        </w:trPr>
        <w:tc>
          <w:tcPr>
            <w:tcW w:w="5660" w:type="dxa"/>
            <w:vAlign w:val="bottom"/>
            <w:shd w:val="clear" w:color="auto" w:fill="C00000"/>
          </w:tcPr>
          <w:p>
            <w:pPr>
              <w:spacing w:after="0"/>
              <w:rPr>
                <w:sz w:val="14"/>
                <w:szCs w:val="14"/>
                <w:color w:val="auto"/>
              </w:rPr>
            </w:pPr>
          </w:p>
        </w:tc>
        <w:tc>
          <w:tcPr>
            <w:tcW w:w="120" w:type="dxa"/>
            <w:vAlign w:val="bottom"/>
            <w:shd w:val="clear" w:color="auto" w:fill="C00000"/>
          </w:tcPr>
          <w:p>
            <w:pPr>
              <w:spacing w:after="0"/>
              <w:rPr>
                <w:sz w:val="14"/>
                <w:szCs w:val="14"/>
                <w:color w:val="auto"/>
              </w:rPr>
            </w:pPr>
          </w:p>
        </w:tc>
        <w:tc>
          <w:tcPr>
            <w:tcW w:w="12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On Exercise</w:t>
            </w:r>
          </w:p>
        </w:tc>
        <w:tc>
          <w:tcPr>
            <w:tcW w:w="15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On Exercise</w:t>
            </w:r>
          </w:p>
        </w:tc>
        <w:tc>
          <w:tcPr>
            <w:tcW w:w="1380" w:type="dxa"/>
            <w:vAlign w:val="bottom"/>
            <w:shd w:val="clear" w:color="auto" w:fill="C00000"/>
          </w:tcPr>
          <w:p>
            <w:pPr>
              <w:jc w:val="center"/>
              <w:ind w:right="168"/>
              <w:spacing w:after="0"/>
              <w:rPr>
                <w:sz w:val="20"/>
                <w:szCs w:val="20"/>
                <w:color w:val="auto"/>
              </w:rPr>
            </w:pPr>
            <w:r>
              <w:rPr>
                <w:rFonts w:ascii="Arial" w:cs="Arial" w:eastAsia="Arial" w:hAnsi="Arial"/>
                <w:sz w:val="14"/>
                <w:szCs w:val="14"/>
                <w:b w:val="1"/>
                <w:bCs w:val="1"/>
                <w:color w:val="FFFFFF"/>
              </w:rPr>
              <w:t>on Vesting</w:t>
            </w:r>
          </w:p>
        </w:tc>
        <w:tc>
          <w:tcPr>
            <w:tcW w:w="12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w w:val="98"/>
              </w:rPr>
              <w:t>Vesting</w:t>
            </w:r>
          </w:p>
        </w:tc>
        <w:tc>
          <w:tcPr>
            <w:tcW w:w="0" w:type="dxa"/>
            <w:vAlign w:val="bottom"/>
          </w:tcPr>
          <w:p>
            <w:pPr>
              <w:spacing w:after="0"/>
              <w:rPr>
                <w:sz w:val="1"/>
                <w:szCs w:val="1"/>
                <w:color w:val="auto"/>
              </w:rPr>
            </w:pPr>
          </w:p>
        </w:tc>
      </w:tr>
      <w:tr>
        <w:trPr>
          <w:trHeight w:val="171"/>
        </w:trPr>
        <w:tc>
          <w:tcPr>
            <w:tcW w:w="566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Name</w:t>
            </w:r>
          </w:p>
        </w:tc>
        <w:tc>
          <w:tcPr>
            <w:tcW w:w="1380" w:type="dxa"/>
            <w:vAlign w:val="bottom"/>
            <w:gridSpan w:val="2"/>
            <w:shd w:val="clear" w:color="auto" w:fill="C00000"/>
          </w:tcPr>
          <w:p>
            <w:pPr>
              <w:jc w:val="center"/>
              <w:ind w:left="48"/>
              <w:spacing w:after="0"/>
              <w:rPr>
                <w:sz w:val="20"/>
                <w:szCs w:val="20"/>
                <w:color w:val="auto"/>
              </w:rPr>
            </w:pPr>
            <w:r>
              <w:rPr>
                <w:rFonts w:ascii="Arial" w:cs="Arial" w:eastAsia="Arial" w:hAnsi="Arial"/>
                <w:sz w:val="14"/>
                <w:szCs w:val="14"/>
                <w:b w:val="1"/>
                <w:bCs w:val="1"/>
                <w:color w:val="FFFFFF"/>
              </w:rPr>
              <w:t>(#)</w:t>
            </w:r>
          </w:p>
        </w:tc>
        <w:tc>
          <w:tcPr>
            <w:tcW w:w="1580" w:type="dxa"/>
            <w:vAlign w:val="bottom"/>
            <w:shd w:val="clear" w:color="auto" w:fill="C00000"/>
          </w:tcPr>
          <w:p>
            <w:pPr>
              <w:jc w:val="center"/>
              <w:ind w:right="8"/>
              <w:spacing w:after="0"/>
              <w:rPr>
                <w:sz w:val="20"/>
                <w:szCs w:val="20"/>
                <w:color w:val="auto"/>
              </w:rPr>
            </w:pPr>
            <w:r>
              <w:rPr>
                <w:rFonts w:ascii="Arial" w:cs="Arial" w:eastAsia="Arial" w:hAnsi="Arial"/>
                <w:sz w:val="14"/>
                <w:szCs w:val="14"/>
                <w:b w:val="1"/>
                <w:bCs w:val="1"/>
                <w:color w:val="FFFFFF"/>
              </w:rPr>
              <w:t>($)</w:t>
            </w:r>
          </w:p>
        </w:tc>
        <w:tc>
          <w:tcPr>
            <w:tcW w:w="1380" w:type="dxa"/>
            <w:vAlign w:val="bottom"/>
            <w:shd w:val="clear" w:color="auto" w:fill="C00000"/>
          </w:tcPr>
          <w:p>
            <w:pPr>
              <w:jc w:val="center"/>
              <w:ind w:right="168"/>
              <w:spacing w:after="0"/>
              <w:rPr>
                <w:sz w:val="20"/>
                <w:szCs w:val="20"/>
                <w:color w:val="auto"/>
              </w:rPr>
            </w:pPr>
            <w:r>
              <w:rPr>
                <w:rFonts w:ascii="Arial" w:cs="Arial" w:eastAsia="Arial" w:hAnsi="Arial"/>
                <w:sz w:val="14"/>
                <w:szCs w:val="14"/>
                <w:b w:val="1"/>
                <w:bCs w:val="1"/>
                <w:color w:val="FFFFFF"/>
              </w:rPr>
              <w:t>(#)</w:t>
            </w:r>
          </w:p>
        </w:tc>
        <w:tc>
          <w:tcPr>
            <w:tcW w:w="12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0"/>
        </w:trPr>
        <w:tc>
          <w:tcPr>
            <w:tcW w:w="5660" w:type="dxa"/>
            <w:vAlign w:val="bottom"/>
          </w:tcPr>
          <w:p>
            <w:pPr>
              <w:spacing w:after="0"/>
              <w:rPr>
                <w:sz w:val="20"/>
                <w:szCs w:val="20"/>
                <w:color w:val="auto"/>
              </w:rPr>
            </w:pPr>
            <w:r>
              <w:rPr>
                <w:rFonts w:ascii="Arial" w:cs="Arial" w:eastAsia="Arial" w:hAnsi="Arial"/>
                <w:sz w:val="14"/>
                <w:szCs w:val="14"/>
                <w:color w:val="auto"/>
              </w:rPr>
              <w:t>Richard M. Olson</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60" w:type="dxa"/>
            <w:vAlign w:val="bottom"/>
          </w:tcPr>
          <w:p>
            <w:pPr>
              <w:ind w:left="260"/>
              <w:spacing w:after="0"/>
              <w:rPr>
                <w:sz w:val="20"/>
                <w:szCs w:val="20"/>
                <w:color w:val="auto"/>
              </w:rPr>
            </w:pPr>
            <w:r>
              <w:rPr>
                <w:rFonts w:ascii="Arial" w:cs="Arial" w:eastAsia="Arial" w:hAnsi="Arial"/>
                <w:sz w:val="14"/>
                <w:szCs w:val="14"/>
                <w:color w:val="auto"/>
              </w:rPr>
              <w:t>Stock Option Exercises</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12,600</w:t>
            </w:r>
          </w:p>
        </w:tc>
        <w:tc>
          <w:tcPr>
            <w:tcW w:w="1580" w:type="dxa"/>
            <w:vAlign w:val="bottom"/>
          </w:tcPr>
          <w:p>
            <w:pPr>
              <w:jc w:val="right"/>
              <w:ind w:right="128"/>
              <w:spacing w:after="0"/>
              <w:rPr>
                <w:sz w:val="20"/>
                <w:szCs w:val="20"/>
                <w:color w:val="auto"/>
              </w:rPr>
            </w:pPr>
            <w:r>
              <w:rPr>
                <w:rFonts w:ascii="Arial" w:cs="Arial" w:eastAsia="Arial" w:hAnsi="Arial"/>
                <w:sz w:val="14"/>
                <w:szCs w:val="14"/>
                <w:color w:val="auto"/>
              </w:rPr>
              <w:t>696,833</w:t>
            </w: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660" w:type="dxa"/>
            <w:vAlign w:val="bottom"/>
          </w:tcPr>
          <w:p>
            <w:pPr>
              <w:ind w:left="260"/>
              <w:spacing w:after="0"/>
              <w:rPr>
                <w:sz w:val="20"/>
                <w:szCs w:val="20"/>
                <w:color w:val="auto"/>
              </w:rPr>
            </w:pPr>
            <w:r>
              <w:rPr>
                <w:rFonts w:ascii="Arial" w:cs="Arial" w:eastAsia="Arial" w:hAnsi="Arial"/>
                <w:sz w:val="14"/>
                <w:szCs w:val="14"/>
                <w:color w:val="auto"/>
              </w:rPr>
              <w:t>F20-F22 Performance Share Award Payout</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80" w:type="dxa"/>
            <w:vAlign w:val="bottom"/>
          </w:tcPr>
          <w:p>
            <w:pPr>
              <w:jc w:val="right"/>
              <w:ind w:right="128"/>
              <w:spacing w:after="0"/>
              <w:rPr>
                <w:sz w:val="20"/>
                <w:szCs w:val="20"/>
                <w:color w:val="auto"/>
              </w:rPr>
            </w:pPr>
            <w:r>
              <w:rPr>
                <w:rFonts w:ascii="Arial" w:cs="Arial" w:eastAsia="Arial" w:hAnsi="Arial"/>
                <w:sz w:val="14"/>
                <w:szCs w:val="14"/>
                <w:color w:val="auto"/>
              </w:rPr>
              <w:t>21,762</w:t>
            </w:r>
          </w:p>
        </w:tc>
        <w:tc>
          <w:tcPr>
            <w:tcW w:w="1240" w:type="dxa"/>
            <w:vAlign w:val="bottom"/>
          </w:tcPr>
          <w:p>
            <w:pPr>
              <w:jc w:val="right"/>
              <w:spacing w:after="0"/>
              <w:rPr>
                <w:sz w:val="20"/>
                <w:szCs w:val="20"/>
                <w:color w:val="auto"/>
              </w:rPr>
            </w:pPr>
            <w:r>
              <w:rPr>
                <w:rFonts w:ascii="Arial" w:cs="Arial" w:eastAsia="Arial" w:hAnsi="Arial"/>
                <w:sz w:val="14"/>
                <w:szCs w:val="14"/>
                <w:color w:val="auto"/>
              </w:rPr>
              <w:t>2,456,277</w:t>
            </w:r>
          </w:p>
        </w:tc>
        <w:tc>
          <w:tcPr>
            <w:tcW w:w="0" w:type="dxa"/>
            <w:vAlign w:val="bottom"/>
          </w:tcPr>
          <w:p>
            <w:pPr>
              <w:spacing w:after="0"/>
              <w:rPr>
                <w:sz w:val="1"/>
                <w:szCs w:val="1"/>
                <w:color w:val="auto"/>
              </w:rPr>
            </w:pPr>
          </w:p>
        </w:tc>
      </w:tr>
      <w:tr>
        <w:trPr>
          <w:trHeight w:val="176"/>
        </w:trPr>
        <w:tc>
          <w:tcPr>
            <w:tcW w:w="5660" w:type="dxa"/>
            <w:vAlign w:val="bottom"/>
            <w:shd w:val="clear" w:color="auto" w:fill="D9D9D9"/>
          </w:tcPr>
          <w:p>
            <w:pPr>
              <w:spacing w:after="0"/>
              <w:rPr>
                <w:sz w:val="20"/>
                <w:szCs w:val="20"/>
                <w:color w:val="auto"/>
              </w:rPr>
            </w:pPr>
            <w:r>
              <w:rPr>
                <w:rFonts w:ascii="Arial" w:cs="Arial" w:eastAsia="Arial" w:hAnsi="Arial"/>
                <w:sz w:val="14"/>
                <w:szCs w:val="14"/>
                <w:color w:val="auto"/>
              </w:rPr>
              <w:t>Renee J. Peterson</w:t>
            </w:r>
          </w:p>
        </w:tc>
        <w:tc>
          <w:tcPr>
            <w:tcW w:w="120" w:type="dxa"/>
            <w:vAlign w:val="bottom"/>
            <w:shd w:val="clear" w:color="auto" w:fill="D9D9D9"/>
          </w:tcPr>
          <w:p>
            <w:pPr>
              <w:spacing w:after="0"/>
              <w:rPr>
                <w:sz w:val="15"/>
                <w:szCs w:val="15"/>
                <w:color w:val="auto"/>
              </w:rPr>
            </w:pPr>
          </w:p>
        </w:tc>
        <w:tc>
          <w:tcPr>
            <w:tcW w:w="1260" w:type="dxa"/>
            <w:vAlign w:val="bottom"/>
            <w:shd w:val="clear" w:color="auto" w:fill="D9D9D9"/>
          </w:tcPr>
          <w:p>
            <w:pPr>
              <w:spacing w:after="0"/>
              <w:rPr>
                <w:sz w:val="15"/>
                <w:szCs w:val="15"/>
                <w:color w:val="auto"/>
              </w:rPr>
            </w:pPr>
          </w:p>
        </w:tc>
        <w:tc>
          <w:tcPr>
            <w:tcW w:w="1580" w:type="dxa"/>
            <w:vAlign w:val="bottom"/>
            <w:shd w:val="clear" w:color="auto" w:fill="D9D9D9"/>
          </w:tcPr>
          <w:p>
            <w:pPr>
              <w:spacing w:after="0"/>
              <w:rPr>
                <w:sz w:val="15"/>
                <w:szCs w:val="15"/>
                <w:color w:val="auto"/>
              </w:rPr>
            </w:pPr>
          </w:p>
        </w:tc>
        <w:tc>
          <w:tcPr>
            <w:tcW w:w="1380" w:type="dxa"/>
            <w:vAlign w:val="bottom"/>
            <w:shd w:val="clear" w:color="auto" w:fill="D9D9D9"/>
          </w:tcPr>
          <w:p>
            <w:pPr>
              <w:spacing w:after="0"/>
              <w:rPr>
                <w:sz w:val="15"/>
                <w:szCs w:val="15"/>
                <w:color w:val="auto"/>
              </w:rPr>
            </w:pPr>
          </w:p>
        </w:tc>
        <w:tc>
          <w:tcPr>
            <w:tcW w:w="124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60" w:type="dxa"/>
            <w:vAlign w:val="bottom"/>
            <w:shd w:val="clear" w:color="auto" w:fill="D9D9D9"/>
          </w:tcPr>
          <w:p>
            <w:pPr>
              <w:ind w:left="260"/>
              <w:spacing w:after="0"/>
              <w:rPr>
                <w:sz w:val="20"/>
                <w:szCs w:val="20"/>
                <w:color w:val="auto"/>
              </w:rPr>
            </w:pPr>
            <w:r>
              <w:rPr>
                <w:rFonts w:ascii="Arial" w:cs="Arial" w:eastAsia="Arial" w:hAnsi="Arial"/>
                <w:sz w:val="14"/>
                <w:szCs w:val="14"/>
                <w:color w:val="auto"/>
              </w:rPr>
              <w:t>Stock Option Exercises</w:t>
            </w:r>
          </w:p>
        </w:tc>
        <w:tc>
          <w:tcPr>
            <w:tcW w:w="120" w:type="dxa"/>
            <w:vAlign w:val="bottom"/>
            <w:shd w:val="clear" w:color="auto" w:fill="D9D9D9"/>
          </w:tcPr>
          <w:p>
            <w:pPr>
              <w:spacing w:after="0"/>
              <w:rPr>
                <w:sz w:val="15"/>
                <w:szCs w:val="15"/>
                <w:color w:val="auto"/>
              </w:rPr>
            </w:pPr>
          </w:p>
        </w:tc>
        <w:tc>
          <w:tcPr>
            <w:tcW w:w="12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580" w:type="dxa"/>
            <w:vAlign w:val="bottom"/>
            <w:shd w:val="clear" w:color="auto" w:fill="D9D9D9"/>
          </w:tcPr>
          <w:p>
            <w:pPr>
              <w:jc w:val="right"/>
              <w:ind w:right="128"/>
              <w:spacing w:after="0"/>
              <w:rPr>
                <w:sz w:val="20"/>
                <w:szCs w:val="20"/>
                <w:color w:val="auto"/>
              </w:rPr>
            </w:pPr>
            <w:r>
              <w:rPr>
                <w:rFonts w:ascii="Arial" w:cs="Arial" w:eastAsia="Arial" w:hAnsi="Arial"/>
                <w:sz w:val="14"/>
                <w:szCs w:val="14"/>
                <w:color w:val="auto"/>
              </w:rPr>
              <w:t>0</w:t>
            </w:r>
          </w:p>
        </w:tc>
        <w:tc>
          <w:tcPr>
            <w:tcW w:w="1380" w:type="dxa"/>
            <w:vAlign w:val="bottom"/>
            <w:shd w:val="clear" w:color="auto" w:fill="D9D9D9"/>
          </w:tcPr>
          <w:p>
            <w:pPr>
              <w:spacing w:after="0"/>
              <w:rPr>
                <w:sz w:val="15"/>
                <w:szCs w:val="15"/>
                <w:color w:val="auto"/>
              </w:rPr>
            </w:pPr>
          </w:p>
        </w:tc>
        <w:tc>
          <w:tcPr>
            <w:tcW w:w="124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60" w:type="dxa"/>
            <w:vAlign w:val="bottom"/>
            <w:shd w:val="clear" w:color="auto" w:fill="D9D9D9"/>
          </w:tcPr>
          <w:p>
            <w:pPr>
              <w:ind w:left="260"/>
              <w:spacing w:after="0"/>
              <w:rPr>
                <w:sz w:val="20"/>
                <w:szCs w:val="20"/>
                <w:color w:val="auto"/>
              </w:rPr>
            </w:pPr>
            <w:r>
              <w:rPr>
                <w:rFonts w:ascii="Arial" w:cs="Arial" w:eastAsia="Arial" w:hAnsi="Arial"/>
                <w:sz w:val="14"/>
                <w:szCs w:val="14"/>
                <w:color w:val="auto"/>
              </w:rPr>
              <w:t>F20-F22 Performance Share Award Payout</w:t>
            </w:r>
          </w:p>
        </w:tc>
        <w:tc>
          <w:tcPr>
            <w:tcW w:w="120" w:type="dxa"/>
            <w:vAlign w:val="bottom"/>
            <w:shd w:val="clear" w:color="auto" w:fill="D9D9D9"/>
          </w:tcPr>
          <w:p>
            <w:pPr>
              <w:spacing w:after="0"/>
              <w:rPr>
                <w:sz w:val="15"/>
                <w:szCs w:val="15"/>
                <w:color w:val="auto"/>
              </w:rPr>
            </w:pPr>
          </w:p>
        </w:tc>
        <w:tc>
          <w:tcPr>
            <w:tcW w:w="1260" w:type="dxa"/>
            <w:vAlign w:val="bottom"/>
            <w:shd w:val="clear" w:color="auto" w:fill="D9D9D9"/>
          </w:tcPr>
          <w:p>
            <w:pPr>
              <w:spacing w:after="0"/>
              <w:rPr>
                <w:sz w:val="15"/>
                <w:szCs w:val="15"/>
                <w:color w:val="auto"/>
              </w:rPr>
            </w:pPr>
          </w:p>
        </w:tc>
        <w:tc>
          <w:tcPr>
            <w:tcW w:w="1580" w:type="dxa"/>
            <w:vAlign w:val="bottom"/>
            <w:shd w:val="clear" w:color="auto" w:fill="D9D9D9"/>
          </w:tcPr>
          <w:p>
            <w:pPr>
              <w:spacing w:after="0"/>
              <w:rPr>
                <w:sz w:val="15"/>
                <w:szCs w:val="15"/>
                <w:color w:val="auto"/>
              </w:rPr>
            </w:pPr>
          </w:p>
        </w:tc>
        <w:tc>
          <w:tcPr>
            <w:tcW w:w="1380" w:type="dxa"/>
            <w:vAlign w:val="bottom"/>
            <w:shd w:val="clear" w:color="auto" w:fill="D9D9D9"/>
          </w:tcPr>
          <w:p>
            <w:pPr>
              <w:jc w:val="right"/>
              <w:ind w:right="128"/>
              <w:spacing w:after="0"/>
              <w:rPr>
                <w:sz w:val="20"/>
                <w:szCs w:val="20"/>
                <w:color w:val="auto"/>
              </w:rPr>
            </w:pPr>
            <w:r>
              <w:rPr>
                <w:rFonts w:ascii="Arial" w:cs="Arial" w:eastAsia="Arial" w:hAnsi="Arial"/>
                <w:sz w:val="14"/>
                <w:szCs w:val="14"/>
                <w:color w:val="auto"/>
              </w:rPr>
              <w:t>4,828</w:t>
            </w:r>
          </w:p>
        </w:tc>
        <w:tc>
          <w:tcPr>
            <w:tcW w:w="12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544,936</w:t>
            </w:r>
          </w:p>
        </w:tc>
        <w:tc>
          <w:tcPr>
            <w:tcW w:w="0" w:type="dxa"/>
            <w:vAlign w:val="bottom"/>
          </w:tcPr>
          <w:p>
            <w:pPr>
              <w:spacing w:after="0"/>
              <w:rPr>
                <w:sz w:val="1"/>
                <w:szCs w:val="1"/>
                <w:color w:val="auto"/>
              </w:rPr>
            </w:pPr>
          </w:p>
        </w:tc>
      </w:tr>
      <w:tr>
        <w:trPr>
          <w:trHeight w:val="180"/>
        </w:trPr>
        <w:tc>
          <w:tcPr>
            <w:tcW w:w="5660" w:type="dxa"/>
            <w:vAlign w:val="bottom"/>
          </w:tcPr>
          <w:p>
            <w:pPr>
              <w:spacing w:after="0"/>
              <w:rPr>
                <w:sz w:val="20"/>
                <w:szCs w:val="20"/>
                <w:color w:val="auto"/>
              </w:rPr>
            </w:pPr>
            <w:r>
              <w:rPr>
                <w:rFonts w:ascii="Arial" w:cs="Arial" w:eastAsia="Arial" w:hAnsi="Arial"/>
                <w:sz w:val="14"/>
                <w:szCs w:val="14"/>
                <w:color w:val="auto"/>
              </w:rPr>
              <w:t>Kevin N. Carpenter</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60" w:type="dxa"/>
            <w:vAlign w:val="bottom"/>
          </w:tcPr>
          <w:p>
            <w:pPr>
              <w:ind w:left="260"/>
              <w:spacing w:after="0"/>
              <w:rPr>
                <w:sz w:val="20"/>
                <w:szCs w:val="20"/>
                <w:color w:val="auto"/>
              </w:rPr>
            </w:pPr>
            <w:r>
              <w:rPr>
                <w:rFonts w:ascii="Arial" w:cs="Arial" w:eastAsia="Arial" w:hAnsi="Arial"/>
                <w:sz w:val="14"/>
                <w:szCs w:val="14"/>
                <w:color w:val="auto"/>
              </w:rPr>
              <w:t>Stock Option Exercises</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58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660" w:type="dxa"/>
            <w:vAlign w:val="bottom"/>
          </w:tcPr>
          <w:p>
            <w:pPr>
              <w:ind w:left="260"/>
              <w:spacing w:after="0"/>
              <w:rPr>
                <w:sz w:val="20"/>
                <w:szCs w:val="20"/>
                <w:color w:val="auto"/>
              </w:rPr>
            </w:pPr>
            <w:r>
              <w:rPr>
                <w:rFonts w:ascii="Arial" w:cs="Arial" w:eastAsia="Arial" w:hAnsi="Arial"/>
                <w:sz w:val="14"/>
                <w:szCs w:val="14"/>
                <w:color w:val="auto"/>
              </w:rPr>
              <w:t>F20-F22 Performance Share Award Payout</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80" w:type="dxa"/>
            <w:vAlign w:val="bottom"/>
          </w:tcPr>
          <w:p>
            <w:pPr>
              <w:jc w:val="right"/>
              <w:ind w:right="128"/>
              <w:spacing w:after="0"/>
              <w:rPr>
                <w:sz w:val="20"/>
                <w:szCs w:val="20"/>
                <w:color w:val="auto"/>
              </w:rPr>
            </w:pPr>
            <w:r>
              <w:rPr>
                <w:rFonts w:ascii="Arial" w:cs="Arial" w:eastAsia="Arial" w:hAnsi="Arial"/>
                <w:sz w:val="14"/>
                <w:szCs w:val="14"/>
                <w:color w:val="auto"/>
              </w:rPr>
              <w:t>NA</w:t>
            </w:r>
          </w:p>
        </w:tc>
        <w:tc>
          <w:tcPr>
            <w:tcW w:w="124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29"/>
        </w:trPr>
        <w:tc>
          <w:tcPr>
            <w:tcW w:w="5660" w:type="dxa"/>
            <w:vAlign w:val="bottom"/>
            <w:shd w:val="clear" w:color="auto" w:fill="D9D9D9"/>
          </w:tcPr>
          <w:p>
            <w:pPr>
              <w:spacing w:after="0"/>
              <w:rPr>
                <w:sz w:val="20"/>
                <w:szCs w:val="20"/>
                <w:color w:val="auto"/>
              </w:rPr>
            </w:pPr>
            <w:r>
              <w:rPr>
                <w:rFonts w:ascii="Arial" w:cs="Arial" w:eastAsia="Arial" w:hAnsi="Arial"/>
                <w:sz w:val="14"/>
                <w:szCs w:val="14"/>
                <w:color w:val="auto"/>
              </w:rPr>
              <w:t>Richard W. Rodier</w:t>
            </w:r>
          </w:p>
        </w:tc>
        <w:tc>
          <w:tcPr>
            <w:tcW w:w="120" w:type="dxa"/>
            <w:vAlign w:val="bottom"/>
            <w:shd w:val="clear" w:color="auto" w:fill="D9D9D9"/>
          </w:tcPr>
          <w:p>
            <w:pPr>
              <w:spacing w:after="0"/>
              <w:rPr>
                <w:sz w:val="19"/>
                <w:szCs w:val="19"/>
                <w:color w:val="auto"/>
              </w:rPr>
            </w:pPr>
          </w:p>
        </w:tc>
        <w:tc>
          <w:tcPr>
            <w:tcW w:w="1260" w:type="dxa"/>
            <w:vAlign w:val="bottom"/>
            <w:shd w:val="clear" w:color="auto" w:fill="D9D9D9"/>
          </w:tcPr>
          <w:p>
            <w:pPr>
              <w:spacing w:after="0"/>
              <w:rPr>
                <w:sz w:val="19"/>
                <w:szCs w:val="19"/>
                <w:color w:val="auto"/>
              </w:rPr>
            </w:pPr>
          </w:p>
        </w:tc>
        <w:tc>
          <w:tcPr>
            <w:tcW w:w="1580" w:type="dxa"/>
            <w:vAlign w:val="bottom"/>
            <w:shd w:val="clear" w:color="auto" w:fill="D9D9D9"/>
          </w:tcPr>
          <w:p>
            <w:pPr>
              <w:spacing w:after="0"/>
              <w:rPr>
                <w:sz w:val="19"/>
                <w:szCs w:val="19"/>
                <w:color w:val="auto"/>
              </w:rPr>
            </w:pPr>
          </w:p>
        </w:tc>
        <w:tc>
          <w:tcPr>
            <w:tcW w:w="1380" w:type="dxa"/>
            <w:vAlign w:val="bottom"/>
            <w:shd w:val="clear" w:color="auto" w:fill="D9D9D9"/>
          </w:tcPr>
          <w:p>
            <w:pPr>
              <w:spacing w:after="0"/>
              <w:rPr>
                <w:sz w:val="19"/>
                <w:szCs w:val="19"/>
                <w:color w:val="auto"/>
              </w:rPr>
            </w:pPr>
          </w:p>
        </w:tc>
        <w:tc>
          <w:tcPr>
            <w:tcW w:w="1240" w:type="dxa"/>
            <w:vAlign w:val="bottom"/>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660" w:type="dxa"/>
            <w:vAlign w:val="bottom"/>
            <w:shd w:val="clear" w:color="auto" w:fill="D9D9D9"/>
          </w:tcPr>
          <w:p>
            <w:pPr>
              <w:ind w:left="260"/>
              <w:spacing w:after="0"/>
              <w:rPr>
                <w:sz w:val="20"/>
                <w:szCs w:val="20"/>
                <w:color w:val="auto"/>
              </w:rPr>
            </w:pPr>
            <w:r>
              <w:rPr>
                <w:rFonts w:ascii="Arial" w:cs="Arial" w:eastAsia="Arial" w:hAnsi="Arial"/>
                <w:sz w:val="14"/>
                <w:szCs w:val="14"/>
                <w:color w:val="auto"/>
              </w:rPr>
              <w:t>Stock Option Exercises</w:t>
            </w:r>
          </w:p>
        </w:tc>
        <w:tc>
          <w:tcPr>
            <w:tcW w:w="120" w:type="dxa"/>
            <w:vAlign w:val="bottom"/>
            <w:shd w:val="clear" w:color="auto" w:fill="D9D9D9"/>
          </w:tcPr>
          <w:p>
            <w:pPr>
              <w:spacing w:after="0"/>
              <w:rPr>
                <w:sz w:val="16"/>
                <w:szCs w:val="16"/>
                <w:color w:val="auto"/>
              </w:rPr>
            </w:pPr>
          </w:p>
        </w:tc>
        <w:tc>
          <w:tcPr>
            <w:tcW w:w="126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11,600</w:t>
            </w:r>
          </w:p>
        </w:tc>
        <w:tc>
          <w:tcPr>
            <w:tcW w:w="1580" w:type="dxa"/>
            <w:vAlign w:val="bottom"/>
            <w:vMerge w:val="restart"/>
            <w:shd w:val="clear" w:color="auto" w:fill="D9D9D9"/>
          </w:tcPr>
          <w:p>
            <w:pPr>
              <w:jc w:val="right"/>
              <w:ind w:right="128"/>
              <w:spacing w:after="0"/>
              <w:rPr>
                <w:sz w:val="20"/>
                <w:szCs w:val="20"/>
                <w:color w:val="auto"/>
              </w:rPr>
            </w:pPr>
            <w:r>
              <w:rPr>
                <w:rFonts w:ascii="Arial" w:cs="Arial" w:eastAsia="Arial" w:hAnsi="Arial"/>
                <w:sz w:val="14"/>
                <w:szCs w:val="14"/>
                <w:color w:val="auto"/>
              </w:rPr>
              <w:t>675,395</w:t>
            </w:r>
          </w:p>
        </w:tc>
        <w:tc>
          <w:tcPr>
            <w:tcW w:w="1380" w:type="dxa"/>
            <w:vAlign w:val="bottom"/>
            <w:shd w:val="clear" w:color="auto" w:fill="D9D9D9"/>
          </w:tcPr>
          <w:p>
            <w:pPr>
              <w:spacing w:after="0"/>
              <w:rPr>
                <w:sz w:val="16"/>
                <w:szCs w:val="16"/>
                <w:color w:val="auto"/>
              </w:rPr>
            </w:pPr>
          </w:p>
        </w:tc>
        <w:tc>
          <w:tcPr>
            <w:tcW w:w="124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5660" w:type="dxa"/>
            <w:vAlign w:val="bottom"/>
            <w:vMerge w:val="restart"/>
            <w:shd w:val="clear" w:color="auto" w:fill="D9D9D9"/>
          </w:tcPr>
          <w:p>
            <w:pPr>
              <w:ind w:left="260"/>
              <w:spacing w:after="0"/>
              <w:rPr>
                <w:sz w:val="20"/>
                <w:szCs w:val="20"/>
                <w:color w:val="auto"/>
              </w:rPr>
            </w:pPr>
            <w:r>
              <w:rPr>
                <w:rFonts w:ascii="Arial" w:cs="Arial" w:eastAsia="Arial" w:hAnsi="Arial"/>
                <w:sz w:val="14"/>
                <w:szCs w:val="14"/>
                <w:color w:val="auto"/>
              </w:rPr>
              <w:t>F20-F22 Performance Share Award Payout</w:t>
            </w:r>
          </w:p>
        </w:tc>
        <w:tc>
          <w:tcPr>
            <w:tcW w:w="120" w:type="dxa"/>
            <w:vAlign w:val="bottom"/>
            <w:shd w:val="clear" w:color="auto" w:fill="D9D9D9"/>
          </w:tcPr>
          <w:p>
            <w:pPr>
              <w:spacing w:after="0"/>
              <w:rPr>
                <w:sz w:val="3"/>
                <w:szCs w:val="3"/>
                <w:color w:val="auto"/>
              </w:rPr>
            </w:pPr>
          </w:p>
        </w:tc>
        <w:tc>
          <w:tcPr>
            <w:tcW w:w="1260" w:type="dxa"/>
            <w:vAlign w:val="bottom"/>
            <w:vMerge w:val="continue"/>
            <w:shd w:val="clear" w:color="auto" w:fill="D9D9D9"/>
          </w:tcPr>
          <w:p>
            <w:pPr>
              <w:spacing w:after="0"/>
              <w:rPr>
                <w:sz w:val="3"/>
                <w:szCs w:val="3"/>
                <w:color w:val="auto"/>
              </w:rPr>
            </w:pPr>
          </w:p>
        </w:tc>
        <w:tc>
          <w:tcPr>
            <w:tcW w:w="1580" w:type="dxa"/>
            <w:vAlign w:val="bottom"/>
            <w:vMerge w:val="continue"/>
            <w:shd w:val="clear" w:color="auto" w:fill="D9D9D9"/>
          </w:tcPr>
          <w:p>
            <w:pPr>
              <w:spacing w:after="0"/>
              <w:rPr>
                <w:sz w:val="3"/>
                <w:szCs w:val="3"/>
                <w:color w:val="auto"/>
              </w:rPr>
            </w:pPr>
          </w:p>
        </w:tc>
        <w:tc>
          <w:tcPr>
            <w:tcW w:w="1380" w:type="dxa"/>
            <w:vAlign w:val="bottom"/>
            <w:shd w:val="clear" w:color="auto" w:fill="D9D9D9"/>
          </w:tcPr>
          <w:p>
            <w:pPr>
              <w:spacing w:after="0"/>
              <w:rPr>
                <w:sz w:val="3"/>
                <w:szCs w:val="3"/>
                <w:color w:val="auto"/>
              </w:rPr>
            </w:pPr>
          </w:p>
        </w:tc>
        <w:tc>
          <w:tcPr>
            <w:tcW w:w="1240" w:type="dxa"/>
            <w:vAlign w:val="bottom"/>
            <w:shd w:val="clear" w:color="auto" w:fill="D9D9D9"/>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5660" w:type="dxa"/>
            <w:vAlign w:val="bottom"/>
            <w:vMerge w:val="continue"/>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1260" w:type="dxa"/>
            <w:vAlign w:val="bottom"/>
            <w:shd w:val="clear" w:color="auto" w:fill="D9D9D9"/>
          </w:tcPr>
          <w:p>
            <w:pPr>
              <w:spacing w:after="0"/>
              <w:rPr>
                <w:sz w:val="16"/>
                <w:szCs w:val="16"/>
                <w:color w:val="auto"/>
              </w:rPr>
            </w:pPr>
          </w:p>
        </w:tc>
        <w:tc>
          <w:tcPr>
            <w:tcW w:w="1580" w:type="dxa"/>
            <w:vAlign w:val="bottom"/>
            <w:shd w:val="clear" w:color="auto" w:fill="D9D9D9"/>
          </w:tcPr>
          <w:p>
            <w:pPr>
              <w:spacing w:after="0"/>
              <w:rPr>
                <w:sz w:val="16"/>
                <w:szCs w:val="16"/>
                <w:color w:val="auto"/>
              </w:rPr>
            </w:pPr>
          </w:p>
        </w:tc>
        <w:tc>
          <w:tcPr>
            <w:tcW w:w="1380" w:type="dxa"/>
            <w:vAlign w:val="bottom"/>
            <w:vMerge w:val="restart"/>
            <w:shd w:val="clear" w:color="auto" w:fill="D9D9D9"/>
          </w:tcPr>
          <w:p>
            <w:pPr>
              <w:jc w:val="right"/>
              <w:ind w:right="128"/>
              <w:spacing w:after="0"/>
              <w:rPr>
                <w:sz w:val="20"/>
                <w:szCs w:val="20"/>
                <w:color w:val="auto"/>
              </w:rPr>
            </w:pPr>
            <w:r>
              <w:rPr>
                <w:rFonts w:ascii="Arial" w:cs="Arial" w:eastAsia="Arial" w:hAnsi="Arial"/>
                <w:sz w:val="14"/>
                <w:szCs w:val="14"/>
                <w:color w:val="auto"/>
              </w:rPr>
              <w:t>2,594</w:t>
            </w:r>
          </w:p>
        </w:tc>
        <w:tc>
          <w:tcPr>
            <w:tcW w:w="124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292,785</w:t>
            </w:r>
          </w:p>
        </w:tc>
        <w:tc>
          <w:tcPr>
            <w:tcW w:w="0" w:type="dxa"/>
            <w:vAlign w:val="bottom"/>
          </w:tcPr>
          <w:p>
            <w:pPr>
              <w:spacing w:after="0"/>
              <w:rPr>
                <w:sz w:val="1"/>
                <w:szCs w:val="1"/>
                <w:color w:val="auto"/>
              </w:rPr>
            </w:pPr>
          </w:p>
        </w:tc>
      </w:tr>
      <w:tr>
        <w:trPr>
          <w:trHeight w:val="35"/>
        </w:trPr>
        <w:tc>
          <w:tcPr>
            <w:tcW w:w="5660" w:type="dxa"/>
            <w:vAlign w:val="bottom"/>
            <w:vMerge w:val="restart"/>
            <w:shd w:val="clear" w:color="auto" w:fill="D9D9D9"/>
          </w:tcPr>
          <w:p>
            <w:pPr>
              <w:ind w:left="260"/>
              <w:spacing w:after="0"/>
              <w:rPr>
                <w:sz w:val="20"/>
                <w:szCs w:val="20"/>
                <w:color w:val="auto"/>
              </w:rPr>
            </w:pPr>
            <w:r>
              <w:rPr>
                <w:rFonts w:ascii="Arial" w:cs="Arial" w:eastAsia="Arial" w:hAnsi="Arial"/>
                <w:sz w:val="14"/>
                <w:szCs w:val="14"/>
                <w:color w:val="auto"/>
              </w:rPr>
              <w:t>Restricted Stock Units</w:t>
            </w:r>
          </w:p>
        </w:tc>
        <w:tc>
          <w:tcPr>
            <w:tcW w:w="120" w:type="dxa"/>
            <w:vAlign w:val="bottom"/>
            <w:shd w:val="clear" w:color="auto" w:fill="D9D9D9"/>
          </w:tcPr>
          <w:p>
            <w:pPr>
              <w:spacing w:after="0"/>
              <w:rPr>
                <w:sz w:val="3"/>
                <w:szCs w:val="3"/>
                <w:color w:val="auto"/>
              </w:rPr>
            </w:pPr>
          </w:p>
        </w:tc>
        <w:tc>
          <w:tcPr>
            <w:tcW w:w="1260" w:type="dxa"/>
            <w:vAlign w:val="bottom"/>
            <w:shd w:val="clear" w:color="auto" w:fill="D9D9D9"/>
          </w:tcPr>
          <w:p>
            <w:pPr>
              <w:spacing w:after="0"/>
              <w:rPr>
                <w:sz w:val="3"/>
                <w:szCs w:val="3"/>
                <w:color w:val="auto"/>
              </w:rPr>
            </w:pPr>
          </w:p>
        </w:tc>
        <w:tc>
          <w:tcPr>
            <w:tcW w:w="1580" w:type="dxa"/>
            <w:vAlign w:val="bottom"/>
            <w:shd w:val="clear" w:color="auto" w:fill="D9D9D9"/>
          </w:tcPr>
          <w:p>
            <w:pPr>
              <w:spacing w:after="0"/>
              <w:rPr>
                <w:sz w:val="3"/>
                <w:szCs w:val="3"/>
                <w:color w:val="auto"/>
              </w:rPr>
            </w:pPr>
          </w:p>
        </w:tc>
        <w:tc>
          <w:tcPr>
            <w:tcW w:w="1380" w:type="dxa"/>
            <w:vAlign w:val="bottom"/>
            <w:vMerge w:val="continue"/>
            <w:shd w:val="clear" w:color="auto" w:fill="D9D9D9"/>
          </w:tcPr>
          <w:p>
            <w:pPr>
              <w:spacing w:after="0"/>
              <w:rPr>
                <w:sz w:val="3"/>
                <w:szCs w:val="3"/>
                <w:color w:val="auto"/>
              </w:rPr>
            </w:pPr>
          </w:p>
        </w:tc>
        <w:tc>
          <w:tcPr>
            <w:tcW w:w="1240" w:type="dxa"/>
            <w:vAlign w:val="bottom"/>
            <w:vMerge w:val="continue"/>
            <w:shd w:val="clear" w:color="auto" w:fill="D9D9D9"/>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660" w:type="dxa"/>
            <w:vAlign w:val="bottom"/>
            <w:tcBorders>
              <w:bottom w:val="single" w:sz="8" w:color="D9D9D9"/>
            </w:tcBorders>
            <w:vMerge w:val="continue"/>
            <w:shd w:val="clear" w:color="auto" w:fill="D9D9D9"/>
          </w:tcPr>
          <w:p>
            <w:pPr>
              <w:spacing w:after="0"/>
              <w:rPr>
                <w:sz w:val="18"/>
                <w:szCs w:val="18"/>
                <w:color w:val="auto"/>
              </w:rPr>
            </w:pPr>
          </w:p>
        </w:tc>
        <w:tc>
          <w:tcPr>
            <w:tcW w:w="120" w:type="dxa"/>
            <w:vAlign w:val="bottom"/>
            <w:tcBorders>
              <w:bottom w:val="single" w:sz="8" w:color="D9D9D9"/>
            </w:tcBorders>
            <w:shd w:val="clear" w:color="auto" w:fill="D9D9D9"/>
          </w:tcPr>
          <w:p>
            <w:pPr>
              <w:spacing w:after="0"/>
              <w:rPr>
                <w:sz w:val="18"/>
                <w:szCs w:val="18"/>
                <w:color w:val="auto"/>
              </w:rPr>
            </w:pPr>
          </w:p>
        </w:tc>
        <w:tc>
          <w:tcPr>
            <w:tcW w:w="1260" w:type="dxa"/>
            <w:vAlign w:val="bottom"/>
            <w:tcBorders>
              <w:bottom w:val="single" w:sz="8" w:color="D9D9D9"/>
            </w:tcBorders>
            <w:shd w:val="clear" w:color="auto" w:fill="D9D9D9"/>
          </w:tcPr>
          <w:p>
            <w:pPr>
              <w:spacing w:after="0"/>
              <w:rPr>
                <w:sz w:val="18"/>
                <w:szCs w:val="18"/>
                <w:color w:val="auto"/>
              </w:rPr>
            </w:pPr>
          </w:p>
        </w:tc>
        <w:tc>
          <w:tcPr>
            <w:tcW w:w="1580" w:type="dxa"/>
            <w:vAlign w:val="bottom"/>
            <w:tcBorders>
              <w:bottom w:val="single" w:sz="8" w:color="D9D9D9"/>
            </w:tcBorders>
            <w:shd w:val="clear" w:color="auto" w:fill="D9D9D9"/>
          </w:tcPr>
          <w:p>
            <w:pPr>
              <w:spacing w:after="0"/>
              <w:rPr>
                <w:sz w:val="18"/>
                <w:szCs w:val="18"/>
                <w:color w:val="auto"/>
              </w:rPr>
            </w:pPr>
          </w:p>
        </w:tc>
        <w:tc>
          <w:tcPr>
            <w:tcW w:w="1380" w:type="dxa"/>
            <w:vAlign w:val="bottom"/>
            <w:tcBorders>
              <w:bottom w:val="single" w:sz="8" w:color="D9D9D9"/>
            </w:tcBorders>
            <w:shd w:val="clear" w:color="auto" w:fill="D9D9D9"/>
          </w:tcPr>
          <w:p>
            <w:pPr>
              <w:jc w:val="right"/>
              <w:ind w:right="128"/>
              <w:spacing w:after="0"/>
              <w:rPr>
                <w:sz w:val="20"/>
                <w:szCs w:val="20"/>
                <w:color w:val="auto"/>
              </w:rPr>
            </w:pPr>
            <w:r>
              <w:rPr>
                <w:rFonts w:ascii="Arial" w:cs="Arial" w:eastAsia="Arial" w:hAnsi="Arial"/>
                <w:sz w:val="14"/>
                <w:szCs w:val="14"/>
                <w:color w:val="auto"/>
              </w:rPr>
              <w:t>4,524</w:t>
            </w:r>
          </w:p>
        </w:tc>
        <w:tc>
          <w:tcPr>
            <w:tcW w:w="124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14"/>
                <w:szCs w:val="14"/>
                <w:color w:val="auto"/>
              </w:rPr>
              <w:t>386,573</w:t>
            </w:r>
          </w:p>
        </w:tc>
        <w:tc>
          <w:tcPr>
            <w:tcW w:w="0" w:type="dxa"/>
            <w:vAlign w:val="bottom"/>
          </w:tcPr>
          <w:p>
            <w:pPr>
              <w:spacing w:after="0"/>
              <w:rPr>
                <w:sz w:val="1"/>
                <w:szCs w:val="1"/>
                <w:color w:val="auto"/>
              </w:rPr>
            </w:pPr>
          </w:p>
        </w:tc>
      </w:tr>
      <w:tr>
        <w:trPr>
          <w:trHeight w:val="180"/>
        </w:trPr>
        <w:tc>
          <w:tcPr>
            <w:tcW w:w="5660" w:type="dxa"/>
            <w:vAlign w:val="bottom"/>
          </w:tcPr>
          <w:p>
            <w:pPr>
              <w:spacing w:after="0"/>
              <w:rPr>
                <w:sz w:val="20"/>
                <w:szCs w:val="20"/>
                <w:color w:val="auto"/>
              </w:rPr>
            </w:pPr>
            <w:r>
              <w:rPr>
                <w:rFonts w:ascii="Arial" w:cs="Arial" w:eastAsia="Arial" w:hAnsi="Arial"/>
                <w:sz w:val="14"/>
                <w:szCs w:val="14"/>
                <w:color w:val="auto"/>
              </w:rPr>
              <w:t>Amy E. Dahl</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60" w:type="dxa"/>
            <w:vAlign w:val="bottom"/>
          </w:tcPr>
          <w:p>
            <w:pPr>
              <w:ind w:left="260"/>
              <w:spacing w:after="0"/>
              <w:rPr>
                <w:sz w:val="20"/>
                <w:szCs w:val="20"/>
                <w:color w:val="auto"/>
              </w:rPr>
            </w:pPr>
            <w:r>
              <w:rPr>
                <w:rFonts w:ascii="Arial" w:cs="Arial" w:eastAsia="Arial" w:hAnsi="Arial"/>
                <w:sz w:val="14"/>
                <w:szCs w:val="14"/>
                <w:color w:val="auto"/>
              </w:rPr>
              <w:t>Stock Option Exercises</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5,200</w:t>
            </w:r>
          </w:p>
        </w:tc>
        <w:tc>
          <w:tcPr>
            <w:tcW w:w="1580" w:type="dxa"/>
            <w:vAlign w:val="bottom"/>
          </w:tcPr>
          <w:p>
            <w:pPr>
              <w:jc w:val="right"/>
              <w:ind w:right="128"/>
              <w:spacing w:after="0"/>
              <w:rPr>
                <w:sz w:val="20"/>
                <w:szCs w:val="20"/>
                <w:color w:val="auto"/>
              </w:rPr>
            </w:pPr>
            <w:r>
              <w:rPr>
                <w:rFonts w:ascii="Arial" w:cs="Arial" w:eastAsia="Arial" w:hAnsi="Arial"/>
                <w:sz w:val="14"/>
                <w:szCs w:val="14"/>
                <w:color w:val="auto"/>
              </w:rPr>
              <w:t>348,127</w:t>
            </w: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60" w:type="dxa"/>
            <w:vAlign w:val="bottom"/>
          </w:tcPr>
          <w:p>
            <w:pPr>
              <w:ind w:left="260"/>
              <w:spacing w:after="0"/>
              <w:rPr>
                <w:sz w:val="20"/>
                <w:szCs w:val="20"/>
                <w:color w:val="auto"/>
              </w:rPr>
            </w:pPr>
            <w:r>
              <w:rPr>
                <w:rFonts w:ascii="Arial" w:cs="Arial" w:eastAsia="Arial" w:hAnsi="Arial"/>
                <w:sz w:val="14"/>
                <w:szCs w:val="14"/>
                <w:color w:val="auto"/>
              </w:rPr>
              <w:t>F20-F22 Performance Share Award Payout</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80" w:type="dxa"/>
            <w:vAlign w:val="bottom"/>
          </w:tcPr>
          <w:p>
            <w:pPr>
              <w:jc w:val="right"/>
              <w:ind w:right="128"/>
              <w:spacing w:after="0"/>
              <w:rPr>
                <w:sz w:val="20"/>
                <w:szCs w:val="20"/>
                <w:color w:val="auto"/>
              </w:rPr>
            </w:pPr>
            <w:r>
              <w:rPr>
                <w:rFonts w:ascii="Arial" w:cs="Arial" w:eastAsia="Arial" w:hAnsi="Arial"/>
                <w:sz w:val="14"/>
                <w:szCs w:val="14"/>
                <w:color w:val="auto"/>
              </w:rPr>
              <w:t>2,954</w:t>
            </w:r>
          </w:p>
        </w:tc>
        <w:tc>
          <w:tcPr>
            <w:tcW w:w="1240" w:type="dxa"/>
            <w:vAlign w:val="bottom"/>
          </w:tcPr>
          <w:p>
            <w:pPr>
              <w:jc w:val="right"/>
              <w:spacing w:after="0"/>
              <w:rPr>
                <w:sz w:val="20"/>
                <w:szCs w:val="20"/>
                <w:color w:val="auto"/>
              </w:rPr>
            </w:pPr>
            <w:r>
              <w:rPr>
                <w:rFonts w:ascii="Arial" w:cs="Arial" w:eastAsia="Arial" w:hAnsi="Arial"/>
                <w:sz w:val="14"/>
                <w:szCs w:val="14"/>
                <w:color w:val="auto"/>
              </w:rPr>
              <w:t>333,418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-2463165</wp:posOffset>
            </wp:positionV>
            <wp:extent cx="34632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632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wp:posOffset>
            </wp:positionV>
            <wp:extent cx="20402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18" w:lineRule="exact"/>
        <w:rPr>
          <w:sz w:val="20"/>
          <w:szCs w:val="20"/>
          <w:color w:val="auto"/>
        </w:rPr>
      </w:pPr>
    </w:p>
    <w:p>
      <w:pPr>
        <w:ind w:left="400" w:right="160" w:hanging="392"/>
        <w:spacing w:after="0" w:line="247" w:lineRule="auto"/>
        <w:tabs>
          <w:tab w:leader="none" w:pos="4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number of shares acquired upon exercise reflects the gross number of shares acquired absent any netting for shares surrendered to pay the option exercise price and/or satisfy tax withholding requirements. The value realized on exercise represents the gross number of shares acquired on exercise multiplied by the market price of our common stock on the exercise date, less the per share exercise price.</w:t>
      </w:r>
    </w:p>
    <w:p>
      <w:pPr>
        <w:spacing w:after="0" w:line="11" w:lineRule="exact"/>
        <w:rPr>
          <w:rFonts w:ascii="Arial" w:cs="Arial" w:eastAsia="Arial" w:hAnsi="Arial"/>
          <w:sz w:val="18"/>
          <w:szCs w:val="18"/>
          <w:color w:val="auto"/>
        </w:rPr>
      </w:pPr>
    </w:p>
    <w:p>
      <w:pPr>
        <w:ind w:left="400" w:right="20" w:hanging="392"/>
        <w:spacing w:after="0" w:line="239" w:lineRule="auto"/>
        <w:tabs>
          <w:tab w:leader="none" w:pos="4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number of shares acquired upon vesting reflects the gross number of shares acquired absent any netting of shares surrendered to satisfy tax withholding requirements. The value realized on vesting for performance share awards represents the gross number of shares acquired multiplied by the closing price of our common stock on December 21, 2022 (the payout date for the fiscal 2020 to fiscal 2022 performance share awards) of $112.87. The value of restricted stock units realized for Mr. Rodier represents the gross number of shares acquired multiplied by the closing price of our common stock on April 1, 2022 (the vesting date) of $86.50, and the gross number of shares acquired multiplied by the closing price of our common stock on May 19, 2022 (the vesting date) of $77.72. Amounts are not reduced to reflect any elections by our NEOs to defer receipt of performance share award payouts. Under the Deferred Plan for Officers, Ms. Dahl deferred receipt of 100% of her fiscal 2020 to fiscal 2022 performance share award payout. The material terms of the Deferred Plan for Officers are described under “Nonqualified Deferred Compensation for Fiscal 2022” set forth below.</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Nonqualified Deferred Compensation for Fiscal 2022</w:t>
      </w:r>
    </w:p>
    <w:p>
      <w:pPr>
        <w:spacing w:after="0" w:line="9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maintain three nonqualified deferred compensation plans in which our NEOs are eligible to participate.</w:t>
      </w:r>
    </w:p>
    <w:p>
      <w:pPr>
        <w:spacing w:after="0" w:line="104" w:lineRule="exact"/>
        <w:rPr>
          <w:sz w:val="20"/>
          <w:szCs w:val="20"/>
          <w:color w:val="auto"/>
        </w:rPr>
      </w:pPr>
    </w:p>
    <w:p>
      <w:pPr>
        <w:ind w:right="80" w:firstLine="401"/>
        <w:spacing w:after="0"/>
        <w:rPr>
          <w:sz w:val="20"/>
          <w:szCs w:val="20"/>
          <w:color w:val="auto"/>
        </w:rPr>
      </w:pPr>
      <w:r>
        <w:rPr>
          <w:rFonts w:ascii="Arial" w:cs="Arial" w:eastAsia="Arial" w:hAnsi="Arial"/>
          <w:sz w:val="18"/>
          <w:szCs w:val="18"/>
          <w:b w:val="1"/>
          <w:bCs w:val="1"/>
          <w:color w:val="auto"/>
        </w:rPr>
        <w:t xml:space="preserve">The Toro Company Deferred Compensation Plan. </w:t>
      </w:r>
      <w:r>
        <w:rPr>
          <w:rFonts w:ascii="Arial" w:cs="Arial" w:eastAsia="Arial" w:hAnsi="Arial"/>
          <w:sz w:val="18"/>
          <w:szCs w:val="18"/>
          <w:color w:val="auto"/>
        </w:rPr>
        <w:t>This plan allows a select group of management or highly compensated</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including our executive officers, to defer on a pre-tax basis his or her calendar year base salary and/or fiscal year annual cash incentive payout to a date in the future. Participants can defer up to 50% of calendar year base salary and up to 100% of the fiscal year annual cash incentive award payout. Deferred amounts are credited to a participant’s account and the participant may elect the deemed investment of such deferred amounts in an array of funds that are consistent with or comparable to funds provided in the Retirement Plan. Deferral elections are made on an annual basis, before the beginning of the new fiscal year. Participants must elect a distribution date that is at least two years later than the date the compensation otherwise would have been received. Participants elect the frequency of payments and the number of payments to receive at the time of distribution. Participants are always 100% vested in their accounts.</w:t>
      </w:r>
    </w:p>
    <w:p>
      <w:pPr>
        <w:spacing w:after="0" w:line="72" w:lineRule="exact"/>
        <w:rPr>
          <w:sz w:val="20"/>
          <w:szCs w:val="20"/>
          <w:color w:val="auto"/>
        </w:rPr>
      </w:pPr>
    </w:p>
    <w:p>
      <w:pPr>
        <w:ind w:right="80" w:firstLine="401"/>
        <w:spacing w:after="0"/>
        <w:rPr>
          <w:sz w:val="20"/>
          <w:szCs w:val="20"/>
          <w:color w:val="auto"/>
        </w:rPr>
      </w:pPr>
      <w:r>
        <w:rPr>
          <w:rFonts w:ascii="Arial" w:cs="Arial" w:eastAsia="Arial" w:hAnsi="Arial"/>
          <w:sz w:val="18"/>
          <w:szCs w:val="18"/>
          <w:b w:val="1"/>
          <w:bCs w:val="1"/>
          <w:color w:val="auto"/>
        </w:rPr>
        <w:t xml:space="preserve">The Toro Company Deferred Compensation Plan for Officers. </w:t>
      </w:r>
      <w:r>
        <w:rPr>
          <w:rFonts w:ascii="Arial" w:cs="Arial" w:eastAsia="Arial" w:hAnsi="Arial"/>
          <w:sz w:val="18"/>
          <w:szCs w:val="18"/>
          <w:color w:val="auto"/>
        </w:rPr>
        <w:t>This plan allows key employees that receive performance share</w:t>
      </w:r>
      <w:r>
        <w:rPr>
          <w:rFonts w:ascii="Arial" w:cs="Arial" w:eastAsia="Arial" w:hAnsi="Arial"/>
          <w:sz w:val="18"/>
          <w:szCs w:val="18"/>
          <w:b w:val="1"/>
          <w:bCs w:val="1"/>
          <w:color w:val="auto"/>
        </w:rPr>
        <w:t xml:space="preserve"> </w:t>
      </w:r>
      <w:r>
        <w:rPr>
          <w:rFonts w:ascii="Arial" w:cs="Arial" w:eastAsia="Arial" w:hAnsi="Arial"/>
          <w:sz w:val="18"/>
          <w:szCs w:val="18"/>
          <w:color w:val="auto"/>
        </w:rPr>
        <w:t>awards, including our executive officers, an opportunity to defer receipt of shares of our common stock paid out under such awards to a date in the future. Participants can defer up to 100% of the common stock payout. Each year, before the third fiscal year of the three-year performance period begins, participants are given the opportunity to elect to defer the receipt of those shares to some point in the future. Participants must elect a distribution date that is at least two years later than the date the shares would have been received. Participants elect the frequency of payment and the number of payments to receive at the time of distribution. Participants are always 100% vested in their deferred payout.</w:t>
      </w:r>
    </w:p>
    <w:p>
      <w:pPr>
        <w:spacing w:after="0" w:line="77" w:lineRule="exact"/>
        <w:rPr>
          <w:sz w:val="20"/>
          <w:szCs w:val="20"/>
          <w:color w:val="auto"/>
        </w:rPr>
      </w:pPr>
    </w:p>
    <w:p>
      <w:pPr>
        <w:ind w:firstLine="401"/>
        <w:spacing w:after="0" w:line="239" w:lineRule="auto"/>
        <w:rPr>
          <w:sz w:val="20"/>
          <w:szCs w:val="20"/>
          <w:color w:val="auto"/>
        </w:rPr>
      </w:pPr>
      <w:r>
        <w:rPr>
          <w:rFonts w:ascii="Arial" w:cs="Arial" w:eastAsia="Arial" w:hAnsi="Arial"/>
          <w:sz w:val="18"/>
          <w:szCs w:val="18"/>
          <w:b w:val="1"/>
          <w:bCs w:val="1"/>
          <w:color w:val="auto"/>
        </w:rPr>
        <w:t xml:space="preserve">The Toro Company Supplemental Benefit Plan. </w:t>
      </w:r>
      <w:r>
        <w:rPr>
          <w:rFonts w:ascii="Arial" w:cs="Arial" w:eastAsia="Arial" w:hAnsi="Arial"/>
          <w:sz w:val="18"/>
          <w:szCs w:val="18"/>
          <w:color w:val="auto"/>
        </w:rPr>
        <w:t>This plan is maintained for the purpose of providing to a select group of</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or highly compensated employees, including our executive officers, benefits in excess of the limitations on benefits and contributions imposed by Code Sections 401(a)(17) and 415. Our credits under this plan are made on a calendar year basis, usually in the first calendar quarter following the end of the prior calendar year. Amounts are credited to the Supplemental Benefit Plan for earnings above the compensation limit for all forms of employer contributions, which may include Company matching, investment savings and ESOP contribution amounts. For calendar year 2022, employer matching contributions and an investment savings contribution were made. Amounts credited are placed into a participant’s account and the participant may elect the deemed investment of such deferred amounts in an array of funds that are consistent with or comparable to funds provided in the Retirement Plan. Participants elect the funds into which these contributions are allocated, as well as the frequency of payments and the number of payments to receive. Participants are always 100% vested in their accounts.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EE"/>
        </w:rPr>
        <w:t>Table of Contents</w:t>
      </w:r>
    </w:p>
    <w:p>
      <w:pPr>
        <w:spacing w:after="0" w:line="103" w:lineRule="exact"/>
        <w:rPr>
          <w:sz w:val="20"/>
          <w:szCs w:val="20"/>
          <w:color w:val="auto"/>
        </w:rPr>
      </w:pPr>
    </w:p>
    <w:p>
      <w:pPr>
        <w:ind w:right="440" w:firstLine="401"/>
        <w:spacing w:after="0" w:line="271" w:lineRule="auto"/>
        <w:rPr>
          <w:sz w:val="20"/>
          <w:szCs w:val="20"/>
          <w:color w:val="auto"/>
        </w:rPr>
      </w:pPr>
      <w:r>
        <w:rPr>
          <w:rFonts w:ascii="Arial" w:cs="Arial" w:eastAsia="Arial" w:hAnsi="Arial"/>
          <w:sz w:val="18"/>
          <w:szCs w:val="18"/>
          <w:b w:val="1"/>
          <w:bCs w:val="1"/>
          <w:color w:val="auto"/>
        </w:rPr>
        <w:t xml:space="preserve">Nonqualified Deferred Compensation for Fiscal 2022 Table. </w:t>
      </w:r>
      <w:r>
        <w:rPr>
          <w:rFonts w:ascii="Arial" w:cs="Arial" w:eastAsia="Arial" w:hAnsi="Arial"/>
          <w:sz w:val="18"/>
          <w:szCs w:val="18"/>
          <w:color w:val="auto"/>
        </w:rPr>
        <w:t>The following table reflects any NEO contributions and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for fiscal 2022 to our nonqualified deferred compensation plans.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700" w:type="dxa"/>
            <w:vAlign w:val="bottom"/>
            <w:shd w:val="clear" w:color="auto" w:fill="C00000"/>
          </w:tcPr>
          <w:p>
            <w:pPr>
              <w:spacing w:after="0"/>
              <w:rPr>
                <w:sz w:val="14"/>
                <w:szCs w:val="14"/>
                <w:color w:val="auto"/>
              </w:rPr>
            </w:pPr>
          </w:p>
        </w:tc>
        <w:tc>
          <w:tcPr>
            <w:tcW w:w="1780" w:type="dxa"/>
            <w:vAlign w:val="bottom"/>
            <w:shd w:val="clear" w:color="auto" w:fill="C00000"/>
          </w:tcPr>
          <w:p>
            <w:pPr>
              <w:jc w:val="center"/>
              <w:ind w:left="89"/>
              <w:spacing w:after="0"/>
              <w:rPr>
                <w:sz w:val="20"/>
                <w:szCs w:val="20"/>
                <w:color w:val="auto"/>
              </w:rPr>
            </w:pPr>
            <w:r>
              <w:rPr>
                <w:rFonts w:ascii="Arial" w:cs="Arial" w:eastAsia="Arial" w:hAnsi="Arial"/>
                <w:sz w:val="14"/>
                <w:szCs w:val="14"/>
                <w:b w:val="1"/>
                <w:bCs w:val="1"/>
                <w:color w:val="FFFFFF"/>
              </w:rPr>
              <w:t>Executive</w:t>
            </w:r>
          </w:p>
        </w:tc>
        <w:tc>
          <w:tcPr>
            <w:tcW w:w="21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Registrant</w:t>
            </w:r>
          </w:p>
        </w:tc>
        <w:tc>
          <w:tcPr>
            <w:tcW w:w="1460" w:type="dxa"/>
            <w:vAlign w:val="bottom"/>
            <w:shd w:val="clear" w:color="auto" w:fill="C00000"/>
          </w:tcPr>
          <w:p>
            <w:pPr>
              <w:jc w:val="center"/>
              <w:ind w:right="189"/>
              <w:spacing w:after="0"/>
              <w:rPr>
                <w:sz w:val="20"/>
                <w:szCs w:val="20"/>
                <w:color w:val="auto"/>
              </w:rPr>
            </w:pPr>
            <w:r>
              <w:rPr>
                <w:rFonts w:ascii="Arial" w:cs="Arial" w:eastAsia="Arial" w:hAnsi="Arial"/>
                <w:sz w:val="14"/>
                <w:szCs w:val="14"/>
                <w:b w:val="1"/>
                <w:bCs w:val="1"/>
                <w:color w:val="FFFFFF"/>
              </w:rPr>
              <w:t>Aggregate</w:t>
            </w:r>
          </w:p>
        </w:tc>
        <w:tc>
          <w:tcPr>
            <w:tcW w:w="1240" w:type="dxa"/>
            <w:vAlign w:val="bottom"/>
            <w:shd w:val="clear" w:color="auto" w:fill="C00000"/>
          </w:tcPr>
          <w:p>
            <w:pPr>
              <w:jc w:val="center"/>
              <w:ind w:left="68"/>
              <w:spacing w:after="0"/>
              <w:rPr>
                <w:sz w:val="20"/>
                <w:szCs w:val="20"/>
                <w:color w:val="auto"/>
              </w:rPr>
            </w:pPr>
            <w:r>
              <w:rPr>
                <w:rFonts w:ascii="Arial" w:cs="Arial" w:eastAsia="Arial" w:hAnsi="Arial"/>
                <w:sz w:val="14"/>
                <w:szCs w:val="14"/>
                <w:b w:val="1"/>
                <w:bCs w:val="1"/>
                <w:color w:val="FFFFFF"/>
              </w:rPr>
              <w:t>Aggregate</w:t>
            </w:r>
          </w:p>
        </w:tc>
        <w:tc>
          <w:tcPr>
            <w:tcW w:w="480" w:type="dxa"/>
            <w:vAlign w:val="bottom"/>
            <w:shd w:val="clear" w:color="auto" w:fill="C00000"/>
          </w:tcPr>
          <w:p>
            <w:pPr>
              <w:spacing w:after="0"/>
              <w:rPr>
                <w:sz w:val="14"/>
                <w:szCs w:val="14"/>
                <w:color w:val="auto"/>
              </w:rPr>
            </w:pPr>
          </w:p>
        </w:tc>
        <w:tc>
          <w:tcPr>
            <w:tcW w:w="1440" w:type="dxa"/>
            <w:vAlign w:val="bottom"/>
            <w:shd w:val="clear" w:color="auto" w:fill="C00000"/>
          </w:tcPr>
          <w:p>
            <w:pPr>
              <w:jc w:val="center"/>
              <w:ind w:right="49"/>
              <w:spacing w:after="0"/>
              <w:rPr>
                <w:sz w:val="20"/>
                <w:szCs w:val="20"/>
                <w:color w:val="auto"/>
              </w:rPr>
            </w:pPr>
            <w:r>
              <w:rPr>
                <w:rFonts w:ascii="Arial" w:cs="Arial" w:eastAsia="Arial" w:hAnsi="Arial"/>
                <w:sz w:val="14"/>
                <w:szCs w:val="14"/>
                <w:b w:val="1"/>
                <w:bCs w:val="1"/>
                <w:color w:val="FFFFFF"/>
              </w:rPr>
              <w:t>Aggregate</w:t>
            </w:r>
          </w:p>
        </w:tc>
      </w:tr>
      <w:tr>
        <w:trPr>
          <w:trHeight w:val="157"/>
        </w:trPr>
        <w:tc>
          <w:tcPr>
            <w:tcW w:w="2700" w:type="dxa"/>
            <w:vAlign w:val="bottom"/>
            <w:shd w:val="clear" w:color="auto" w:fill="C00000"/>
          </w:tcPr>
          <w:p>
            <w:pPr>
              <w:spacing w:after="0"/>
              <w:rPr>
                <w:sz w:val="13"/>
                <w:szCs w:val="13"/>
                <w:color w:val="auto"/>
              </w:rPr>
            </w:pPr>
          </w:p>
        </w:tc>
        <w:tc>
          <w:tcPr>
            <w:tcW w:w="1780" w:type="dxa"/>
            <w:vAlign w:val="bottom"/>
            <w:shd w:val="clear" w:color="auto" w:fill="C00000"/>
          </w:tcPr>
          <w:p>
            <w:pPr>
              <w:jc w:val="center"/>
              <w:ind w:left="89"/>
              <w:spacing w:after="0" w:line="157" w:lineRule="exact"/>
              <w:rPr>
                <w:sz w:val="20"/>
                <w:szCs w:val="20"/>
                <w:color w:val="auto"/>
              </w:rPr>
            </w:pPr>
            <w:r>
              <w:rPr>
                <w:rFonts w:ascii="Arial" w:cs="Arial" w:eastAsia="Arial" w:hAnsi="Arial"/>
                <w:sz w:val="14"/>
                <w:szCs w:val="14"/>
                <w:b w:val="1"/>
                <w:bCs w:val="1"/>
                <w:color w:val="FFFFFF"/>
              </w:rPr>
              <w:t>Contributions</w:t>
            </w:r>
          </w:p>
        </w:tc>
        <w:tc>
          <w:tcPr>
            <w:tcW w:w="2140" w:type="dxa"/>
            <w:vAlign w:val="bottom"/>
            <w:shd w:val="clear" w:color="auto" w:fill="C00000"/>
          </w:tcPr>
          <w:p>
            <w:pPr>
              <w:jc w:val="center"/>
              <w:spacing w:after="0" w:line="157" w:lineRule="exact"/>
              <w:rPr>
                <w:sz w:val="20"/>
                <w:szCs w:val="20"/>
                <w:color w:val="auto"/>
              </w:rPr>
            </w:pPr>
            <w:r>
              <w:rPr>
                <w:rFonts w:ascii="Arial" w:cs="Arial" w:eastAsia="Arial" w:hAnsi="Arial"/>
                <w:sz w:val="14"/>
                <w:szCs w:val="14"/>
                <w:b w:val="1"/>
                <w:bCs w:val="1"/>
                <w:color w:val="FFFFFF"/>
              </w:rPr>
              <w:t>Contributions</w:t>
            </w:r>
          </w:p>
        </w:tc>
        <w:tc>
          <w:tcPr>
            <w:tcW w:w="1460" w:type="dxa"/>
            <w:vAlign w:val="bottom"/>
            <w:shd w:val="clear" w:color="auto" w:fill="C00000"/>
          </w:tcPr>
          <w:p>
            <w:pPr>
              <w:jc w:val="center"/>
              <w:ind w:right="209"/>
              <w:spacing w:after="0" w:line="157" w:lineRule="exact"/>
              <w:rPr>
                <w:sz w:val="20"/>
                <w:szCs w:val="20"/>
                <w:color w:val="auto"/>
              </w:rPr>
            </w:pPr>
            <w:r>
              <w:rPr>
                <w:rFonts w:ascii="Arial" w:cs="Arial" w:eastAsia="Arial" w:hAnsi="Arial"/>
                <w:sz w:val="14"/>
                <w:szCs w:val="14"/>
                <w:b w:val="1"/>
                <w:bCs w:val="1"/>
                <w:color w:val="FFFFFF"/>
              </w:rPr>
              <w:t>Earnings in</w:t>
            </w:r>
          </w:p>
        </w:tc>
        <w:tc>
          <w:tcPr>
            <w:tcW w:w="1240" w:type="dxa"/>
            <w:vAlign w:val="bottom"/>
            <w:shd w:val="clear" w:color="auto" w:fill="C00000"/>
          </w:tcPr>
          <w:p>
            <w:pPr>
              <w:jc w:val="center"/>
              <w:ind w:left="68"/>
              <w:spacing w:after="0" w:line="157" w:lineRule="exact"/>
              <w:rPr>
                <w:sz w:val="20"/>
                <w:szCs w:val="20"/>
                <w:color w:val="auto"/>
              </w:rPr>
            </w:pPr>
            <w:r>
              <w:rPr>
                <w:rFonts w:ascii="Arial" w:cs="Arial" w:eastAsia="Arial" w:hAnsi="Arial"/>
                <w:sz w:val="14"/>
                <w:szCs w:val="14"/>
                <w:b w:val="1"/>
                <w:bCs w:val="1"/>
                <w:color w:val="FFFFFF"/>
              </w:rPr>
              <w:t>Withdrawals/</w:t>
            </w:r>
          </w:p>
        </w:tc>
        <w:tc>
          <w:tcPr>
            <w:tcW w:w="480" w:type="dxa"/>
            <w:vAlign w:val="bottom"/>
            <w:shd w:val="clear" w:color="auto" w:fill="C00000"/>
          </w:tcPr>
          <w:p>
            <w:pPr>
              <w:spacing w:after="0"/>
              <w:rPr>
                <w:sz w:val="13"/>
                <w:szCs w:val="13"/>
                <w:color w:val="auto"/>
              </w:rPr>
            </w:pPr>
          </w:p>
        </w:tc>
        <w:tc>
          <w:tcPr>
            <w:tcW w:w="1440" w:type="dxa"/>
            <w:vAlign w:val="bottom"/>
            <w:shd w:val="clear" w:color="auto" w:fill="C00000"/>
          </w:tcPr>
          <w:p>
            <w:pPr>
              <w:jc w:val="center"/>
              <w:ind w:right="49"/>
              <w:spacing w:after="0" w:line="157" w:lineRule="exact"/>
              <w:rPr>
                <w:sz w:val="20"/>
                <w:szCs w:val="20"/>
                <w:color w:val="auto"/>
              </w:rPr>
            </w:pPr>
            <w:r>
              <w:rPr>
                <w:rFonts w:ascii="Arial" w:cs="Arial" w:eastAsia="Arial" w:hAnsi="Arial"/>
                <w:sz w:val="14"/>
                <w:szCs w:val="14"/>
                <w:b w:val="1"/>
                <w:bCs w:val="1"/>
                <w:color w:val="FFFFFF"/>
              </w:rPr>
              <w:t>Balance at</w:t>
            </w:r>
          </w:p>
        </w:tc>
      </w:tr>
      <w:tr>
        <w:trPr>
          <w:trHeight w:val="167"/>
        </w:trPr>
        <w:tc>
          <w:tcPr>
            <w:tcW w:w="2700" w:type="dxa"/>
            <w:vAlign w:val="bottom"/>
            <w:shd w:val="clear" w:color="auto" w:fill="C00000"/>
          </w:tcPr>
          <w:p>
            <w:pPr>
              <w:spacing w:after="0"/>
              <w:rPr>
                <w:sz w:val="14"/>
                <w:szCs w:val="14"/>
                <w:color w:val="auto"/>
              </w:rPr>
            </w:pPr>
          </w:p>
        </w:tc>
        <w:tc>
          <w:tcPr>
            <w:tcW w:w="1780" w:type="dxa"/>
            <w:vAlign w:val="bottom"/>
            <w:shd w:val="clear" w:color="auto" w:fill="C00000"/>
          </w:tcPr>
          <w:p>
            <w:pPr>
              <w:jc w:val="center"/>
              <w:ind w:left="109"/>
              <w:spacing w:after="0" w:line="167" w:lineRule="exact"/>
              <w:rPr>
                <w:sz w:val="20"/>
                <w:szCs w:val="20"/>
                <w:color w:val="auto"/>
              </w:rPr>
            </w:pPr>
            <w:r>
              <w:rPr>
                <w:rFonts w:ascii="Arial" w:cs="Arial" w:eastAsia="Arial" w:hAnsi="Arial"/>
                <w:sz w:val="12"/>
                <w:szCs w:val="12"/>
                <w:b w:val="1"/>
                <w:bCs w:val="1"/>
                <w:color w:val="FFFFFF"/>
              </w:rPr>
              <w:t>in Last FY</w:t>
            </w:r>
            <w:r>
              <w:rPr>
                <w:rFonts w:ascii="Arial" w:cs="Arial" w:eastAsia="Arial" w:hAnsi="Arial"/>
                <w:sz w:val="19"/>
                <w:szCs w:val="19"/>
                <w:b w:val="1"/>
                <w:bCs w:val="1"/>
                <w:color w:val="FFFFFF"/>
                <w:vertAlign w:val="superscript"/>
              </w:rPr>
              <w:t>(1)</w:t>
            </w:r>
          </w:p>
        </w:tc>
        <w:tc>
          <w:tcPr>
            <w:tcW w:w="2140" w:type="dxa"/>
            <w:vAlign w:val="bottom"/>
            <w:shd w:val="clear" w:color="auto" w:fill="C00000"/>
          </w:tcPr>
          <w:p>
            <w:pPr>
              <w:jc w:val="center"/>
              <w:spacing w:after="0" w:line="167" w:lineRule="exact"/>
              <w:rPr>
                <w:sz w:val="20"/>
                <w:szCs w:val="20"/>
                <w:color w:val="auto"/>
              </w:rPr>
            </w:pPr>
            <w:r>
              <w:rPr>
                <w:rFonts w:ascii="Arial" w:cs="Arial" w:eastAsia="Arial" w:hAnsi="Arial"/>
                <w:sz w:val="12"/>
                <w:szCs w:val="12"/>
                <w:b w:val="1"/>
                <w:bCs w:val="1"/>
                <w:color w:val="FFFFFF"/>
              </w:rPr>
              <w:t>in Last FY</w:t>
            </w:r>
            <w:r>
              <w:rPr>
                <w:rFonts w:ascii="Arial" w:cs="Arial" w:eastAsia="Arial" w:hAnsi="Arial"/>
                <w:sz w:val="19"/>
                <w:szCs w:val="19"/>
                <w:b w:val="1"/>
                <w:bCs w:val="1"/>
                <w:color w:val="FFFFFF"/>
                <w:vertAlign w:val="superscript"/>
              </w:rPr>
              <w:t>(2)</w:t>
            </w:r>
          </w:p>
        </w:tc>
        <w:tc>
          <w:tcPr>
            <w:tcW w:w="1460" w:type="dxa"/>
            <w:vAlign w:val="bottom"/>
            <w:shd w:val="clear" w:color="auto" w:fill="C00000"/>
          </w:tcPr>
          <w:p>
            <w:pPr>
              <w:jc w:val="center"/>
              <w:ind w:right="189"/>
              <w:spacing w:after="0" w:line="167" w:lineRule="exact"/>
              <w:rPr>
                <w:sz w:val="20"/>
                <w:szCs w:val="20"/>
                <w:color w:val="auto"/>
              </w:rPr>
            </w:pPr>
            <w:r>
              <w:rPr>
                <w:rFonts w:ascii="Arial" w:cs="Arial" w:eastAsia="Arial" w:hAnsi="Arial"/>
                <w:sz w:val="12"/>
                <w:szCs w:val="12"/>
                <w:b w:val="1"/>
                <w:bCs w:val="1"/>
                <w:color w:val="FFFFFF"/>
              </w:rPr>
              <w:t>Last FY</w:t>
            </w:r>
            <w:r>
              <w:rPr>
                <w:rFonts w:ascii="Arial" w:cs="Arial" w:eastAsia="Arial" w:hAnsi="Arial"/>
                <w:sz w:val="19"/>
                <w:szCs w:val="19"/>
                <w:b w:val="1"/>
                <w:bCs w:val="1"/>
                <w:color w:val="FFFFFF"/>
                <w:vertAlign w:val="superscript"/>
              </w:rPr>
              <w:t>(3)</w:t>
            </w:r>
          </w:p>
        </w:tc>
        <w:tc>
          <w:tcPr>
            <w:tcW w:w="1240" w:type="dxa"/>
            <w:vAlign w:val="bottom"/>
            <w:shd w:val="clear" w:color="auto" w:fill="C00000"/>
          </w:tcPr>
          <w:p>
            <w:pPr>
              <w:jc w:val="center"/>
              <w:ind w:left="68"/>
              <w:spacing w:after="0"/>
              <w:rPr>
                <w:sz w:val="20"/>
                <w:szCs w:val="20"/>
                <w:color w:val="auto"/>
              </w:rPr>
            </w:pPr>
            <w:r>
              <w:rPr>
                <w:rFonts w:ascii="Arial" w:cs="Arial" w:eastAsia="Arial" w:hAnsi="Arial"/>
                <w:sz w:val="14"/>
                <w:szCs w:val="14"/>
                <w:b w:val="1"/>
                <w:bCs w:val="1"/>
                <w:color w:val="FFFFFF"/>
              </w:rPr>
              <w:t>Distributions</w:t>
            </w:r>
          </w:p>
        </w:tc>
        <w:tc>
          <w:tcPr>
            <w:tcW w:w="480" w:type="dxa"/>
            <w:vAlign w:val="bottom"/>
            <w:shd w:val="clear" w:color="auto" w:fill="C00000"/>
          </w:tcPr>
          <w:p>
            <w:pPr>
              <w:spacing w:after="0"/>
              <w:rPr>
                <w:sz w:val="14"/>
                <w:szCs w:val="14"/>
                <w:color w:val="auto"/>
              </w:rPr>
            </w:pPr>
          </w:p>
        </w:tc>
        <w:tc>
          <w:tcPr>
            <w:tcW w:w="1440" w:type="dxa"/>
            <w:vAlign w:val="bottom"/>
            <w:shd w:val="clear" w:color="auto" w:fill="C00000"/>
          </w:tcPr>
          <w:p>
            <w:pPr>
              <w:jc w:val="center"/>
              <w:ind w:right="49"/>
              <w:spacing w:after="0" w:line="167" w:lineRule="exact"/>
              <w:rPr>
                <w:sz w:val="20"/>
                <w:szCs w:val="20"/>
                <w:color w:val="auto"/>
              </w:rPr>
            </w:pPr>
            <w:r>
              <w:rPr>
                <w:rFonts w:ascii="Arial" w:cs="Arial" w:eastAsia="Arial" w:hAnsi="Arial"/>
                <w:sz w:val="12"/>
                <w:szCs w:val="12"/>
                <w:b w:val="1"/>
                <w:bCs w:val="1"/>
                <w:color w:val="FFFFFF"/>
              </w:rPr>
              <w:t>Last FYE</w:t>
            </w:r>
            <w:r>
              <w:rPr>
                <w:rFonts w:ascii="Arial" w:cs="Arial" w:eastAsia="Arial" w:hAnsi="Arial"/>
                <w:sz w:val="19"/>
                <w:szCs w:val="19"/>
                <w:b w:val="1"/>
                <w:bCs w:val="1"/>
                <w:color w:val="FFFFFF"/>
                <w:vertAlign w:val="superscript"/>
              </w:rPr>
              <w:t>(4)</w:t>
            </w:r>
          </w:p>
        </w:tc>
      </w:tr>
      <w:tr>
        <w:trPr>
          <w:trHeight w:val="171"/>
        </w:trPr>
        <w:tc>
          <w:tcPr>
            <w:tcW w:w="270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Name</w:t>
            </w:r>
          </w:p>
        </w:tc>
        <w:tc>
          <w:tcPr>
            <w:tcW w:w="1780" w:type="dxa"/>
            <w:vAlign w:val="bottom"/>
            <w:shd w:val="clear" w:color="auto" w:fill="C00000"/>
          </w:tcPr>
          <w:p>
            <w:pPr>
              <w:jc w:val="center"/>
              <w:ind w:left="89"/>
              <w:spacing w:after="0"/>
              <w:rPr>
                <w:sz w:val="20"/>
                <w:szCs w:val="20"/>
                <w:color w:val="auto"/>
              </w:rPr>
            </w:pPr>
            <w:r>
              <w:rPr>
                <w:rFonts w:ascii="Arial" w:cs="Arial" w:eastAsia="Arial" w:hAnsi="Arial"/>
                <w:sz w:val="14"/>
                <w:szCs w:val="14"/>
                <w:b w:val="1"/>
                <w:bCs w:val="1"/>
                <w:color w:val="FFFFFF"/>
              </w:rPr>
              <w:t>($)</w:t>
            </w:r>
          </w:p>
        </w:tc>
        <w:tc>
          <w:tcPr>
            <w:tcW w:w="21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w:t>
            </w:r>
          </w:p>
        </w:tc>
        <w:tc>
          <w:tcPr>
            <w:tcW w:w="1460" w:type="dxa"/>
            <w:vAlign w:val="bottom"/>
            <w:shd w:val="clear" w:color="auto" w:fill="C00000"/>
          </w:tcPr>
          <w:p>
            <w:pPr>
              <w:jc w:val="center"/>
              <w:ind w:right="209"/>
              <w:spacing w:after="0"/>
              <w:rPr>
                <w:sz w:val="20"/>
                <w:szCs w:val="20"/>
                <w:color w:val="auto"/>
              </w:rPr>
            </w:pPr>
            <w:r>
              <w:rPr>
                <w:rFonts w:ascii="Arial" w:cs="Arial" w:eastAsia="Arial" w:hAnsi="Arial"/>
                <w:sz w:val="14"/>
                <w:szCs w:val="14"/>
                <w:b w:val="1"/>
                <w:bCs w:val="1"/>
                <w:color w:val="FFFFFF"/>
              </w:rPr>
              <w:t>($)</w:t>
            </w:r>
          </w:p>
        </w:tc>
        <w:tc>
          <w:tcPr>
            <w:tcW w:w="1240" w:type="dxa"/>
            <w:vAlign w:val="bottom"/>
            <w:shd w:val="clear" w:color="auto" w:fill="C00000"/>
          </w:tcPr>
          <w:p>
            <w:pPr>
              <w:jc w:val="center"/>
              <w:ind w:left="68"/>
              <w:spacing w:after="0"/>
              <w:rPr>
                <w:sz w:val="20"/>
                <w:szCs w:val="20"/>
                <w:color w:val="auto"/>
              </w:rPr>
            </w:pPr>
            <w:r>
              <w:rPr>
                <w:rFonts w:ascii="Arial" w:cs="Arial" w:eastAsia="Arial" w:hAnsi="Arial"/>
                <w:sz w:val="14"/>
                <w:szCs w:val="14"/>
                <w:b w:val="1"/>
                <w:bCs w:val="1"/>
                <w:color w:val="FFFFFF"/>
              </w:rPr>
              <w:t>($)</w:t>
            </w:r>
          </w:p>
        </w:tc>
        <w:tc>
          <w:tcPr>
            <w:tcW w:w="480" w:type="dxa"/>
            <w:vAlign w:val="bottom"/>
            <w:shd w:val="clear" w:color="auto" w:fill="C00000"/>
          </w:tcPr>
          <w:p>
            <w:pPr>
              <w:spacing w:after="0"/>
              <w:rPr>
                <w:sz w:val="14"/>
                <w:szCs w:val="14"/>
                <w:color w:val="auto"/>
              </w:rPr>
            </w:pPr>
          </w:p>
        </w:tc>
        <w:tc>
          <w:tcPr>
            <w:tcW w:w="1440" w:type="dxa"/>
            <w:vAlign w:val="bottom"/>
            <w:shd w:val="clear" w:color="auto" w:fill="C00000"/>
          </w:tcPr>
          <w:p>
            <w:pPr>
              <w:jc w:val="center"/>
              <w:ind w:right="29"/>
              <w:spacing w:after="0"/>
              <w:rPr>
                <w:sz w:val="20"/>
                <w:szCs w:val="20"/>
                <w:color w:val="auto"/>
              </w:rPr>
            </w:pPr>
            <w:r>
              <w:rPr>
                <w:rFonts w:ascii="Arial" w:cs="Arial" w:eastAsia="Arial" w:hAnsi="Arial"/>
                <w:sz w:val="14"/>
                <w:szCs w:val="14"/>
                <w:b w:val="1"/>
                <w:bCs w:val="1"/>
                <w:color w:val="FFFFFF"/>
              </w:rPr>
              <w:t>($)</w:t>
            </w:r>
          </w:p>
        </w:tc>
      </w:tr>
      <w:tr>
        <w:trPr>
          <w:trHeight w:val="208"/>
        </w:trPr>
        <w:tc>
          <w:tcPr>
            <w:tcW w:w="2700" w:type="dxa"/>
            <w:vAlign w:val="bottom"/>
          </w:tcPr>
          <w:p>
            <w:pPr>
              <w:spacing w:after="0"/>
              <w:rPr>
                <w:sz w:val="20"/>
                <w:szCs w:val="20"/>
                <w:color w:val="auto"/>
              </w:rPr>
            </w:pPr>
            <w:r>
              <w:rPr>
                <w:rFonts w:ascii="Arial" w:cs="Arial" w:eastAsia="Arial" w:hAnsi="Arial"/>
                <w:sz w:val="14"/>
                <w:szCs w:val="14"/>
                <w:color w:val="auto"/>
              </w:rPr>
              <w:t>Richard M. Olson</w:t>
            </w:r>
          </w:p>
        </w:tc>
        <w:tc>
          <w:tcPr>
            <w:tcW w:w="17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700" w:type="dxa"/>
            <w:vAlign w:val="bottom"/>
          </w:tcPr>
          <w:p>
            <w:pPr>
              <w:ind w:left="260"/>
              <w:spacing w:after="0"/>
              <w:rPr>
                <w:sz w:val="20"/>
                <w:szCs w:val="20"/>
                <w:color w:val="auto"/>
              </w:rPr>
            </w:pPr>
            <w:r>
              <w:rPr>
                <w:rFonts w:ascii="Arial" w:cs="Arial" w:eastAsia="Arial" w:hAnsi="Arial"/>
                <w:sz w:val="14"/>
                <w:szCs w:val="14"/>
                <w:color w:val="auto"/>
              </w:rPr>
              <w:t>Deferred Plan</w:t>
            </w:r>
          </w:p>
        </w:tc>
        <w:tc>
          <w:tcPr>
            <w:tcW w:w="1780" w:type="dxa"/>
            <w:vAlign w:val="bottom"/>
          </w:tcPr>
          <w:p>
            <w:pPr>
              <w:jc w:val="right"/>
              <w:spacing w:after="0"/>
              <w:rPr>
                <w:sz w:val="20"/>
                <w:szCs w:val="20"/>
                <w:color w:val="auto"/>
              </w:rPr>
            </w:pPr>
            <w:r>
              <w:rPr>
                <w:rFonts w:ascii="Arial" w:cs="Arial" w:eastAsia="Arial" w:hAnsi="Arial"/>
                <w:sz w:val="14"/>
                <w:szCs w:val="14"/>
                <w:color w:val="auto"/>
              </w:rPr>
              <w:t>0</w:t>
            </w:r>
          </w:p>
        </w:tc>
        <w:tc>
          <w:tcPr>
            <w:tcW w:w="2140" w:type="dxa"/>
            <w:vAlign w:val="bottom"/>
          </w:tcPr>
          <w:p>
            <w:pPr>
              <w:jc w:val="right"/>
              <w:ind w:right="149"/>
              <w:spacing w:after="0"/>
              <w:rPr>
                <w:sz w:val="20"/>
                <w:szCs w:val="20"/>
                <w:color w:val="auto"/>
              </w:rPr>
            </w:pPr>
            <w:r>
              <w:rPr>
                <w:rFonts w:ascii="Arial" w:cs="Arial" w:eastAsia="Arial" w:hAnsi="Arial"/>
                <w:sz w:val="14"/>
                <w:szCs w:val="14"/>
                <w:color w:val="auto"/>
              </w:rPr>
              <w:t>0</w:t>
            </w:r>
          </w:p>
        </w:tc>
        <w:tc>
          <w:tcPr>
            <w:tcW w:w="1460" w:type="dxa"/>
            <w:vAlign w:val="bottom"/>
          </w:tcPr>
          <w:p>
            <w:pPr>
              <w:jc w:val="right"/>
              <w:ind w:right="169"/>
              <w:spacing w:after="0"/>
              <w:rPr>
                <w:sz w:val="20"/>
                <w:szCs w:val="20"/>
                <w:color w:val="auto"/>
              </w:rPr>
            </w:pPr>
            <w:r>
              <w:rPr>
                <w:rFonts w:ascii="Arial" w:cs="Arial" w:eastAsia="Arial" w:hAnsi="Arial"/>
                <w:sz w:val="14"/>
                <w:szCs w:val="14"/>
                <w:color w:val="auto"/>
              </w:rPr>
              <w:t>(433,640)</w:t>
            </w:r>
          </w:p>
        </w:tc>
        <w:tc>
          <w:tcPr>
            <w:tcW w:w="1240" w:type="dxa"/>
            <w:vAlign w:val="bottom"/>
          </w:tcPr>
          <w:p>
            <w:pPr>
              <w:spacing w:after="0"/>
              <w:rPr>
                <w:sz w:val="18"/>
                <w:szCs w:val="18"/>
                <w:color w:val="auto"/>
              </w:rPr>
            </w:pPr>
          </w:p>
        </w:tc>
        <w:tc>
          <w:tcPr>
            <w:tcW w:w="48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1440" w:type="dxa"/>
            <w:vAlign w:val="bottom"/>
          </w:tcPr>
          <w:p>
            <w:pPr>
              <w:jc w:val="right"/>
              <w:spacing w:after="0"/>
              <w:rPr>
                <w:sz w:val="20"/>
                <w:szCs w:val="20"/>
                <w:color w:val="auto"/>
              </w:rPr>
            </w:pPr>
            <w:r>
              <w:rPr>
                <w:rFonts w:ascii="Arial" w:cs="Arial" w:eastAsia="Arial" w:hAnsi="Arial"/>
                <w:sz w:val="14"/>
                <w:szCs w:val="14"/>
                <w:color w:val="auto"/>
              </w:rPr>
              <w:t>1,519,508</w:t>
            </w:r>
          </w:p>
        </w:tc>
      </w:tr>
      <w:tr>
        <w:trPr>
          <w:trHeight w:val="216"/>
        </w:trPr>
        <w:tc>
          <w:tcPr>
            <w:tcW w:w="2700" w:type="dxa"/>
            <w:vAlign w:val="bottom"/>
          </w:tcPr>
          <w:p>
            <w:pPr>
              <w:ind w:left="260"/>
              <w:spacing w:after="0"/>
              <w:rPr>
                <w:sz w:val="20"/>
                <w:szCs w:val="20"/>
                <w:color w:val="auto"/>
              </w:rPr>
            </w:pPr>
            <w:r>
              <w:rPr>
                <w:rFonts w:ascii="Arial" w:cs="Arial" w:eastAsia="Arial" w:hAnsi="Arial"/>
                <w:sz w:val="14"/>
                <w:szCs w:val="14"/>
                <w:color w:val="auto"/>
              </w:rPr>
              <w:t>Deferred Plan for Officers</w:t>
            </w:r>
          </w:p>
        </w:tc>
        <w:tc>
          <w:tcPr>
            <w:tcW w:w="1780" w:type="dxa"/>
            <w:vAlign w:val="bottom"/>
          </w:tcPr>
          <w:p>
            <w:pPr>
              <w:jc w:val="right"/>
              <w:spacing w:after="0"/>
              <w:rPr>
                <w:sz w:val="20"/>
                <w:szCs w:val="20"/>
                <w:color w:val="auto"/>
              </w:rPr>
            </w:pPr>
            <w:r>
              <w:rPr>
                <w:rFonts w:ascii="Arial" w:cs="Arial" w:eastAsia="Arial" w:hAnsi="Arial"/>
                <w:sz w:val="14"/>
                <w:szCs w:val="14"/>
                <w:color w:val="auto"/>
              </w:rPr>
              <w:t>0</w:t>
            </w:r>
          </w:p>
        </w:tc>
        <w:tc>
          <w:tcPr>
            <w:tcW w:w="2140" w:type="dxa"/>
            <w:vAlign w:val="bottom"/>
          </w:tcPr>
          <w:p>
            <w:pPr>
              <w:jc w:val="right"/>
              <w:ind w:right="149"/>
              <w:spacing w:after="0"/>
              <w:rPr>
                <w:sz w:val="20"/>
                <w:szCs w:val="20"/>
                <w:color w:val="auto"/>
              </w:rPr>
            </w:pPr>
            <w:r>
              <w:rPr>
                <w:rFonts w:ascii="Arial" w:cs="Arial" w:eastAsia="Arial" w:hAnsi="Arial"/>
                <w:sz w:val="14"/>
                <w:szCs w:val="14"/>
                <w:color w:val="auto"/>
              </w:rPr>
              <w:t>0</w:t>
            </w:r>
          </w:p>
        </w:tc>
        <w:tc>
          <w:tcPr>
            <w:tcW w:w="1460" w:type="dxa"/>
            <w:vAlign w:val="bottom"/>
          </w:tcPr>
          <w:p>
            <w:pPr>
              <w:jc w:val="right"/>
              <w:ind w:right="169"/>
              <w:spacing w:after="0"/>
              <w:rPr>
                <w:sz w:val="20"/>
                <w:szCs w:val="20"/>
                <w:color w:val="auto"/>
              </w:rPr>
            </w:pPr>
            <w:r>
              <w:rPr>
                <w:rFonts w:ascii="Arial" w:cs="Arial" w:eastAsia="Arial" w:hAnsi="Arial"/>
                <w:sz w:val="14"/>
                <w:szCs w:val="14"/>
                <w:color w:val="auto"/>
              </w:rPr>
              <w:t>1,352,469</w:t>
            </w:r>
          </w:p>
        </w:tc>
        <w:tc>
          <w:tcPr>
            <w:tcW w:w="1240" w:type="dxa"/>
            <w:vAlign w:val="bottom"/>
          </w:tcPr>
          <w:p>
            <w:pPr>
              <w:spacing w:after="0"/>
              <w:rPr>
                <w:sz w:val="18"/>
                <w:szCs w:val="18"/>
                <w:color w:val="auto"/>
              </w:rPr>
            </w:pPr>
          </w:p>
        </w:tc>
        <w:tc>
          <w:tcPr>
            <w:tcW w:w="48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1440" w:type="dxa"/>
            <w:vAlign w:val="bottom"/>
          </w:tcPr>
          <w:p>
            <w:pPr>
              <w:jc w:val="right"/>
              <w:spacing w:after="0"/>
              <w:rPr>
                <w:sz w:val="20"/>
                <w:szCs w:val="20"/>
                <w:color w:val="auto"/>
              </w:rPr>
            </w:pPr>
            <w:r>
              <w:rPr>
                <w:rFonts w:ascii="Arial" w:cs="Arial" w:eastAsia="Arial" w:hAnsi="Arial"/>
                <w:sz w:val="14"/>
                <w:szCs w:val="14"/>
                <w:color w:val="auto"/>
              </w:rPr>
              <w:t>13,254,855</w:t>
            </w:r>
          </w:p>
        </w:tc>
      </w:tr>
      <w:tr>
        <w:trPr>
          <w:trHeight w:val="220"/>
        </w:trPr>
        <w:tc>
          <w:tcPr>
            <w:tcW w:w="2700" w:type="dxa"/>
            <w:vAlign w:val="bottom"/>
          </w:tcPr>
          <w:p>
            <w:pPr>
              <w:ind w:left="260"/>
              <w:spacing w:after="0"/>
              <w:rPr>
                <w:sz w:val="20"/>
                <w:szCs w:val="20"/>
                <w:color w:val="auto"/>
              </w:rPr>
            </w:pPr>
            <w:r>
              <w:rPr>
                <w:rFonts w:ascii="Arial" w:cs="Arial" w:eastAsia="Arial" w:hAnsi="Arial"/>
                <w:sz w:val="14"/>
                <w:szCs w:val="14"/>
                <w:color w:val="auto"/>
              </w:rPr>
              <w:t>Supplemental Benefit Plan</w:t>
            </w:r>
          </w:p>
        </w:tc>
        <w:tc>
          <w:tcPr>
            <w:tcW w:w="1780" w:type="dxa"/>
            <w:vAlign w:val="bottom"/>
          </w:tcPr>
          <w:p>
            <w:pPr>
              <w:jc w:val="right"/>
              <w:spacing w:after="0"/>
              <w:rPr>
                <w:sz w:val="20"/>
                <w:szCs w:val="20"/>
                <w:color w:val="auto"/>
              </w:rPr>
            </w:pPr>
            <w:r>
              <w:rPr>
                <w:rFonts w:ascii="Arial" w:cs="Arial" w:eastAsia="Arial" w:hAnsi="Arial"/>
                <w:sz w:val="14"/>
                <w:szCs w:val="14"/>
                <w:color w:val="auto"/>
              </w:rPr>
              <w:t>0</w:t>
            </w:r>
          </w:p>
        </w:tc>
        <w:tc>
          <w:tcPr>
            <w:tcW w:w="2140" w:type="dxa"/>
            <w:vAlign w:val="bottom"/>
          </w:tcPr>
          <w:p>
            <w:pPr>
              <w:jc w:val="right"/>
              <w:ind w:right="149"/>
              <w:spacing w:after="0"/>
              <w:rPr>
                <w:sz w:val="20"/>
                <w:szCs w:val="20"/>
                <w:color w:val="auto"/>
              </w:rPr>
            </w:pPr>
            <w:r>
              <w:rPr>
                <w:rFonts w:ascii="Arial" w:cs="Arial" w:eastAsia="Arial" w:hAnsi="Arial"/>
                <w:sz w:val="14"/>
                <w:szCs w:val="14"/>
                <w:color w:val="auto"/>
              </w:rPr>
              <w:t>194,281</w:t>
            </w:r>
          </w:p>
        </w:tc>
        <w:tc>
          <w:tcPr>
            <w:tcW w:w="1460" w:type="dxa"/>
            <w:vAlign w:val="bottom"/>
          </w:tcPr>
          <w:p>
            <w:pPr>
              <w:jc w:val="right"/>
              <w:ind w:right="169"/>
              <w:spacing w:after="0"/>
              <w:rPr>
                <w:sz w:val="20"/>
                <w:szCs w:val="20"/>
                <w:color w:val="auto"/>
              </w:rPr>
            </w:pPr>
            <w:r>
              <w:rPr>
                <w:rFonts w:ascii="Arial" w:cs="Arial" w:eastAsia="Arial" w:hAnsi="Arial"/>
                <w:sz w:val="14"/>
                <w:szCs w:val="14"/>
                <w:color w:val="auto"/>
              </w:rPr>
              <w:t>(266,437)</w:t>
            </w:r>
          </w:p>
        </w:tc>
        <w:tc>
          <w:tcPr>
            <w:tcW w:w="1240" w:type="dxa"/>
            <w:vAlign w:val="bottom"/>
          </w:tcPr>
          <w:p>
            <w:pPr>
              <w:spacing w:after="0"/>
              <w:rPr>
                <w:sz w:val="19"/>
                <w:szCs w:val="19"/>
                <w:color w:val="auto"/>
              </w:rPr>
            </w:pPr>
          </w:p>
        </w:tc>
        <w:tc>
          <w:tcPr>
            <w:tcW w:w="48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1440" w:type="dxa"/>
            <w:vAlign w:val="bottom"/>
          </w:tcPr>
          <w:p>
            <w:pPr>
              <w:jc w:val="right"/>
              <w:spacing w:after="0"/>
              <w:rPr>
                <w:sz w:val="20"/>
                <w:szCs w:val="20"/>
                <w:color w:val="auto"/>
              </w:rPr>
            </w:pPr>
            <w:r>
              <w:rPr>
                <w:rFonts w:ascii="Arial" w:cs="Arial" w:eastAsia="Arial" w:hAnsi="Arial"/>
                <w:sz w:val="14"/>
                <w:szCs w:val="14"/>
                <w:color w:val="auto"/>
              </w:rPr>
              <w:t>1,169,644</w:t>
            </w:r>
          </w:p>
        </w:tc>
      </w:tr>
      <w:tr>
        <w:trPr>
          <w:trHeight w:val="212"/>
        </w:trPr>
        <w:tc>
          <w:tcPr>
            <w:tcW w:w="2700" w:type="dxa"/>
            <w:vAlign w:val="bottom"/>
            <w:shd w:val="clear" w:color="auto" w:fill="D9D9D9"/>
          </w:tcPr>
          <w:p>
            <w:pPr>
              <w:spacing w:after="0"/>
              <w:rPr>
                <w:sz w:val="20"/>
                <w:szCs w:val="20"/>
                <w:color w:val="auto"/>
              </w:rPr>
            </w:pPr>
            <w:r>
              <w:rPr>
                <w:rFonts w:ascii="Arial" w:cs="Arial" w:eastAsia="Arial" w:hAnsi="Arial"/>
                <w:sz w:val="14"/>
                <w:szCs w:val="14"/>
                <w:color w:val="auto"/>
              </w:rPr>
              <w:t>Renee J. Peterson</w:t>
            </w:r>
          </w:p>
        </w:tc>
        <w:tc>
          <w:tcPr>
            <w:tcW w:w="1780" w:type="dxa"/>
            <w:vAlign w:val="bottom"/>
            <w:shd w:val="clear" w:color="auto" w:fill="D9D9D9"/>
          </w:tcPr>
          <w:p>
            <w:pPr>
              <w:spacing w:after="0"/>
              <w:rPr>
                <w:sz w:val="18"/>
                <w:szCs w:val="18"/>
                <w:color w:val="auto"/>
              </w:rPr>
            </w:pPr>
          </w:p>
        </w:tc>
        <w:tc>
          <w:tcPr>
            <w:tcW w:w="2140" w:type="dxa"/>
            <w:vAlign w:val="bottom"/>
            <w:shd w:val="clear" w:color="auto" w:fill="D9D9D9"/>
          </w:tcPr>
          <w:p>
            <w:pPr>
              <w:spacing w:after="0"/>
              <w:rPr>
                <w:sz w:val="18"/>
                <w:szCs w:val="18"/>
                <w:color w:val="auto"/>
              </w:rPr>
            </w:pPr>
          </w:p>
        </w:tc>
        <w:tc>
          <w:tcPr>
            <w:tcW w:w="1460" w:type="dxa"/>
            <w:vAlign w:val="bottom"/>
            <w:shd w:val="clear" w:color="auto" w:fill="D9D9D9"/>
          </w:tcPr>
          <w:p>
            <w:pPr>
              <w:spacing w:after="0"/>
              <w:rPr>
                <w:sz w:val="18"/>
                <w:szCs w:val="18"/>
                <w:color w:val="auto"/>
              </w:rPr>
            </w:pPr>
          </w:p>
        </w:tc>
        <w:tc>
          <w:tcPr>
            <w:tcW w:w="1240" w:type="dxa"/>
            <w:vAlign w:val="bottom"/>
            <w:shd w:val="clear" w:color="auto" w:fill="D9D9D9"/>
          </w:tcPr>
          <w:p>
            <w:pPr>
              <w:spacing w:after="0"/>
              <w:rPr>
                <w:sz w:val="18"/>
                <w:szCs w:val="18"/>
                <w:color w:val="auto"/>
              </w:rPr>
            </w:pPr>
          </w:p>
        </w:tc>
        <w:tc>
          <w:tcPr>
            <w:tcW w:w="480" w:type="dxa"/>
            <w:vAlign w:val="bottom"/>
            <w:shd w:val="clear" w:color="auto" w:fill="D9D9D9"/>
          </w:tcPr>
          <w:p>
            <w:pPr>
              <w:spacing w:after="0"/>
              <w:rPr>
                <w:sz w:val="18"/>
                <w:szCs w:val="18"/>
                <w:color w:val="auto"/>
              </w:rPr>
            </w:pPr>
          </w:p>
        </w:tc>
        <w:tc>
          <w:tcPr>
            <w:tcW w:w="1440" w:type="dxa"/>
            <w:vAlign w:val="bottom"/>
            <w:shd w:val="clear" w:color="auto" w:fill="D9D9D9"/>
          </w:tcPr>
          <w:p>
            <w:pPr>
              <w:spacing w:after="0"/>
              <w:rPr>
                <w:sz w:val="18"/>
                <w:szCs w:val="18"/>
                <w:color w:val="auto"/>
              </w:rPr>
            </w:pPr>
          </w:p>
        </w:tc>
      </w:tr>
      <w:tr>
        <w:trPr>
          <w:trHeight w:val="216"/>
        </w:trPr>
        <w:tc>
          <w:tcPr>
            <w:tcW w:w="2700" w:type="dxa"/>
            <w:vAlign w:val="bottom"/>
            <w:shd w:val="clear" w:color="auto" w:fill="D9D9D9"/>
          </w:tcPr>
          <w:p>
            <w:pPr>
              <w:ind w:left="260"/>
              <w:spacing w:after="0"/>
              <w:rPr>
                <w:sz w:val="20"/>
                <w:szCs w:val="20"/>
                <w:color w:val="auto"/>
              </w:rPr>
            </w:pPr>
            <w:r>
              <w:rPr>
                <w:rFonts w:ascii="Arial" w:cs="Arial" w:eastAsia="Arial" w:hAnsi="Arial"/>
                <w:sz w:val="14"/>
                <w:szCs w:val="14"/>
                <w:color w:val="auto"/>
              </w:rPr>
              <w:t>Deferred Plan</w:t>
            </w:r>
          </w:p>
        </w:tc>
        <w:tc>
          <w:tcPr>
            <w:tcW w:w="17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352,880</w:t>
            </w:r>
          </w:p>
        </w:tc>
        <w:tc>
          <w:tcPr>
            <w:tcW w:w="2140" w:type="dxa"/>
            <w:vAlign w:val="bottom"/>
            <w:shd w:val="clear" w:color="auto" w:fill="D9D9D9"/>
          </w:tcPr>
          <w:p>
            <w:pPr>
              <w:jc w:val="right"/>
              <w:ind w:right="149"/>
              <w:spacing w:after="0"/>
              <w:rPr>
                <w:sz w:val="20"/>
                <w:szCs w:val="20"/>
                <w:color w:val="auto"/>
              </w:rPr>
            </w:pPr>
            <w:r>
              <w:rPr>
                <w:rFonts w:ascii="Arial" w:cs="Arial" w:eastAsia="Arial" w:hAnsi="Arial"/>
                <w:sz w:val="14"/>
                <w:szCs w:val="14"/>
                <w:color w:val="auto"/>
              </w:rPr>
              <w:t>0</w:t>
            </w:r>
          </w:p>
        </w:tc>
        <w:tc>
          <w:tcPr>
            <w:tcW w:w="1460" w:type="dxa"/>
            <w:vAlign w:val="bottom"/>
            <w:shd w:val="clear" w:color="auto" w:fill="D9D9D9"/>
          </w:tcPr>
          <w:p>
            <w:pPr>
              <w:jc w:val="right"/>
              <w:ind w:right="169"/>
              <w:spacing w:after="0"/>
              <w:rPr>
                <w:sz w:val="20"/>
                <w:szCs w:val="20"/>
                <w:color w:val="auto"/>
              </w:rPr>
            </w:pPr>
            <w:r>
              <w:rPr>
                <w:rFonts w:ascii="Arial" w:cs="Arial" w:eastAsia="Arial" w:hAnsi="Arial"/>
                <w:sz w:val="14"/>
                <w:szCs w:val="14"/>
                <w:color w:val="auto"/>
              </w:rPr>
              <w:t>(867,659)</w:t>
            </w:r>
          </w:p>
        </w:tc>
        <w:tc>
          <w:tcPr>
            <w:tcW w:w="1240" w:type="dxa"/>
            <w:vAlign w:val="bottom"/>
            <w:shd w:val="clear" w:color="auto" w:fill="D9D9D9"/>
          </w:tcPr>
          <w:p>
            <w:pPr>
              <w:spacing w:after="0"/>
              <w:rPr>
                <w:sz w:val="18"/>
                <w:szCs w:val="18"/>
                <w:color w:val="auto"/>
              </w:rPr>
            </w:pPr>
          </w:p>
        </w:tc>
        <w:tc>
          <w:tcPr>
            <w:tcW w:w="480" w:type="dxa"/>
            <w:vAlign w:val="bottom"/>
            <w:shd w:val="clear" w:color="auto" w:fill="D9D9D9"/>
          </w:tcPr>
          <w:p>
            <w:pPr>
              <w:jc w:val="right"/>
              <w:ind w:right="208"/>
              <w:spacing w:after="0"/>
              <w:rPr>
                <w:sz w:val="20"/>
                <w:szCs w:val="20"/>
                <w:color w:val="auto"/>
              </w:rPr>
            </w:pPr>
            <w:r>
              <w:rPr>
                <w:rFonts w:ascii="Arial" w:cs="Arial" w:eastAsia="Arial" w:hAnsi="Arial"/>
                <w:sz w:val="14"/>
                <w:szCs w:val="14"/>
                <w:color w:val="auto"/>
              </w:rPr>
              <w:t>0</w:t>
            </w:r>
          </w:p>
        </w:tc>
        <w:tc>
          <w:tcPr>
            <w:tcW w:w="14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3,737,400</w:t>
            </w:r>
          </w:p>
        </w:tc>
      </w:tr>
      <w:tr>
        <w:trPr>
          <w:trHeight w:val="216"/>
        </w:trPr>
        <w:tc>
          <w:tcPr>
            <w:tcW w:w="2700" w:type="dxa"/>
            <w:vAlign w:val="bottom"/>
            <w:shd w:val="clear" w:color="auto" w:fill="D9D9D9"/>
          </w:tcPr>
          <w:p>
            <w:pPr>
              <w:ind w:left="260"/>
              <w:spacing w:after="0"/>
              <w:rPr>
                <w:sz w:val="20"/>
                <w:szCs w:val="20"/>
                <w:color w:val="auto"/>
              </w:rPr>
            </w:pPr>
            <w:r>
              <w:rPr>
                <w:rFonts w:ascii="Arial" w:cs="Arial" w:eastAsia="Arial" w:hAnsi="Arial"/>
                <w:sz w:val="14"/>
                <w:szCs w:val="14"/>
                <w:color w:val="auto"/>
              </w:rPr>
              <w:t>Deferred Plan for Officers</w:t>
            </w:r>
          </w:p>
        </w:tc>
        <w:tc>
          <w:tcPr>
            <w:tcW w:w="17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2140" w:type="dxa"/>
            <w:vAlign w:val="bottom"/>
            <w:shd w:val="clear" w:color="auto" w:fill="D9D9D9"/>
          </w:tcPr>
          <w:p>
            <w:pPr>
              <w:jc w:val="right"/>
              <w:ind w:right="149"/>
              <w:spacing w:after="0"/>
              <w:rPr>
                <w:sz w:val="20"/>
                <w:szCs w:val="20"/>
                <w:color w:val="auto"/>
              </w:rPr>
            </w:pPr>
            <w:r>
              <w:rPr>
                <w:rFonts w:ascii="Arial" w:cs="Arial" w:eastAsia="Arial" w:hAnsi="Arial"/>
                <w:sz w:val="14"/>
                <w:szCs w:val="14"/>
                <w:color w:val="auto"/>
              </w:rPr>
              <w:t>0</w:t>
            </w:r>
          </w:p>
        </w:tc>
        <w:tc>
          <w:tcPr>
            <w:tcW w:w="1460" w:type="dxa"/>
            <w:vAlign w:val="bottom"/>
            <w:shd w:val="clear" w:color="auto" w:fill="D9D9D9"/>
          </w:tcPr>
          <w:p>
            <w:pPr>
              <w:jc w:val="right"/>
              <w:ind w:right="169"/>
              <w:spacing w:after="0"/>
              <w:rPr>
                <w:sz w:val="20"/>
                <w:szCs w:val="20"/>
                <w:color w:val="auto"/>
              </w:rPr>
            </w:pPr>
            <w:r>
              <w:rPr>
                <w:rFonts w:ascii="Arial" w:cs="Arial" w:eastAsia="Arial" w:hAnsi="Arial"/>
                <w:sz w:val="14"/>
                <w:szCs w:val="14"/>
                <w:color w:val="auto"/>
              </w:rPr>
              <w:t>977,927</w:t>
            </w:r>
          </w:p>
        </w:tc>
        <w:tc>
          <w:tcPr>
            <w:tcW w:w="1240" w:type="dxa"/>
            <w:vAlign w:val="bottom"/>
            <w:shd w:val="clear" w:color="auto" w:fill="D9D9D9"/>
          </w:tcPr>
          <w:p>
            <w:pPr>
              <w:spacing w:after="0"/>
              <w:rPr>
                <w:sz w:val="18"/>
                <w:szCs w:val="18"/>
                <w:color w:val="auto"/>
              </w:rPr>
            </w:pPr>
          </w:p>
        </w:tc>
        <w:tc>
          <w:tcPr>
            <w:tcW w:w="480" w:type="dxa"/>
            <w:vAlign w:val="bottom"/>
            <w:shd w:val="clear" w:color="auto" w:fill="D9D9D9"/>
          </w:tcPr>
          <w:p>
            <w:pPr>
              <w:jc w:val="right"/>
              <w:ind w:right="208"/>
              <w:spacing w:after="0"/>
              <w:rPr>
                <w:sz w:val="20"/>
                <w:szCs w:val="20"/>
                <w:color w:val="auto"/>
              </w:rPr>
            </w:pPr>
            <w:r>
              <w:rPr>
                <w:rFonts w:ascii="Arial" w:cs="Arial" w:eastAsia="Arial" w:hAnsi="Arial"/>
                <w:sz w:val="14"/>
                <w:szCs w:val="14"/>
                <w:color w:val="auto"/>
              </w:rPr>
              <w:t>0</w:t>
            </w:r>
          </w:p>
        </w:tc>
        <w:tc>
          <w:tcPr>
            <w:tcW w:w="14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9,172,917</w:t>
            </w:r>
          </w:p>
        </w:tc>
      </w:tr>
      <w:tr>
        <w:trPr>
          <w:trHeight w:val="224"/>
        </w:trPr>
        <w:tc>
          <w:tcPr>
            <w:tcW w:w="2700" w:type="dxa"/>
            <w:vAlign w:val="bottom"/>
            <w:shd w:val="clear" w:color="auto" w:fill="D9D9D9"/>
          </w:tcPr>
          <w:p>
            <w:pPr>
              <w:ind w:left="260"/>
              <w:spacing w:after="0"/>
              <w:rPr>
                <w:sz w:val="20"/>
                <w:szCs w:val="20"/>
                <w:color w:val="auto"/>
              </w:rPr>
            </w:pPr>
            <w:r>
              <w:rPr>
                <w:rFonts w:ascii="Arial" w:cs="Arial" w:eastAsia="Arial" w:hAnsi="Arial"/>
                <w:sz w:val="14"/>
                <w:szCs w:val="14"/>
                <w:color w:val="auto"/>
              </w:rPr>
              <w:t>Supplemental Benefit Plan</w:t>
            </w:r>
          </w:p>
        </w:tc>
        <w:tc>
          <w:tcPr>
            <w:tcW w:w="17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2140" w:type="dxa"/>
            <w:vAlign w:val="bottom"/>
            <w:shd w:val="clear" w:color="auto" w:fill="D9D9D9"/>
          </w:tcPr>
          <w:p>
            <w:pPr>
              <w:jc w:val="right"/>
              <w:ind w:right="149"/>
              <w:spacing w:after="0"/>
              <w:rPr>
                <w:sz w:val="20"/>
                <w:szCs w:val="20"/>
                <w:color w:val="auto"/>
              </w:rPr>
            </w:pPr>
            <w:r>
              <w:rPr>
                <w:rFonts w:ascii="Arial" w:cs="Arial" w:eastAsia="Arial" w:hAnsi="Arial"/>
                <w:sz w:val="14"/>
                <w:szCs w:val="14"/>
                <w:color w:val="auto"/>
              </w:rPr>
              <w:t>69,072</w:t>
            </w:r>
          </w:p>
        </w:tc>
        <w:tc>
          <w:tcPr>
            <w:tcW w:w="1460" w:type="dxa"/>
            <w:vAlign w:val="bottom"/>
            <w:shd w:val="clear" w:color="auto" w:fill="D9D9D9"/>
          </w:tcPr>
          <w:p>
            <w:pPr>
              <w:jc w:val="right"/>
              <w:ind w:right="169"/>
              <w:spacing w:after="0"/>
              <w:rPr>
                <w:sz w:val="20"/>
                <w:szCs w:val="20"/>
                <w:color w:val="auto"/>
              </w:rPr>
            </w:pPr>
            <w:r>
              <w:rPr>
                <w:rFonts w:ascii="Arial" w:cs="Arial" w:eastAsia="Arial" w:hAnsi="Arial"/>
                <w:sz w:val="14"/>
                <w:szCs w:val="14"/>
                <w:color w:val="auto"/>
              </w:rPr>
              <w:t>(158,830)</w:t>
            </w:r>
          </w:p>
        </w:tc>
        <w:tc>
          <w:tcPr>
            <w:tcW w:w="1240" w:type="dxa"/>
            <w:vAlign w:val="bottom"/>
            <w:shd w:val="clear" w:color="auto" w:fill="D9D9D9"/>
          </w:tcPr>
          <w:p>
            <w:pPr>
              <w:spacing w:after="0"/>
              <w:rPr>
                <w:sz w:val="19"/>
                <w:szCs w:val="19"/>
                <w:color w:val="auto"/>
              </w:rPr>
            </w:pPr>
          </w:p>
        </w:tc>
        <w:tc>
          <w:tcPr>
            <w:tcW w:w="480" w:type="dxa"/>
            <w:vAlign w:val="bottom"/>
            <w:shd w:val="clear" w:color="auto" w:fill="D9D9D9"/>
          </w:tcPr>
          <w:p>
            <w:pPr>
              <w:jc w:val="right"/>
              <w:ind w:right="208"/>
              <w:spacing w:after="0"/>
              <w:rPr>
                <w:sz w:val="20"/>
                <w:szCs w:val="20"/>
                <w:color w:val="auto"/>
              </w:rPr>
            </w:pPr>
            <w:r>
              <w:rPr>
                <w:rFonts w:ascii="Arial" w:cs="Arial" w:eastAsia="Arial" w:hAnsi="Arial"/>
                <w:sz w:val="14"/>
                <w:szCs w:val="14"/>
                <w:color w:val="auto"/>
              </w:rPr>
              <w:t>0</w:t>
            </w:r>
          </w:p>
        </w:tc>
        <w:tc>
          <w:tcPr>
            <w:tcW w:w="14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698,220</w:t>
            </w:r>
          </w:p>
        </w:tc>
      </w:tr>
      <w:tr>
        <w:trPr>
          <w:trHeight w:val="208"/>
        </w:trPr>
        <w:tc>
          <w:tcPr>
            <w:tcW w:w="2700" w:type="dxa"/>
            <w:vAlign w:val="bottom"/>
          </w:tcPr>
          <w:p>
            <w:pPr>
              <w:spacing w:after="0"/>
              <w:rPr>
                <w:sz w:val="20"/>
                <w:szCs w:val="20"/>
                <w:color w:val="auto"/>
              </w:rPr>
            </w:pPr>
            <w:r>
              <w:rPr>
                <w:rFonts w:ascii="Arial" w:cs="Arial" w:eastAsia="Arial" w:hAnsi="Arial"/>
                <w:sz w:val="14"/>
                <w:szCs w:val="14"/>
                <w:color w:val="auto"/>
              </w:rPr>
              <w:t>Kevin N. Carpenter</w:t>
            </w:r>
          </w:p>
        </w:tc>
        <w:tc>
          <w:tcPr>
            <w:tcW w:w="17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700" w:type="dxa"/>
            <w:vAlign w:val="bottom"/>
          </w:tcPr>
          <w:p>
            <w:pPr>
              <w:ind w:left="260"/>
              <w:spacing w:after="0"/>
              <w:rPr>
                <w:sz w:val="20"/>
                <w:szCs w:val="20"/>
                <w:color w:val="auto"/>
              </w:rPr>
            </w:pPr>
            <w:r>
              <w:rPr>
                <w:rFonts w:ascii="Arial" w:cs="Arial" w:eastAsia="Arial" w:hAnsi="Arial"/>
                <w:sz w:val="14"/>
                <w:szCs w:val="14"/>
                <w:color w:val="auto"/>
              </w:rPr>
              <w:t>Deferred Plan</w:t>
            </w:r>
          </w:p>
        </w:tc>
        <w:tc>
          <w:tcPr>
            <w:tcW w:w="1780" w:type="dxa"/>
            <w:vAlign w:val="bottom"/>
          </w:tcPr>
          <w:p>
            <w:pPr>
              <w:jc w:val="right"/>
              <w:spacing w:after="0"/>
              <w:rPr>
                <w:sz w:val="20"/>
                <w:szCs w:val="20"/>
                <w:color w:val="auto"/>
              </w:rPr>
            </w:pPr>
            <w:r>
              <w:rPr>
                <w:rFonts w:ascii="Arial" w:cs="Arial" w:eastAsia="Arial" w:hAnsi="Arial"/>
                <w:sz w:val="14"/>
                <w:szCs w:val="14"/>
                <w:color w:val="auto"/>
              </w:rPr>
              <w:t>0</w:t>
            </w:r>
          </w:p>
        </w:tc>
        <w:tc>
          <w:tcPr>
            <w:tcW w:w="2140" w:type="dxa"/>
            <w:vAlign w:val="bottom"/>
          </w:tcPr>
          <w:p>
            <w:pPr>
              <w:jc w:val="right"/>
              <w:ind w:right="149"/>
              <w:spacing w:after="0"/>
              <w:rPr>
                <w:sz w:val="20"/>
                <w:szCs w:val="20"/>
                <w:color w:val="auto"/>
              </w:rPr>
            </w:pPr>
            <w:r>
              <w:rPr>
                <w:rFonts w:ascii="Arial" w:cs="Arial" w:eastAsia="Arial" w:hAnsi="Arial"/>
                <w:sz w:val="14"/>
                <w:szCs w:val="14"/>
                <w:color w:val="auto"/>
              </w:rPr>
              <w:t>0</w:t>
            </w:r>
          </w:p>
        </w:tc>
        <w:tc>
          <w:tcPr>
            <w:tcW w:w="146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1240" w:type="dxa"/>
            <w:vAlign w:val="bottom"/>
          </w:tcPr>
          <w:p>
            <w:pPr>
              <w:spacing w:after="0"/>
              <w:rPr>
                <w:sz w:val="18"/>
                <w:szCs w:val="18"/>
                <w:color w:val="auto"/>
              </w:rPr>
            </w:pPr>
          </w:p>
        </w:tc>
        <w:tc>
          <w:tcPr>
            <w:tcW w:w="48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14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216"/>
        </w:trPr>
        <w:tc>
          <w:tcPr>
            <w:tcW w:w="2700" w:type="dxa"/>
            <w:vAlign w:val="bottom"/>
          </w:tcPr>
          <w:p>
            <w:pPr>
              <w:ind w:left="260"/>
              <w:spacing w:after="0"/>
              <w:rPr>
                <w:sz w:val="20"/>
                <w:szCs w:val="20"/>
                <w:color w:val="auto"/>
              </w:rPr>
            </w:pPr>
            <w:r>
              <w:rPr>
                <w:rFonts w:ascii="Arial" w:cs="Arial" w:eastAsia="Arial" w:hAnsi="Arial"/>
                <w:sz w:val="14"/>
                <w:szCs w:val="14"/>
                <w:color w:val="auto"/>
              </w:rPr>
              <w:t>Deferred Plan for Officers</w:t>
            </w:r>
          </w:p>
        </w:tc>
        <w:tc>
          <w:tcPr>
            <w:tcW w:w="1780" w:type="dxa"/>
            <w:vAlign w:val="bottom"/>
          </w:tcPr>
          <w:p>
            <w:pPr>
              <w:jc w:val="right"/>
              <w:spacing w:after="0"/>
              <w:rPr>
                <w:sz w:val="20"/>
                <w:szCs w:val="20"/>
                <w:color w:val="auto"/>
              </w:rPr>
            </w:pPr>
            <w:r>
              <w:rPr>
                <w:rFonts w:ascii="Arial" w:cs="Arial" w:eastAsia="Arial" w:hAnsi="Arial"/>
                <w:sz w:val="14"/>
                <w:szCs w:val="14"/>
                <w:color w:val="auto"/>
              </w:rPr>
              <w:t>0</w:t>
            </w:r>
          </w:p>
        </w:tc>
        <w:tc>
          <w:tcPr>
            <w:tcW w:w="2140" w:type="dxa"/>
            <w:vAlign w:val="bottom"/>
          </w:tcPr>
          <w:p>
            <w:pPr>
              <w:jc w:val="right"/>
              <w:ind w:right="149"/>
              <w:spacing w:after="0"/>
              <w:rPr>
                <w:sz w:val="20"/>
                <w:szCs w:val="20"/>
                <w:color w:val="auto"/>
              </w:rPr>
            </w:pPr>
            <w:r>
              <w:rPr>
                <w:rFonts w:ascii="Arial" w:cs="Arial" w:eastAsia="Arial" w:hAnsi="Arial"/>
                <w:sz w:val="14"/>
                <w:szCs w:val="14"/>
                <w:color w:val="auto"/>
              </w:rPr>
              <w:t>0</w:t>
            </w:r>
          </w:p>
        </w:tc>
        <w:tc>
          <w:tcPr>
            <w:tcW w:w="146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1240" w:type="dxa"/>
            <w:vAlign w:val="bottom"/>
          </w:tcPr>
          <w:p>
            <w:pPr>
              <w:spacing w:after="0"/>
              <w:rPr>
                <w:sz w:val="18"/>
                <w:szCs w:val="18"/>
                <w:color w:val="auto"/>
              </w:rPr>
            </w:pPr>
          </w:p>
        </w:tc>
        <w:tc>
          <w:tcPr>
            <w:tcW w:w="48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14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220"/>
        </w:trPr>
        <w:tc>
          <w:tcPr>
            <w:tcW w:w="2700" w:type="dxa"/>
            <w:vAlign w:val="bottom"/>
          </w:tcPr>
          <w:p>
            <w:pPr>
              <w:ind w:left="260"/>
              <w:spacing w:after="0"/>
              <w:rPr>
                <w:sz w:val="20"/>
                <w:szCs w:val="20"/>
                <w:color w:val="auto"/>
              </w:rPr>
            </w:pPr>
            <w:r>
              <w:rPr>
                <w:rFonts w:ascii="Arial" w:cs="Arial" w:eastAsia="Arial" w:hAnsi="Arial"/>
                <w:sz w:val="14"/>
                <w:szCs w:val="14"/>
                <w:color w:val="auto"/>
              </w:rPr>
              <w:t>Supplemental Benefit Plan</w:t>
            </w:r>
          </w:p>
        </w:tc>
        <w:tc>
          <w:tcPr>
            <w:tcW w:w="1780" w:type="dxa"/>
            <w:vAlign w:val="bottom"/>
          </w:tcPr>
          <w:p>
            <w:pPr>
              <w:jc w:val="right"/>
              <w:spacing w:after="0"/>
              <w:rPr>
                <w:sz w:val="20"/>
                <w:szCs w:val="20"/>
                <w:color w:val="auto"/>
              </w:rPr>
            </w:pPr>
            <w:r>
              <w:rPr>
                <w:rFonts w:ascii="Arial" w:cs="Arial" w:eastAsia="Arial" w:hAnsi="Arial"/>
                <w:sz w:val="14"/>
                <w:szCs w:val="14"/>
                <w:color w:val="auto"/>
              </w:rPr>
              <w:t>0</w:t>
            </w:r>
          </w:p>
        </w:tc>
        <w:tc>
          <w:tcPr>
            <w:tcW w:w="2140" w:type="dxa"/>
            <w:vAlign w:val="bottom"/>
          </w:tcPr>
          <w:p>
            <w:pPr>
              <w:jc w:val="right"/>
              <w:ind w:right="149"/>
              <w:spacing w:after="0"/>
              <w:rPr>
                <w:sz w:val="20"/>
                <w:szCs w:val="20"/>
                <w:color w:val="auto"/>
              </w:rPr>
            </w:pPr>
            <w:r>
              <w:rPr>
                <w:rFonts w:ascii="Arial" w:cs="Arial" w:eastAsia="Arial" w:hAnsi="Arial"/>
                <w:sz w:val="14"/>
                <w:szCs w:val="14"/>
                <w:color w:val="auto"/>
              </w:rPr>
              <w:t>27,153</w:t>
            </w:r>
          </w:p>
        </w:tc>
        <w:tc>
          <w:tcPr>
            <w:tcW w:w="146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1240" w:type="dxa"/>
            <w:vAlign w:val="bottom"/>
          </w:tcPr>
          <w:p>
            <w:pPr>
              <w:spacing w:after="0"/>
              <w:rPr>
                <w:sz w:val="19"/>
                <w:szCs w:val="19"/>
                <w:color w:val="auto"/>
              </w:rPr>
            </w:pPr>
          </w:p>
        </w:tc>
        <w:tc>
          <w:tcPr>
            <w:tcW w:w="48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1440" w:type="dxa"/>
            <w:vAlign w:val="bottom"/>
          </w:tcPr>
          <w:p>
            <w:pPr>
              <w:jc w:val="right"/>
              <w:spacing w:after="0"/>
              <w:rPr>
                <w:sz w:val="20"/>
                <w:szCs w:val="20"/>
                <w:color w:val="auto"/>
              </w:rPr>
            </w:pPr>
            <w:r>
              <w:rPr>
                <w:rFonts w:ascii="Arial" w:cs="Arial" w:eastAsia="Arial" w:hAnsi="Arial"/>
                <w:sz w:val="14"/>
                <w:szCs w:val="14"/>
                <w:color w:val="auto"/>
              </w:rPr>
              <w:t>27,153</w:t>
            </w:r>
          </w:p>
        </w:tc>
      </w:tr>
      <w:tr>
        <w:trPr>
          <w:trHeight w:val="212"/>
        </w:trPr>
        <w:tc>
          <w:tcPr>
            <w:tcW w:w="2700" w:type="dxa"/>
            <w:vAlign w:val="bottom"/>
            <w:shd w:val="clear" w:color="auto" w:fill="D9D9D9"/>
          </w:tcPr>
          <w:p>
            <w:pPr>
              <w:spacing w:after="0"/>
              <w:rPr>
                <w:sz w:val="20"/>
                <w:szCs w:val="20"/>
                <w:color w:val="auto"/>
              </w:rPr>
            </w:pPr>
            <w:r>
              <w:rPr>
                <w:rFonts w:ascii="Arial" w:cs="Arial" w:eastAsia="Arial" w:hAnsi="Arial"/>
                <w:sz w:val="14"/>
                <w:szCs w:val="14"/>
                <w:color w:val="auto"/>
              </w:rPr>
              <w:t>Richard W. Rodier</w:t>
            </w:r>
          </w:p>
        </w:tc>
        <w:tc>
          <w:tcPr>
            <w:tcW w:w="1780" w:type="dxa"/>
            <w:vAlign w:val="bottom"/>
            <w:shd w:val="clear" w:color="auto" w:fill="D9D9D9"/>
          </w:tcPr>
          <w:p>
            <w:pPr>
              <w:spacing w:after="0"/>
              <w:rPr>
                <w:sz w:val="18"/>
                <w:szCs w:val="18"/>
                <w:color w:val="auto"/>
              </w:rPr>
            </w:pPr>
          </w:p>
        </w:tc>
        <w:tc>
          <w:tcPr>
            <w:tcW w:w="2140" w:type="dxa"/>
            <w:vAlign w:val="bottom"/>
            <w:shd w:val="clear" w:color="auto" w:fill="D9D9D9"/>
          </w:tcPr>
          <w:p>
            <w:pPr>
              <w:spacing w:after="0"/>
              <w:rPr>
                <w:sz w:val="18"/>
                <w:szCs w:val="18"/>
                <w:color w:val="auto"/>
              </w:rPr>
            </w:pPr>
          </w:p>
        </w:tc>
        <w:tc>
          <w:tcPr>
            <w:tcW w:w="1460" w:type="dxa"/>
            <w:vAlign w:val="bottom"/>
            <w:shd w:val="clear" w:color="auto" w:fill="D9D9D9"/>
          </w:tcPr>
          <w:p>
            <w:pPr>
              <w:spacing w:after="0"/>
              <w:rPr>
                <w:sz w:val="18"/>
                <w:szCs w:val="18"/>
                <w:color w:val="auto"/>
              </w:rPr>
            </w:pPr>
          </w:p>
        </w:tc>
        <w:tc>
          <w:tcPr>
            <w:tcW w:w="1240" w:type="dxa"/>
            <w:vAlign w:val="bottom"/>
            <w:shd w:val="clear" w:color="auto" w:fill="D9D9D9"/>
          </w:tcPr>
          <w:p>
            <w:pPr>
              <w:spacing w:after="0"/>
              <w:rPr>
                <w:sz w:val="18"/>
                <w:szCs w:val="18"/>
                <w:color w:val="auto"/>
              </w:rPr>
            </w:pPr>
          </w:p>
        </w:tc>
        <w:tc>
          <w:tcPr>
            <w:tcW w:w="480" w:type="dxa"/>
            <w:vAlign w:val="bottom"/>
            <w:shd w:val="clear" w:color="auto" w:fill="D9D9D9"/>
          </w:tcPr>
          <w:p>
            <w:pPr>
              <w:spacing w:after="0"/>
              <w:rPr>
                <w:sz w:val="18"/>
                <w:szCs w:val="18"/>
                <w:color w:val="auto"/>
              </w:rPr>
            </w:pPr>
          </w:p>
        </w:tc>
        <w:tc>
          <w:tcPr>
            <w:tcW w:w="1440" w:type="dxa"/>
            <w:vAlign w:val="bottom"/>
            <w:shd w:val="clear" w:color="auto" w:fill="D9D9D9"/>
          </w:tcPr>
          <w:p>
            <w:pPr>
              <w:spacing w:after="0"/>
              <w:rPr>
                <w:sz w:val="18"/>
                <w:szCs w:val="18"/>
                <w:color w:val="auto"/>
              </w:rPr>
            </w:pPr>
          </w:p>
        </w:tc>
      </w:tr>
      <w:tr>
        <w:trPr>
          <w:trHeight w:val="216"/>
        </w:trPr>
        <w:tc>
          <w:tcPr>
            <w:tcW w:w="2700" w:type="dxa"/>
            <w:vAlign w:val="bottom"/>
            <w:shd w:val="clear" w:color="auto" w:fill="D9D9D9"/>
          </w:tcPr>
          <w:p>
            <w:pPr>
              <w:ind w:left="260"/>
              <w:spacing w:after="0"/>
              <w:rPr>
                <w:sz w:val="20"/>
                <w:szCs w:val="20"/>
                <w:color w:val="auto"/>
              </w:rPr>
            </w:pPr>
            <w:r>
              <w:rPr>
                <w:rFonts w:ascii="Arial" w:cs="Arial" w:eastAsia="Arial" w:hAnsi="Arial"/>
                <w:sz w:val="14"/>
                <w:szCs w:val="14"/>
                <w:color w:val="auto"/>
              </w:rPr>
              <w:t>Deferred Plan</w:t>
            </w:r>
          </w:p>
        </w:tc>
        <w:tc>
          <w:tcPr>
            <w:tcW w:w="17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546,411</w:t>
            </w:r>
          </w:p>
        </w:tc>
        <w:tc>
          <w:tcPr>
            <w:tcW w:w="2140" w:type="dxa"/>
            <w:vAlign w:val="bottom"/>
            <w:shd w:val="clear" w:color="auto" w:fill="D9D9D9"/>
          </w:tcPr>
          <w:p>
            <w:pPr>
              <w:jc w:val="right"/>
              <w:ind w:right="149"/>
              <w:spacing w:after="0"/>
              <w:rPr>
                <w:sz w:val="20"/>
                <w:szCs w:val="20"/>
                <w:color w:val="auto"/>
              </w:rPr>
            </w:pPr>
            <w:r>
              <w:rPr>
                <w:rFonts w:ascii="Arial" w:cs="Arial" w:eastAsia="Arial" w:hAnsi="Arial"/>
                <w:sz w:val="14"/>
                <w:szCs w:val="14"/>
                <w:color w:val="auto"/>
              </w:rPr>
              <w:t>2,090</w:t>
            </w:r>
          </w:p>
        </w:tc>
        <w:tc>
          <w:tcPr>
            <w:tcW w:w="1460" w:type="dxa"/>
            <w:vAlign w:val="bottom"/>
            <w:shd w:val="clear" w:color="auto" w:fill="D9D9D9"/>
          </w:tcPr>
          <w:p>
            <w:pPr>
              <w:jc w:val="right"/>
              <w:ind w:right="169"/>
              <w:spacing w:after="0"/>
              <w:rPr>
                <w:sz w:val="20"/>
                <w:szCs w:val="20"/>
                <w:color w:val="auto"/>
              </w:rPr>
            </w:pPr>
            <w:r>
              <w:rPr>
                <w:rFonts w:ascii="Arial" w:cs="Arial" w:eastAsia="Arial" w:hAnsi="Arial"/>
                <w:sz w:val="14"/>
                <w:szCs w:val="14"/>
                <w:color w:val="auto"/>
              </w:rPr>
              <w:t>(454,909)</w:t>
            </w:r>
          </w:p>
        </w:tc>
        <w:tc>
          <w:tcPr>
            <w:tcW w:w="1240" w:type="dxa"/>
            <w:vAlign w:val="bottom"/>
            <w:shd w:val="clear" w:color="auto" w:fill="D9D9D9"/>
          </w:tcPr>
          <w:p>
            <w:pPr>
              <w:spacing w:after="0"/>
              <w:rPr>
                <w:sz w:val="18"/>
                <w:szCs w:val="18"/>
                <w:color w:val="auto"/>
              </w:rPr>
            </w:pPr>
          </w:p>
        </w:tc>
        <w:tc>
          <w:tcPr>
            <w:tcW w:w="480" w:type="dxa"/>
            <w:vAlign w:val="bottom"/>
            <w:shd w:val="clear" w:color="auto" w:fill="D9D9D9"/>
          </w:tcPr>
          <w:p>
            <w:pPr>
              <w:jc w:val="right"/>
              <w:ind w:right="208"/>
              <w:spacing w:after="0"/>
              <w:rPr>
                <w:sz w:val="20"/>
                <w:szCs w:val="20"/>
                <w:color w:val="auto"/>
              </w:rPr>
            </w:pPr>
            <w:r>
              <w:rPr>
                <w:rFonts w:ascii="Arial" w:cs="Arial" w:eastAsia="Arial" w:hAnsi="Arial"/>
                <w:sz w:val="14"/>
                <w:szCs w:val="14"/>
                <w:color w:val="auto"/>
              </w:rPr>
              <w:t>0</w:t>
            </w:r>
          </w:p>
        </w:tc>
        <w:tc>
          <w:tcPr>
            <w:tcW w:w="14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2,327,092</w:t>
            </w:r>
          </w:p>
        </w:tc>
      </w:tr>
      <w:tr>
        <w:trPr>
          <w:trHeight w:val="216"/>
        </w:trPr>
        <w:tc>
          <w:tcPr>
            <w:tcW w:w="2700" w:type="dxa"/>
            <w:vAlign w:val="bottom"/>
            <w:shd w:val="clear" w:color="auto" w:fill="D9D9D9"/>
          </w:tcPr>
          <w:p>
            <w:pPr>
              <w:ind w:left="260"/>
              <w:spacing w:after="0"/>
              <w:rPr>
                <w:sz w:val="20"/>
                <w:szCs w:val="20"/>
                <w:color w:val="auto"/>
              </w:rPr>
            </w:pPr>
            <w:r>
              <w:rPr>
                <w:rFonts w:ascii="Arial" w:cs="Arial" w:eastAsia="Arial" w:hAnsi="Arial"/>
                <w:sz w:val="14"/>
                <w:szCs w:val="14"/>
                <w:color w:val="auto"/>
              </w:rPr>
              <w:t>Deferred Plan for Officers</w:t>
            </w:r>
          </w:p>
        </w:tc>
        <w:tc>
          <w:tcPr>
            <w:tcW w:w="17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2140" w:type="dxa"/>
            <w:vAlign w:val="bottom"/>
            <w:shd w:val="clear" w:color="auto" w:fill="D9D9D9"/>
          </w:tcPr>
          <w:p>
            <w:pPr>
              <w:jc w:val="right"/>
              <w:ind w:right="149"/>
              <w:spacing w:after="0"/>
              <w:rPr>
                <w:sz w:val="20"/>
                <w:szCs w:val="20"/>
                <w:color w:val="auto"/>
              </w:rPr>
            </w:pPr>
            <w:r>
              <w:rPr>
                <w:rFonts w:ascii="Arial" w:cs="Arial" w:eastAsia="Arial" w:hAnsi="Arial"/>
                <w:sz w:val="14"/>
                <w:szCs w:val="14"/>
                <w:color w:val="auto"/>
              </w:rPr>
              <w:t>0</w:t>
            </w:r>
          </w:p>
        </w:tc>
        <w:tc>
          <w:tcPr>
            <w:tcW w:w="1460" w:type="dxa"/>
            <w:vAlign w:val="bottom"/>
            <w:shd w:val="clear" w:color="auto" w:fill="D9D9D9"/>
          </w:tcPr>
          <w:p>
            <w:pPr>
              <w:jc w:val="right"/>
              <w:ind w:right="169"/>
              <w:spacing w:after="0"/>
              <w:rPr>
                <w:sz w:val="20"/>
                <w:szCs w:val="20"/>
                <w:color w:val="auto"/>
              </w:rPr>
            </w:pPr>
            <w:r>
              <w:rPr>
                <w:rFonts w:ascii="Arial" w:cs="Arial" w:eastAsia="Arial" w:hAnsi="Arial"/>
                <w:sz w:val="14"/>
                <w:szCs w:val="14"/>
                <w:color w:val="auto"/>
              </w:rPr>
              <w:t>69,015</w:t>
            </w:r>
          </w:p>
        </w:tc>
        <w:tc>
          <w:tcPr>
            <w:tcW w:w="1240" w:type="dxa"/>
            <w:vAlign w:val="bottom"/>
            <w:shd w:val="clear" w:color="auto" w:fill="D9D9D9"/>
          </w:tcPr>
          <w:p>
            <w:pPr>
              <w:spacing w:after="0"/>
              <w:rPr>
                <w:sz w:val="18"/>
                <w:szCs w:val="18"/>
                <w:color w:val="auto"/>
              </w:rPr>
            </w:pPr>
          </w:p>
        </w:tc>
        <w:tc>
          <w:tcPr>
            <w:tcW w:w="480" w:type="dxa"/>
            <w:vAlign w:val="bottom"/>
            <w:shd w:val="clear" w:color="auto" w:fill="D9D9D9"/>
          </w:tcPr>
          <w:p>
            <w:pPr>
              <w:jc w:val="right"/>
              <w:ind w:right="208"/>
              <w:spacing w:after="0"/>
              <w:rPr>
                <w:sz w:val="20"/>
                <w:szCs w:val="20"/>
                <w:color w:val="auto"/>
              </w:rPr>
            </w:pPr>
            <w:r>
              <w:rPr>
                <w:rFonts w:ascii="Arial" w:cs="Arial" w:eastAsia="Arial" w:hAnsi="Arial"/>
                <w:sz w:val="14"/>
                <w:szCs w:val="14"/>
                <w:color w:val="auto"/>
              </w:rPr>
              <w:t>0</w:t>
            </w:r>
          </w:p>
        </w:tc>
        <w:tc>
          <w:tcPr>
            <w:tcW w:w="14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647,359</w:t>
            </w:r>
          </w:p>
        </w:tc>
      </w:tr>
      <w:tr>
        <w:trPr>
          <w:trHeight w:val="224"/>
        </w:trPr>
        <w:tc>
          <w:tcPr>
            <w:tcW w:w="2700" w:type="dxa"/>
            <w:vAlign w:val="bottom"/>
            <w:shd w:val="clear" w:color="auto" w:fill="D9D9D9"/>
          </w:tcPr>
          <w:p>
            <w:pPr>
              <w:ind w:left="260"/>
              <w:spacing w:after="0"/>
              <w:rPr>
                <w:sz w:val="20"/>
                <w:szCs w:val="20"/>
                <w:color w:val="auto"/>
              </w:rPr>
            </w:pPr>
            <w:r>
              <w:rPr>
                <w:rFonts w:ascii="Arial" w:cs="Arial" w:eastAsia="Arial" w:hAnsi="Arial"/>
                <w:sz w:val="14"/>
                <w:szCs w:val="14"/>
                <w:color w:val="auto"/>
              </w:rPr>
              <w:t>Supplemental Benefit Plan</w:t>
            </w:r>
          </w:p>
        </w:tc>
        <w:tc>
          <w:tcPr>
            <w:tcW w:w="17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2140" w:type="dxa"/>
            <w:vAlign w:val="bottom"/>
            <w:shd w:val="clear" w:color="auto" w:fill="D9D9D9"/>
          </w:tcPr>
          <w:p>
            <w:pPr>
              <w:jc w:val="right"/>
              <w:ind w:right="149"/>
              <w:spacing w:after="0"/>
              <w:rPr>
                <w:sz w:val="20"/>
                <w:szCs w:val="20"/>
                <w:color w:val="auto"/>
              </w:rPr>
            </w:pPr>
            <w:r>
              <w:rPr>
                <w:rFonts w:ascii="Arial" w:cs="Arial" w:eastAsia="Arial" w:hAnsi="Arial"/>
                <w:sz w:val="14"/>
                <w:szCs w:val="14"/>
                <w:color w:val="auto"/>
              </w:rPr>
              <w:t>56,484</w:t>
            </w:r>
          </w:p>
        </w:tc>
        <w:tc>
          <w:tcPr>
            <w:tcW w:w="1460" w:type="dxa"/>
            <w:vAlign w:val="bottom"/>
            <w:shd w:val="clear" w:color="auto" w:fill="D9D9D9"/>
          </w:tcPr>
          <w:p>
            <w:pPr>
              <w:jc w:val="right"/>
              <w:ind w:right="169"/>
              <w:spacing w:after="0"/>
              <w:rPr>
                <w:sz w:val="20"/>
                <w:szCs w:val="20"/>
                <w:color w:val="auto"/>
              </w:rPr>
            </w:pPr>
            <w:r>
              <w:rPr>
                <w:rFonts w:ascii="Arial" w:cs="Arial" w:eastAsia="Arial" w:hAnsi="Arial"/>
                <w:sz w:val="14"/>
                <w:szCs w:val="14"/>
                <w:color w:val="auto"/>
              </w:rPr>
              <w:t>(53,721)</w:t>
            </w:r>
          </w:p>
        </w:tc>
        <w:tc>
          <w:tcPr>
            <w:tcW w:w="1240" w:type="dxa"/>
            <w:vAlign w:val="bottom"/>
            <w:shd w:val="clear" w:color="auto" w:fill="D9D9D9"/>
          </w:tcPr>
          <w:p>
            <w:pPr>
              <w:spacing w:after="0"/>
              <w:rPr>
                <w:sz w:val="19"/>
                <w:szCs w:val="19"/>
                <w:color w:val="auto"/>
              </w:rPr>
            </w:pPr>
          </w:p>
        </w:tc>
        <w:tc>
          <w:tcPr>
            <w:tcW w:w="480" w:type="dxa"/>
            <w:vAlign w:val="bottom"/>
            <w:shd w:val="clear" w:color="auto" w:fill="D9D9D9"/>
          </w:tcPr>
          <w:p>
            <w:pPr>
              <w:jc w:val="right"/>
              <w:ind w:right="208"/>
              <w:spacing w:after="0"/>
              <w:rPr>
                <w:sz w:val="20"/>
                <w:szCs w:val="20"/>
                <w:color w:val="auto"/>
              </w:rPr>
            </w:pPr>
            <w:r>
              <w:rPr>
                <w:rFonts w:ascii="Arial" w:cs="Arial" w:eastAsia="Arial" w:hAnsi="Arial"/>
                <w:sz w:val="14"/>
                <w:szCs w:val="14"/>
                <w:color w:val="auto"/>
              </w:rPr>
              <w:t>0</w:t>
            </w:r>
          </w:p>
        </w:tc>
        <w:tc>
          <w:tcPr>
            <w:tcW w:w="14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320,923</w:t>
            </w:r>
          </w:p>
        </w:tc>
      </w:tr>
      <w:tr>
        <w:trPr>
          <w:trHeight w:val="208"/>
        </w:trPr>
        <w:tc>
          <w:tcPr>
            <w:tcW w:w="2700" w:type="dxa"/>
            <w:vAlign w:val="bottom"/>
          </w:tcPr>
          <w:p>
            <w:pPr>
              <w:spacing w:after="0"/>
              <w:rPr>
                <w:sz w:val="20"/>
                <w:szCs w:val="20"/>
                <w:color w:val="auto"/>
              </w:rPr>
            </w:pPr>
            <w:r>
              <w:rPr>
                <w:rFonts w:ascii="Arial" w:cs="Arial" w:eastAsia="Arial" w:hAnsi="Arial"/>
                <w:sz w:val="14"/>
                <w:szCs w:val="14"/>
                <w:color w:val="auto"/>
              </w:rPr>
              <w:t>Amy E. Dahl</w:t>
            </w:r>
          </w:p>
        </w:tc>
        <w:tc>
          <w:tcPr>
            <w:tcW w:w="17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700" w:type="dxa"/>
            <w:vAlign w:val="bottom"/>
          </w:tcPr>
          <w:p>
            <w:pPr>
              <w:ind w:left="260"/>
              <w:spacing w:after="0"/>
              <w:rPr>
                <w:sz w:val="20"/>
                <w:szCs w:val="20"/>
                <w:color w:val="auto"/>
              </w:rPr>
            </w:pPr>
            <w:r>
              <w:rPr>
                <w:rFonts w:ascii="Arial" w:cs="Arial" w:eastAsia="Arial" w:hAnsi="Arial"/>
                <w:sz w:val="14"/>
                <w:szCs w:val="14"/>
                <w:color w:val="auto"/>
              </w:rPr>
              <w:t>Deferred Plan</w:t>
            </w:r>
          </w:p>
        </w:tc>
        <w:tc>
          <w:tcPr>
            <w:tcW w:w="1780" w:type="dxa"/>
            <w:vAlign w:val="bottom"/>
          </w:tcPr>
          <w:p>
            <w:pPr>
              <w:jc w:val="right"/>
              <w:spacing w:after="0"/>
              <w:rPr>
                <w:sz w:val="20"/>
                <w:szCs w:val="20"/>
                <w:color w:val="auto"/>
              </w:rPr>
            </w:pPr>
            <w:r>
              <w:rPr>
                <w:rFonts w:ascii="Arial" w:cs="Arial" w:eastAsia="Arial" w:hAnsi="Arial"/>
                <w:sz w:val="14"/>
                <w:szCs w:val="14"/>
                <w:color w:val="auto"/>
              </w:rPr>
              <w:t>326,420</w:t>
            </w:r>
          </w:p>
        </w:tc>
        <w:tc>
          <w:tcPr>
            <w:tcW w:w="2140" w:type="dxa"/>
            <w:vAlign w:val="bottom"/>
          </w:tcPr>
          <w:p>
            <w:pPr>
              <w:jc w:val="right"/>
              <w:ind w:right="149"/>
              <w:spacing w:after="0"/>
              <w:rPr>
                <w:sz w:val="20"/>
                <w:szCs w:val="20"/>
                <w:color w:val="auto"/>
              </w:rPr>
            </w:pPr>
            <w:r>
              <w:rPr>
                <w:rFonts w:ascii="Arial" w:cs="Arial" w:eastAsia="Arial" w:hAnsi="Arial"/>
                <w:sz w:val="14"/>
                <w:szCs w:val="14"/>
                <w:color w:val="auto"/>
              </w:rPr>
              <w:t>0</w:t>
            </w:r>
          </w:p>
        </w:tc>
        <w:tc>
          <w:tcPr>
            <w:tcW w:w="1460" w:type="dxa"/>
            <w:vAlign w:val="bottom"/>
          </w:tcPr>
          <w:p>
            <w:pPr>
              <w:jc w:val="right"/>
              <w:ind w:right="169"/>
              <w:spacing w:after="0"/>
              <w:rPr>
                <w:sz w:val="20"/>
                <w:szCs w:val="20"/>
                <w:color w:val="auto"/>
              </w:rPr>
            </w:pPr>
            <w:r>
              <w:rPr>
                <w:rFonts w:ascii="Arial" w:cs="Arial" w:eastAsia="Arial" w:hAnsi="Arial"/>
                <w:sz w:val="14"/>
                <w:szCs w:val="14"/>
                <w:color w:val="auto"/>
              </w:rPr>
              <w:t>(160,668)</w:t>
            </w:r>
          </w:p>
        </w:tc>
        <w:tc>
          <w:tcPr>
            <w:tcW w:w="1240" w:type="dxa"/>
            <w:vAlign w:val="bottom"/>
          </w:tcPr>
          <w:p>
            <w:pPr>
              <w:spacing w:after="0"/>
              <w:rPr>
                <w:sz w:val="18"/>
                <w:szCs w:val="18"/>
                <w:color w:val="auto"/>
              </w:rPr>
            </w:pPr>
          </w:p>
        </w:tc>
        <w:tc>
          <w:tcPr>
            <w:tcW w:w="48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1440" w:type="dxa"/>
            <w:vAlign w:val="bottom"/>
          </w:tcPr>
          <w:p>
            <w:pPr>
              <w:jc w:val="right"/>
              <w:spacing w:after="0"/>
              <w:rPr>
                <w:sz w:val="20"/>
                <w:szCs w:val="20"/>
                <w:color w:val="auto"/>
              </w:rPr>
            </w:pPr>
            <w:r>
              <w:rPr>
                <w:rFonts w:ascii="Arial" w:cs="Arial" w:eastAsia="Arial" w:hAnsi="Arial"/>
                <w:sz w:val="14"/>
                <w:szCs w:val="14"/>
                <w:color w:val="auto"/>
              </w:rPr>
              <w:t>1,041,912</w:t>
            </w:r>
          </w:p>
        </w:tc>
      </w:tr>
      <w:tr>
        <w:trPr>
          <w:trHeight w:val="216"/>
        </w:trPr>
        <w:tc>
          <w:tcPr>
            <w:tcW w:w="2700" w:type="dxa"/>
            <w:vAlign w:val="bottom"/>
          </w:tcPr>
          <w:p>
            <w:pPr>
              <w:ind w:left="260"/>
              <w:spacing w:after="0"/>
              <w:rPr>
                <w:sz w:val="20"/>
                <w:szCs w:val="20"/>
                <w:color w:val="auto"/>
              </w:rPr>
            </w:pPr>
            <w:r>
              <w:rPr>
                <w:rFonts w:ascii="Arial" w:cs="Arial" w:eastAsia="Arial" w:hAnsi="Arial"/>
                <w:sz w:val="14"/>
                <w:szCs w:val="14"/>
                <w:color w:val="auto"/>
              </w:rPr>
              <w:t>Deferred Plan for Officers</w:t>
            </w:r>
          </w:p>
        </w:tc>
        <w:tc>
          <w:tcPr>
            <w:tcW w:w="1780" w:type="dxa"/>
            <w:vAlign w:val="bottom"/>
          </w:tcPr>
          <w:p>
            <w:pPr>
              <w:jc w:val="right"/>
              <w:spacing w:after="0"/>
              <w:rPr>
                <w:sz w:val="20"/>
                <w:szCs w:val="20"/>
                <w:color w:val="auto"/>
              </w:rPr>
            </w:pPr>
            <w:r>
              <w:rPr>
                <w:rFonts w:ascii="Arial" w:cs="Arial" w:eastAsia="Arial" w:hAnsi="Arial"/>
                <w:sz w:val="14"/>
                <w:szCs w:val="14"/>
                <w:color w:val="auto"/>
              </w:rPr>
              <w:t>333,418</w:t>
            </w:r>
          </w:p>
        </w:tc>
        <w:tc>
          <w:tcPr>
            <w:tcW w:w="2140" w:type="dxa"/>
            <w:vAlign w:val="bottom"/>
          </w:tcPr>
          <w:p>
            <w:pPr>
              <w:jc w:val="right"/>
              <w:ind w:right="149"/>
              <w:spacing w:after="0"/>
              <w:rPr>
                <w:sz w:val="20"/>
                <w:szCs w:val="20"/>
                <w:color w:val="auto"/>
              </w:rPr>
            </w:pPr>
            <w:r>
              <w:rPr>
                <w:rFonts w:ascii="Arial" w:cs="Arial" w:eastAsia="Arial" w:hAnsi="Arial"/>
                <w:sz w:val="14"/>
                <w:szCs w:val="14"/>
                <w:color w:val="auto"/>
              </w:rPr>
              <w:t>0</w:t>
            </w:r>
          </w:p>
        </w:tc>
        <w:tc>
          <w:tcPr>
            <w:tcW w:w="1460" w:type="dxa"/>
            <w:vAlign w:val="bottom"/>
          </w:tcPr>
          <w:p>
            <w:pPr>
              <w:jc w:val="right"/>
              <w:ind w:right="169"/>
              <w:spacing w:after="0"/>
              <w:rPr>
                <w:sz w:val="20"/>
                <w:szCs w:val="20"/>
                <w:color w:val="auto"/>
              </w:rPr>
            </w:pPr>
            <w:r>
              <w:rPr>
                <w:rFonts w:ascii="Arial" w:cs="Arial" w:eastAsia="Arial" w:hAnsi="Arial"/>
                <w:sz w:val="14"/>
                <w:szCs w:val="14"/>
                <w:color w:val="auto"/>
              </w:rPr>
              <w:t>81,342</w:t>
            </w:r>
          </w:p>
        </w:tc>
        <w:tc>
          <w:tcPr>
            <w:tcW w:w="1240" w:type="dxa"/>
            <w:vAlign w:val="bottom"/>
          </w:tcPr>
          <w:p>
            <w:pPr>
              <w:spacing w:after="0"/>
              <w:rPr>
                <w:sz w:val="18"/>
                <w:szCs w:val="18"/>
                <w:color w:val="auto"/>
              </w:rPr>
            </w:pPr>
          </w:p>
        </w:tc>
        <w:tc>
          <w:tcPr>
            <w:tcW w:w="48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1440" w:type="dxa"/>
            <w:vAlign w:val="bottom"/>
          </w:tcPr>
          <w:p>
            <w:pPr>
              <w:jc w:val="right"/>
              <w:spacing w:after="0"/>
              <w:rPr>
                <w:sz w:val="20"/>
                <w:szCs w:val="20"/>
                <w:color w:val="auto"/>
              </w:rPr>
            </w:pPr>
            <w:r>
              <w:rPr>
                <w:rFonts w:ascii="Arial" w:cs="Arial" w:eastAsia="Arial" w:hAnsi="Arial"/>
                <w:sz w:val="14"/>
                <w:szCs w:val="14"/>
                <w:color w:val="auto"/>
              </w:rPr>
              <w:t>1,096,406</w:t>
            </w:r>
          </w:p>
        </w:tc>
      </w:tr>
      <w:tr>
        <w:trPr>
          <w:trHeight w:val="216"/>
        </w:trPr>
        <w:tc>
          <w:tcPr>
            <w:tcW w:w="2700" w:type="dxa"/>
            <w:vAlign w:val="bottom"/>
          </w:tcPr>
          <w:p>
            <w:pPr>
              <w:ind w:left="260"/>
              <w:spacing w:after="0"/>
              <w:rPr>
                <w:sz w:val="20"/>
                <w:szCs w:val="20"/>
                <w:color w:val="auto"/>
              </w:rPr>
            </w:pPr>
            <w:r>
              <w:rPr>
                <w:rFonts w:ascii="Arial" w:cs="Arial" w:eastAsia="Arial" w:hAnsi="Arial"/>
                <w:sz w:val="14"/>
                <w:szCs w:val="14"/>
                <w:color w:val="auto"/>
              </w:rPr>
              <w:t>Supplemental Benefit Plan</w:t>
            </w:r>
          </w:p>
        </w:tc>
        <w:tc>
          <w:tcPr>
            <w:tcW w:w="1780" w:type="dxa"/>
            <w:vAlign w:val="bottom"/>
          </w:tcPr>
          <w:p>
            <w:pPr>
              <w:jc w:val="right"/>
              <w:spacing w:after="0"/>
              <w:rPr>
                <w:sz w:val="20"/>
                <w:szCs w:val="20"/>
                <w:color w:val="auto"/>
              </w:rPr>
            </w:pPr>
            <w:r>
              <w:rPr>
                <w:rFonts w:ascii="Arial" w:cs="Arial" w:eastAsia="Arial" w:hAnsi="Arial"/>
                <w:sz w:val="14"/>
                <w:szCs w:val="14"/>
                <w:color w:val="auto"/>
              </w:rPr>
              <w:t>0</w:t>
            </w:r>
          </w:p>
        </w:tc>
        <w:tc>
          <w:tcPr>
            <w:tcW w:w="2140" w:type="dxa"/>
            <w:vAlign w:val="bottom"/>
          </w:tcPr>
          <w:p>
            <w:pPr>
              <w:jc w:val="right"/>
              <w:ind w:right="149"/>
              <w:spacing w:after="0"/>
              <w:rPr>
                <w:sz w:val="20"/>
                <w:szCs w:val="20"/>
                <w:color w:val="auto"/>
              </w:rPr>
            </w:pPr>
            <w:r>
              <w:rPr>
                <w:rFonts w:ascii="Arial" w:cs="Arial" w:eastAsia="Arial" w:hAnsi="Arial"/>
                <w:sz w:val="14"/>
                <w:szCs w:val="14"/>
                <w:color w:val="auto"/>
              </w:rPr>
              <w:t>47,437</w:t>
            </w:r>
          </w:p>
        </w:tc>
        <w:tc>
          <w:tcPr>
            <w:tcW w:w="1460" w:type="dxa"/>
            <w:vAlign w:val="bottom"/>
          </w:tcPr>
          <w:p>
            <w:pPr>
              <w:jc w:val="right"/>
              <w:ind w:right="169"/>
              <w:spacing w:after="0"/>
              <w:rPr>
                <w:sz w:val="20"/>
                <w:szCs w:val="20"/>
                <w:color w:val="auto"/>
              </w:rPr>
            </w:pPr>
            <w:r>
              <w:rPr>
                <w:rFonts w:ascii="Arial" w:cs="Arial" w:eastAsia="Arial" w:hAnsi="Arial"/>
                <w:sz w:val="14"/>
                <w:szCs w:val="14"/>
                <w:color w:val="auto"/>
              </w:rPr>
              <w:t>(54,188)</w:t>
            </w:r>
          </w:p>
        </w:tc>
        <w:tc>
          <w:tcPr>
            <w:tcW w:w="1240" w:type="dxa"/>
            <w:vAlign w:val="bottom"/>
          </w:tcPr>
          <w:p>
            <w:pPr>
              <w:spacing w:after="0"/>
              <w:rPr>
                <w:sz w:val="18"/>
                <w:szCs w:val="18"/>
                <w:color w:val="auto"/>
              </w:rPr>
            </w:pPr>
          </w:p>
        </w:tc>
        <w:tc>
          <w:tcPr>
            <w:tcW w:w="48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1440" w:type="dxa"/>
            <w:vAlign w:val="bottom"/>
          </w:tcPr>
          <w:p>
            <w:pPr>
              <w:jc w:val="right"/>
              <w:spacing w:after="0"/>
              <w:rPr>
                <w:sz w:val="20"/>
                <w:szCs w:val="20"/>
                <w:color w:val="auto"/>
              </w:rPr>
            </w:pPr>
            <w:r>
              <w:rPr>
                <w:rFonts w:ascii="Arial" w:cs="Arial" w:eastAsia="Arial" w:hAnsi="Arial"/>
                <w:sz w:val="14"/>
                <w:szCs w:val="14"/>
                <w:color w:val="auto"/>
              </w:rPr>
              <w:t>261,741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20402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45" w:lineRule="exact"/>
        <w:rPr>
          <w:sz w:val="20"/>
          <w:szCs w:val="20"/>
          <w:color w:val="auto"/>
        </w:rPr>
      </w:pPr>
    </w:p>
    <w:p>
      <w:pPr>
        <w:ind w:left="400" w:right="140" w:hanging="392"/>
        <w:spacing w:after="0" w:line="259" w:lineRule="auto"/>
        <w:tabs>
          <w:tab w:leader="none" w:pos="4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Executive contributions of base salary and annual cash incentive award payouts are included in the “Salary” column and the “Non-Equity Incentive Plan Compensation” column, respectively, of the “Summary Compensation Table.” Executive contributions of the fiscal</w:t>
      </w:r>
    </w:p>
    <w:p>
      <w:pPr>
        <w:spacing w:after="0" w:line="1" w:lineRule="exact"/>
        <w:rPr>
          <w:sz w:val="20"/>
          <w:szCs w:val="20"/>
          <w:color w:val="auto"/>
        </w:rPr>
      </w:pPr>
    </w:p>
    <w:p>
      <w:pPr>
        <w:ind w:left="400" w:right="80"/>
        <w:spacing w:after="0" w:line="235" w:lineRule="auto"/>
        <w:rPr>
          <w:sz w:val="20"/>
          <w:szCs w:val="20"/>
          <w:color w:val="auto"/>
        </w:rPr>
      </w:pPr>
      <w:r>
        <w:rPr>
          <w:rFonts w:ascii="Arial" w:cs="Arial" w:eastAsia="Arial" w:hAnsi="Arial"/>
          <w:sz w:val="18"/>
          <w:szCs w:val="18"/>
          <w:color w:val="auto"/>
        </w:rPr>
        <w:t>2020 to fiscal 2022 performance share award payouts are included in the “Value Realized on Vesting” column of the “Option Exercises and Stock Vested for Fiscal 2022” table, but are not included in the “Summary Compensation Table” as that table reflects the grant of the fiscal 2022 to fiscal 2024 performance share awards at target value. Our NEOs deferred the following components of compensation during fiscal 2022:</w:t>
      </w:r>
    </w:p>
    <w:p>
      <w:pPr>
        <w:spacing w:after="0" w:line="19"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760" w:type="dxa"/>
            <w:vAlign w:val="bottom"/>
            <w:shd w:val="clear" w:color="auto" w:fill="C00000"/>
          </w:tcPr>
          <w:p>
            <w:pPr>
              <w:spacing w:after="0"/>
              <w:rPr>
                <w:sz w:val="20"/>
                <w:szCs w:val="20"/>
                <w:color w:val="auto"/>
              </w:rPr>
            </w:pPr>
            <w:r>
              <w:rPr>
                <w:rFonts w:ascii="Arial" w:cs="Arial" w:eastAsia="Arial" w:hAnsi="Arial"/>
                <w:sz w:val="16"/>
                <w:szCs w:val="16"/>
                <w:b w:val="1"/>
                <w:bCs w:val="1"/>
                <w:color w:val="FFFFFF"/>
              </w:rPr>
              <w:t>Name</w:t>
            </w:r>
          </w:p>
        </w:tc>
        <w:tc>
          <w:tcPr>
            <w:tcW w:w="6000" w:type="dxa"/>
            <w:vAlign w:val="bottom"/>
            <w:shd w:val="clear" w:color="auto" w:fill="C00000"/>
          </w:tcPr>
          <w:p>
            <w:pPr>
              <w:ind w:left="200"/>
              <w:spacing w:after="0"/>
              <w:rPr>
                <w:sz w:val="20"/>
                <w:szCs w:val="20"/>
                <w:color w:val="auto"/>
              </w:rPr>
            </w:pPr>
            <w:r>
              <w:rPr>
                <w:rFonts w:ascii="Arial" w:cs="Arial" w:eastAsia="Arial" w:hAnsi="Arial"/>
                <w:sz w:val="16"/>
                <w:szCs w:val="16"/>
                <w:b w:val="1"/>
                <w:bCs w:val="1"/>
                <w:color w:val="FFFFFF"/>
              </w:rPr>
              <w:t>Deferrals</w:t>
            </w:r>
          </w:p>
        </w:tc>
        <w:tc>
          <w:tcPr>
            <w:tcW w:w="2620" w:type="dxa"/>
            <w:vAlign w:val="bottom"/>
            <w:shd w:val="clear" w:color="auto" w:fill="C00000"/>
          </w:tcPr>
          <w:p>
            <w:pPr>
              <w:jc w:val="right"/>
              <w:ind w:right="219"/>
              <w:spacing w:after="0"/>
              <w:rPr>
                <w:sz w:val="20"/>
                <w:szCs w:val="20"/>
                <w:color w:val="auto"/>
              </w:rPr>
            </w:pPr>
            <w:r>
              <w:rPr>
                <w:rFonts w:ascii="Arial" w:cs="Arial" w:eastAsia="Arial" w:hAnsi="Arial"/>
                <w:sz w:val="16"/>
                <w:szCs w:val="16"/>
                <w:b w:val="1"/>
                <w:bCs w:val="1"/>
                <w:color w:val="FFFFFF"/>
              </w:rPr>
              <w:t>Amount ($)</w:t>
            </w:r>
          </w:p>
        </w:tc>
      </w:tr>
      <w:tr>
        <w:trPr>
          <w:trHeight w:val="202"/>
        </w:trPr>
        <w:tc>
          <w:tcPr>
            <w:tcW w:w="20" w:type="dxa"/>
            <w:vAlign w:val="bottom"/>
          </w:tcPr>
          <w:p>
            <w:pPr>
              <w:spacing w:after="0"/>
              <w:rPr>
                <w:sz w:val="17"/>
                <w:szCs w:val="17"/>
                <w:color w:val="auto"/>
              </w:rPr>
            </w:pPr>
          </w:p>
        </w:tc>
        <w:tc>
          <w:tcPr>
            <w:tcW w:w="1760" w:type="dxa"/>
            <w:vAlign w:val="bottom"/>
          </w:tcPr>
          <w:p>
            <w:pPr>
              <w:spacing w:after="0"/>
              <w:rPr>
                <w:sz w:val="20"/>
                <w:szCs w:val="20"/>
                <w:color w:val="auto"/>
              </w:rPr>
            </w:pPr>
            <w:r>
              <w:rPr>
                <w:rFonts w:ascii="Arial" w:cs="Arial" w:eastAsia="Arial" w:hAnsi="Arial"/>
                <w:sz w:val="16"/>
                <w:szCs w:val="16"/>
                <w:color w:val="auto"/>
              </w:rPr>
              <w:t>Ms. Peterson</w:t>
            </w:r>
          </w:p>
        </w:tc>
        <w:tc>
          <w:tcPr>
            <w:tcW w:w="6000" w:type="dxa"/>
            <w:vAlign w:val="bottom"/>
          </w:tcPr>
          <w:p>
            <w:pPr>
              <w:ind w:left="200"/>
              <w:spacing w:after="0"/>
              <w:rPr>
                <w:sz w:val="20"/>
                <w:szCs w:val="20"/>
                <w:color w:val="auto"/>
              </w:rPr>
            </w:pPr>
            <w:r>
              <w:rPr>
                <w:rFonts w:ascii="Arial" w:cs="Arial" w:eastAsia="Arial" w:hAnsi="Arial"/>
                <w:sz w:val="16"/>
                <w:szCs w:val="16"/>
                <w:color w:val="auto"/>
              </w:rPr>
              <w:t>30% of base salary from November through December 2021</w:t>
            </w:r>
          </w:p>
        </w:tc>
        <w:tc>
          <w:tcPr>
            <w:tcW w:w="2620" w:type="dxa"/>
            <w:vAlign w:val="bottom"/>
          </w:tcPr>
          <w:p>
            <w:pPr>
              <w:jc w:val="right"/>
              <w:spacing w:after="0"/>
              <w:rPr>
                <w:sz w:val="20"/>
                <w:szCs w:val="20"/>
                <w:color w:val="auto"/>
              </w:rPr>
            </w:pPr>
            <w:r>
              <w:rPr>
                <w:rFonts w:ascii="Arial" w:cs="Arial" w:eastAsia="Arial" w:hAnsi="Arial"/>
                <w:sz w:val="16"/>
                <w:szCs w:val="16"/>
                <w:color w:val="auto"/>
              </w:rPr>
              <w:t>26,539</w:t>
            </w:r>
          </w:p>
        </w:tc>
      </w:tr>
      <w:tr>
        <w:trPr>
          <w:trHeight w:val="203"/>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000" w:type="dxa"/>
            <w:vAlign w:val="bottom"/>
          </w:tcPr>
          <w:p>
            <w:pPr>
              <w:ind w:left="200"/>
              <w:spacing w:after="0"/>
              <w:rPr>
                <w:sz w:val="20"/>
                <w:szCs w:val="20"/>
                <w:color w:val="auto"/>
              </w:rPr>
            </w:pPr>
            <w:r>
              <w:rPr>
                <w:rFonts w:ascii="Arial" w:cs="Arial" w:eastAsia="Arial" w:hAnsi="Arial"/>
                <w:sz w:val="16"/>
                <w:szCs w:val="16"/>
                <w:color w:val="auto"/>
              </w:rPr>
              <w:t>32% of base salary from January through October 2022</w:t>
            </w:r>
          </w:p>
        </w:tc>
        <w:tc>
          <w:tcPr>
            <w:tcW w:w="2620" w:type="dxa"/>
            <w:vAlign w:val="bottom"/>
          </w:tcPr>
          <w:p>
            <w:pPr>
              <w:jc w:val="right"/>
              <w:spacing w:after="0"/>
              <w:rPr>
                <w:sz w:val="20"/>
                <w:szCs w:val="20"/>
                <w:color w:val="auto"/>
              </w:rPr>
            </w:pPr>
            <w:r>
              <w:rPr>
                <w:rFonts w:ascii="Arial" w:cs="Arial" w:eastAsia="Arial" w:hAnsi="Arial"/>
                <w:sz w:val="16"/>
                <w:szCs w:val="16"/>
                <w:color w:val="auto"/>
              </w:rPr>
              <w:t>162,120</w:t>
            </w:r>
          </w:p>
        </w:tc>
      </w:tr>
      <w:tr>
        <w:trPr>
          <w:trHeight w:val="203"/>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000" w:type="dxa"/>
            <w:vAlign w:val="bottom"/>
          </w:tcPr>
          <w:p>
            <w:pPr>
              <w:ind w:left="200"/>
              <w:spacing w:after="0"/>
              <w:rPr>
                <w:sz w:val="20"/>
                <w:szCs w:val="20"/>
                <w:color w:val="auto"/>
              </w:rPr>
            </w:pPr>
            <w:r>
              <w:rPr>
                <w:rFonts w:ascii="Arial" w:cs="Arial" w:eastAsia="Arial" w:hAnsi="Arial"/>
                <w:sz w:val="16"/>
                <w:szCs w:val="16"/>
                <w:color w:val="auto"/>
              </w:rPr>
              <w:t>50% of the fiscal 2022 annual cash incentive award</w:t>
            </w:r>
          </w:p>
        </w:tc>
        <w:tc>
          <w:tcPr>
            <w:tcW w:w="2620" w:type="dxa"/>
            <w:vAlign w:val="bottom"/>
          </w:tcPr>
          <w:p>
            <w:pPr>
              <w:jc w:val="right"/>
              <w:spacing w:after="0"/>
              <w:rPr>
                <w:sz w:val="20"/>
                <w:szCs w:val="20"/>
                <w:color w:val="auto"/>
              </w:rPr>
            </w:pPr>
            <w:r>
              <w:rPr>
                <w:rFonts w:ascii="Arial" w:cs="Arial" w:eastAsia="Arial" w:hAnsi="Arial"/>
                <w:sz w:val="16"/>
                <w:szCs w:val="16"/>
                <w:color w:val="auto"/>
              </w:rPr>
              <w:t>164,221</w:t>
            </w:r>
          </w:p>
        </w:tc>
      </w:tr>
      <w:tr>
        <w:trPr>
          <w:trHeight w:val="203"/>
        </w:trPr>
        <w:tc>
          <w:tcPr>
            <w:tcW w:w="20" w:type="dxa"/>
            <w:vAlign w:val="bottom"/>
          </w:tcPr>
          <w:p>
            <w:pPr>
              <w:spacing w:after="0"/>
              <w:rPr>
                <w:sz w:val="17"/>
                <w:szCs w:val="17"/>
                <w:color w:val="auto"/>
              </w:rPr>
            </w:pPr>
          </w:p>
        </w:tc>
        <w:tc>
          <w:tcPr>
            <w:tcW w:w="1760" w:type="dxa"/>
            <w:vAlign w:val="bottom"/>
            <w:shd w:val="clear" w:color="auto" w:fill="D9D9D9"/>
          </w:tcPr>
          <w:p>
            <w:pPr>
              <w:spacing w:after="0"/>
              <w:rPr>
                <w:sz w:val="20"/>
                <w:szCs w:val="20"/>
                <w:color w:val="auto"/>
              </w:rPr>
            </w:pPr>
            <w:r>
              <w:rPr>
                <w:rFonts w:ascii="Arial" w:cs="Arial" w:eastAsia="Arial" w:hAnsi="Arial"/>
                <w:sz w:val="16"/>
                <w:szCs w:val="16"/>
                <w:color w:val="auto"/>
              </w:rPr>
              <w:t>Mr. Rodier</w:t>
            </w:r>
          </w:p>
        </w:tc>
        <w:tc>
          <w:tcPr>
            <w:tcW w:w="6000" w:type="dxa"/>
            <w:vAlign w:val="bottom"/>
            <w:shd w:val="clear" w:color="auto" w:fill="D9D9D9"/>
          </w:tcPr>
          <w:p>
            <w:pPr>
              <w:ind w:left="200"/>
              <w:spacing w:after="0"/>
              <w:rPr>
                <w:sz w:val="20"/>
                <w:szCs w:val="20"/>
                <w:color w:val="auto"/>
              </w:rPr>
            </w:pPr>
            <w:r>
              <w:rPr>
                <w:rFonts w:ascii="Arial" w:cs="Arial" w:eastAsia="Arial" w:hAnsi="Arial"/>
                <w:sz w:val="16"/>
                <w:szCs w:val="16"/>
                <w:color w:val="auto"/>
              </w:rPr>
              <w:t>50% of base salary from November through December 2021</w:t>
            </w:r>
          </w:p>
        </w:tc>
        <w:tc>
          <w:tcPr>
            <w:tcW w:w="26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40,385</w:t>
            </w:r>
          </w:p>
        </w:tc>
      </w:tr>
      <w:tr>
        <w:trPr>
          <w:trHeight w:val="203"/>
        </w:trPr>
        <w:tc>
          <w:tcPr>
            <w:tcW w:w="20" w:type="dxa"/>
            <w:vAlign w:val="bottom"/>
          </w:tcPr>
          <w:p>
            <w:pPr>
              <w:spacing w:after="0"/>
              <w:rPr>
                <w:sz w:val="17"/>
                <w:szCs w:val="17"/>
                <w:color w:val="auto"/>
              </w:rPr>
            </w:pPr>
          </w:p>
        </w:tc>
        <w:tc>
          <w:tcPr>
            <w:tcW w:w="1760" w:type="dxa"/>
            <w:vAlign w:val="bottom"/>
            <w:shd w:val="clear" w:color="auto" w:fill="D9D9D9"/>
          </w:tcPr>
          <w:p>
            <w:pPr>
              <w:spacing w:after="0"/>
              <w:rPr>
                <w:sz w:val="17"/>
                <w:szCs w:val="17"/>
                <w:color w:val="auto"/>
              </w:rPr>
            </w:pPr>
          </w:p>
        </w:tc>
        <w:tc>
          <w:tcPr>
            <w:tcW w:w="6000" w:type="dxa"/>
            <w:vAlign w:val="bottom"/>
            <w:shd w:val="clear" w:color="auto" w:fill="D9D9D9"/>
          </w:tcPr>
          <w:p>
            <w:pPr>
              <w:ind w:left="200"/>
              <w:spacing w:after="0"/>
              <w:rPr>
                <w:sz w:val="20"/>
                <w:szCs w:val="20"/>
                <w:color w:val="auto"/>
              </w:rPr>
            </w:pPr>
            <w:r>
              <w:rPr>
                <w:rFonts w:ascii="Arial" w:cs="Arial" w:eastAsia="Arial" w:hAnsi="Arial"/>
                <w:sz w:val="16"/>
                <w:szCs w:val="16"/>
                <w:color w:val="auto"/>
              </w:rPr>
              <w:t>50% of base salary from January through October 2022</w:t>
            </w:r>
          </w:p>
        </w:tc>
        <w:tc>
          <w:tcPr>
            <w:tcW w:w="26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228,141</w:t>
            </w:r>
          </w:p>
        </w:tc>
      </w:tr>
      <w:tr>
        <w:trPr>
          <w:trHeight w:val="203"/>
        </w:trPr>
        <w:tc>
          <w:tcPr>
            <w:tcW w:w="20" w:type="dxa"/>
            <w:vAlign w:val="bottom"/>
          </w:tcPr>
          <w:p>
            <w:pPr>
              <w:spacing w:after="0"/>
              <w:rPr>
                <w:sz w:val="17"/>
                <w:szCs w:val="17"/>
                <w:color w:val="auto"/>
              </w:rPr>
            </w:pPr>
          </w:p>
        </w:tc>
        <w:tc>
          <w:tcPr>
            <w:tcW w:w="1760" w:type="dxa"/>
            <w:vAlign w:val="bottom"/>
            <w:shd w:val="clear" w:color="auto" w:fill="D9D9D9"/>
          </w:tcPr>
          <w:p>
            <w:pPr>
              <w:spacing w:after="0"/>
              <w:rPr>
                <w:sz w:val="17"/>
                <w:szCs w:val="17"/>
                <w:color w:val="auto"/>
              </w:rPr>
            </w:pPr>
          </w:p>
        </w:tc>
        <w:tc>
          <w:tcPr>
            <w:tcW w:w="6000" w:type="dxa"/>
            <w:vAlign w:val="bottom"/>
            <w:shd w:val="clear" w:color="auto" w:fill="D9D9D9"/>
          </w:tcPr>
          <w:p>
            <w:pPr>
              <w:ind w:left="200"/>
              <w:spacing w:after="0"/>
              <w:rPr>
                <w:sz w:val="20"/>
                <w:szCs w:val="20"/>
                <w:color w:val="auto"/>
              </w:rPr>
            </w:pPr>
            <w:r>
              <w:rPr>
                <w:rFonts w:ascii="Arial" w:cs="Arial" w:eastAsia="Arial" w:hAnsi="Arial"/>
                <w:sz w:val="16"/>
                <w:szCs w:val="16"/>
                <w:color w:val="auto"/>
              </w:rPr>
              <w:t>100% of the fiscal 2022 annual cash incentive award</w:t>
            </w:r>
          </w:p>
        </w:tc>
        <w:tc>
          <w:tcPr>
            <w:tcW w:w="26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277,885</w:t>
            </w:r>
          </w:p>
        </w:tc>
      </w:tr>
      <w:tr>
        <w:trPr>
          <w:trHeight w:val="241"/>
        </w:trPr>
        <w:tc>
          <w:tcPr>
            <w:tcW w:w="1780" w:type="dxa"/>
            <w:vAlign w:val="bottom"/>
            <w:gridSpan w:val="2"/>
          </w:tcPr>
          <w:p>
            <w:pPr>
              <w:spacing w:after="0"/>
              <w:rPr>
                <w:sz w:val="20"/>
                <w:szCs w:val="20"/>
                <w:color w:val="auto"/>
              </w:rPr>
            </w:pPr>
            <w:r>
              <w:rPr>
                <w:rFonts w:ascii="Arial" w:cs="Arial" w:eastAsia="Arial" w:hAnsi="Arial"/>
                <w:sz w:val="16"/>
                <w:szCs w:val="16"/>
                <w:color w:val="auto"/>
              </w:rPr>
              <w:t>Ms. Dahl</w:t>
            </w:r>
          </w:p>
        </w:tc>
        <w:tc>
          <w:tcPr>
            <w:tcW w:w="6000" w:type="dxa"/>
            <w:vAlign w:val="bottom"/>
          </w:tcPr>
          <w:p>
            <w:pPr>
              <w:ind w:left="200"/>
              <w:spacing w:after="0"/>
              <w:rPr>
                <w:sz w:val="20"/>
                <w:szCs w:val="20"/>
                <w:color w:val="auto"/>
              </w:rPr>
            </w:pPr>
            <w:r>
              <w:rPr>
                <w:rFonts w:ascii="Arial" w:cs="Arial" w:eastAsia="Arial" w:hAnsi="Arial"/>
                <w:sz w:val="16"/>
                <w:szCs w:val="16"/>
                <w:color w:val="auto"/>
              </w:rPr>
              <w:t>20% of base salary from November through December 2021</w:t>
            </w:r>
          </w:p>
        </w:tc>
        <w:tc>
          <w:tcPr>
            <w:tcW w:w="2620" w:type="dxa"/>
            <w:vAlign w:val="bottom"/>
          </w:tcPr>
          <w:p>
            <w:pPr>
              <w:jc w:val="right"/>
              <w:spacing w:after="0"/>
              <w:rPr>
                <w:sz w:val="20"/>
                <w:szCs w:val="20"/>
                <w:color w:val="auto"/>
              </w:rPr>
            </w:pPr>
            <w:r>
              <w:rPr>
                <w:rFonts w:ascii="Arial" w:cs="Arial" w:eastAsia="Arial" w:hAnsi="Arial"/>
                <w:sz w:val="16"/>
                <w:szCs w:val="16"/>
                <w:color w:val="auto"/>
              </w:rPr>
              <w:t>15,077</w:t>
            </w:r>
          </w:p>
        </w:tc>
      </w:tr>
      <w:tr>
        <w:trPr>
          <w:trHeight w:val="230"/>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000" w:type="dxa"/>
            <w:vAlign w:val="bottom"/>
          </w:tcPr>
          <w:p>
            <w:pPr>
              <w:ind w:left="200"/>
              <w:spacing w:after="0"/>
              <w:rPr>
                <w:sz w:val="20"/>
                <w:szCs w:val="20"/>
                <w:color w:val="auto"/>
              </w:rPr>
            </w:pPr>
            <w:r>
              <w:rPr>
                <w:rFonts w:ascii="Arial" w:cs="Arial" w:eastAsia="Arial" w:hAnsi="Arial"/>
                <w:sz w:val="16"/>
                <w:szCs w:val="16"/>
                <w:color w:val="auto"/>
              </w:rPr>
              <w:t>20% of base salary from January through October 2022</w:t>
            </w:r>
          </w:p>
        </w:tc>
        <w:tc>
          <w:tcPr>
            <w:tcW w:w="2620" w:type="dxa"/>
            <w:vAlign w:val="bottom"/>
          </w:tcPr>
          <w:p>
            <w:pPr>
              <w:jc w:val="right"/>
              <w:spacing w:after="0"/>
              <w:rPr>
                <w:sz w:val="20"/>
                <w:szCs w:val="20"/>
                <w:color w:val="auto"/>
              </w:rPr>
            </w:pPr>
            <w:r>
              <w:rPr>
                <w:rFonts w:ascii="Arial" w:cs="Arial" w:eastAsia="Arial" w:hAnsi="Arial"/>
                <w:sz w:val="16"/>
                <w:szCs w:val="16"/>
                <w:color w:val="auto"/>
              </w:rPr>
              <w:t>85,602</w:t>
            </w:r>
          </w:p>
        </w:tc>
      </w:tr>
      <w:tr>
        <w:trPr>
          <w:trHeight w:val="230"/>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000" w:type="dxa"/>
            <w:vAlign w:val="bottom"/>
          </w:tcPr>
          <w:p>
            <w:pPr>
              <w:ind w:left="200"/>
              <w:spacing w:after="0"/>
              <w:rPr>
                <w:sz w:val="20"/>
                <w:szCs w:val="20"/>
                <w:color w:val="auto"/>
              </w:rPr>
            </w:pPr>
            <w:r>
              <w:rPr>
                <w:rFonts w:ascii="Arial" w:cs="Arial" w:eastAsia="Arial" w:hAnsi="Arial"/>
                <w:sz w:val="16"/>
                <w:szCs w:val="16"/>
                <w:color w:val="auto"/>
              </w:rPr>
              <w:t>100% of the fiscal 2022 annual cash incentive award</w:t>
            </w:r>
          </w:p>
        </w:tc>
        <w:tc>
          <w:tcPr>
            <w:tcW w:w="2620" w:type="dxa"/>
            <w:vAlign w:val="bottom"/>
          </w:tcPr>
          <w:p>
            <w:pPr>
              <w:jc w:val="right"/>
              <w:spacing w:after="0"/>
              <w:rPr>
                <w:sz w:val="20"/>
                <w:szCs w:val="20"/>
                <w:color w:val="auto"/>
              </w:rPr>
            </w:pPr>
            <w:r>
              <w:rPr>
                <w:rFonts w:ascii="Arial" w:cs="Arial" w:eastAsia="Arial" w:hAnsi="Arial"/>
                <w:sz w:val="16"/>
                <w:szCs w:val="16"/>
                <w:color w:val="auto"/>
              </w:rPr>
              <w:t>225,741</w:t>
            </w:r>
          </w:p>
        </w:tc>
      </w:tr>
      <w:tr>
        <w:trPr>
          <w:trHeight w:val="229"/>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000" w:type="dxa"/>
            <w:vAlign w:val="bottom"/>
          </w:tcPr>
          <w:p>
            <w:pPr>
              <w:ind w:left="200"/>
              <w:spacing w:after="0"/>
              <w:rPr>
                <w:sz w:val="20"/>
                <w:szCs w:val="20"/>
                <w:color w:val="auto"/>
              </w:rPr>
            </w:pPr>
            <w:r>
              <w:rPr>
                <w:rFonts w:ascii="Arial" w:cs="Arial" w:eastAsia="Arial" w:hAnsi="Arial"/>
                <w:sz w:val="16"/>
                <w:szCs w:val="16"/>
                <w:color w:val="auto"/>
              </w:rPr>
              <w:t>100% of the fiscal 2020 to 2022 performance share award</w:t>
            </w:r>
          </w:p>
        </w:tc>
        <w:tc>
          <w:tcPr>
            <w:tcW w:w="2620" w:type="dxa"/>
            <w:vAlign w:val="bottom"/>
          </w:tcPr>
          <w:p>
            <w:pPr>
              <w:jc w:val="right"/>
              <w:spacing w:after="0"/>
              <w:rPr>
                <w:sz w:val="20"/>
                <w:szCs w:val="20"/>
                <w:color w:val="auto"/>
              </w:rPr>
            </w:pPr>
            <w:r>
              <w:rPr>
                <w:rFonts w:ascii="Arial" w:cs="Arial" w:eastAsia="Arial" w:hAnsi="Arial"/>
                <w:sz w:val="16"/>
                <w:szCs w:val="16"/>
                <w:color w:val="auto"/>
              </w:rPr>
              <w:t>333,418</w:t>
            </w:r>
          </w:p>
        </w:tc>
      </w:tr>
    </w:tbl>
    <w:p>
      <w:pPr>
        <w:spacing w:after="0" w:line="24" w:lineRule="exact"/>
        <w:rPr>
          <w:sz w:val="20"/>
          <w:szCs w:val="20"/>
          <w:color w:val="auto"/>
        </w:rPr>
      </w:pPr>
    </w:p>
    <w:p>
      <w:pPr>
        <w:ind w:left="400" w:right="80" w:hanging="392"/>
        <w:spacing w:after="0" w:line="266" w:lineRule="auto"/>
        <w:tabs>
          <w:tab w:leader="none" w:pos="4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Amounts reported represent Company contributions to the Supplemental Benefit Plan in fiscal 2022. These amounts are included in the “All Other Compensation” column of the “Summary Compensation Table” and the related footnote.</w:t>
      </w:r>
    </w:p>
    <w:p>
      <w:pPr>
        <w:ind w:left="400" w:right="40" w:hanging="392"/>
        <w:spacing w:after="0" w:line="244" w:lineRule="auto"/>
        <w:tabs>
          <w:tab w:leader="none" w:pos="4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Aggregate earnings comprise interest, dividends, capital gains and appreciation/depreciation of investment results during the fiscal year based on each NEO’s selected fund allocation. None of these amounts are included in the “Summary Compensation Table” because earnings were not preferential or above-market. The funds listed below are consistent with or comparable to those funds provided in our Retirement Plan and do not include any preferential or above-market interest. The rates for fiscal 2022 are provided in the following table:</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EE"/>
        </w:rPr>
        <w:t>Table of Contents</w:t>
      </w:r>
    </w:p>
    <w:p>
      <w:pPr>
        <w:spacing w:after="0" w:line="122" w:lineRule="exact"/>
        <w:rPr>
          <w:sz w:val="20"/>
          <w:szCs w:val="20"/>
          <w:color w:val="auto"/>
        </w:rPr>
      </w:pPr>
    </w:p>
    <w:tbl>
      <w:tblPr>
        <w:tblLayout w:type="fixed"/>
        <w:tblInd w:w="420" w:type="dxa"/>
        <w:tblCellMar>
          <w:top w:w="0" w:type="dxa"/>
          <w:left w:w="0" w:type="dxa"/>
          <w:bottom w:w="0" w:type="dxa"/>
          <w:right w:w="0" w:type="dxa"/>
        </w:tblCellMar>
      </w:tblPr>
      <w:tr>
        <w:trPr>
          <w:trHeight w:val="229"/>
        </w:trPr>
        <w:tc>
          <w:tcPr>
            <w:tcW w:w="4800" w:type="dxa"/>
            <w:vAlign w:val="bottom"/>
            <w:shd w:val="clear" w:color="auto" w:fill="C00000"/>
          </w:tcPr>
          <w:p>
            <w:pPr>
              <w:ind w:left="20"/>
              <w:spacing w:after="0"/>
              <w:rPr>
                <w:sz w:val="20"/>
                <w:szCs w:val="20"/>
                <w:color w:val="auto"/>
              </w:rPr>
            </w:pPr>
            <w:r>
              <w:rPr>
                <w:rFonts w:ascii="Arial" w:cs="Arial" w:eastAsia="Arial" w:hAnsi="Arial"/>
                <w:sz w:val="16"/>
                <w:szCs w:val="16"/>
                <w:b w:val="1"/>
                <w:bCs w:val="1"/>
                <w:color w:val="FFFFFF"/>
              </w:rPr>
              <w:t>Fund Name</w:t>
            </w:r>
          </w:p>
        </w:tc>
        <w:tc>
          <w:tcPr>
            <w:tcW w:w="3220" w:type="dxa"/>
            <w:vAlign w:val="bottom"/>
            <w:shd w:val="clear" w:color="auto" w:fill="C00000"/>
          </w:tcPr>
          <w:p>
            <w:pPr>
              <w:jc w:val="right"/>
              <w:ind w:right="299"/>
              <w:spacing w:after="0"/>
              <w:rPr>
                <w:sz w:val="20"/>
                <w:szCs w:val="20"/>
                <w:color w:val="auto"/>
              </w:rPr>
            </w:pPr>
            <w:r>
              <w:rPr>
                <w:rFonts w:ascii="Arial" w:cs="Arial" w:eastAsia="Arial" w:hAnsi="Arial"/>
                <w:sz w:val="16"/>
                <w:szCs w:val="16"/>
                <w:b w:val="1"/>
                <w:bCs w:val="1"/>
                <w:color w:val="FFFFFF"/>
              </w:rPr>
              <w:t>Change from Fiscal 2021</w:t>
            </w:r>
          </w:p>
        </w:tc>
      </w:tr>
      <w:tr>
        <w:trPr>
          <w:trHeight w:val="229"/>
        </w:trPr>
        <w:tc>
          <w:tcPr>
            <w:tcW w:w="4800" w:type="dxa"/>
            <w:vAlign w:val="bottom"/>
            <w:shd w:val="clear" w:color="auto" w:fill="D9D9D9"/>
          </w:tcPr>
          <w:p>
            <w:pPr>
              <w:ind w:left="20"/>
              <w:spacing w:after="0"/>
              <w:rPr>
                <w:sz w:val="20"/>
                <w:szCs w:val="20"/>
                <w:color w:val="auto"/>
              </w:rPr>
            </w:pPr>
            <w:r>
              <w:rPr>
                <w:rFonts w:ascii="Arial" w:cs="Arial" w:eastAsia="Arial" w:hAnsi="Arial"/>
                <w:sz w:val="16"/>
                <w:szCs w:val="16"/>
                <w:color w:val="auto"/>
              </w:rPr>
              <w:t>American Funds Europacific Growth Fund R6</w:t>
            </w:r>
          </w:p>
        </w:tc>
        <w:tc>
          <w:tcPr>
            <w:tcW w:w="32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-30.88%</w:t>
            </w:r>
          </w:p>
        </w:tc>
      </w:tr>
      <w:tr>
        <w:trPr>
          <w:trHeight w:val="222"/>
        </w:trPr>
        <w:tc>
          <w:tcPr>
            <w:tcW w:w="4800" w:type="dxa"/>
            <w:vAlign w:val="bottom"/>
          </w:tcPr>
          <w:p>
            <w:pPr>
              <w:ind w:left="20"/>
              <w:spacing w:after="0"/>
              <w:rPr>
                <w:sz w:val="20"/>
                <w:szCs w:val="20"/>
                <w:color w:val="auto"/>
              </w:rPr>
            </w:pPr>
            <w:r>
              <w:rPr>
                <w:rFonts w:ascii="Arial" w:cs="Arial" w:eastAsia="Arial" w:hAnsi="Arial"/>
                <w:sz w:val="16"/>
                <w:szCs w:val="16"/>
                <w:color w:val="auto"/>
              </w:rPr>
              <w:t>Artisan Mid Cap Investor Fund</w:t>
            </w:r>
          </w:p>
        </w:tc>
        <w:tc>
          <w:tcPr>
            <w:tcW w:w="3220" w:type="dxa"/>
            <w:vAlign w:val="bottom"/>
          </w:tcPr>
          <w:p>
            <w:pPr>
              <w:jc w:val="right"/>
              <w:spacing w:after="0"/>
              <w:rPr>
                <w:sz w:val="20"/>
                <w:szCs w:val="20"/>
                <w:color w:val="auto"/>
              </w:rPr>
            </w:pPr>
            <w:r>
              <w:rPr>
                <w:rFonts w:ascii="Arial" w:cs="Arial" w:eastAsia="Arial" w:hAnsi="Arial"/>
                <w:sz w:val="16"/>
                <w:szCs w:val="16"/>
                <w:color w:val="auto"/>
              </w:rPr>
              <w:t>-38.48%</w:t>
            </w:r>
          </w:p>
        </w:tc>
      </w:tr>
      <w:tr>
        <w:trPr>
          <w:trHeight w:val="237"/>
        </w:trPr>
        <w:tc>
          <w:tcPr>
            <w:tcW w:w="4800" w:type="dxa"/>
            <w:vAlign w:val="bottom"/>
            <w:shd w:val="clear" w:color="auto" w:fill="D9D9D9"/>
          </w:tcPr>
          <w:p>
            <w:pPr>
              <w:ind w:left="20"/>
              <w:spacing w:after="0"/>
              <w:rPr>
                <w:sz w:val="20"/>
                <w:szCs w:val="20"/>
                <w:color w:val="auto"/>
              </w:rPr>
            </w:pPr>
            <w:r>
              <w:rPr>
                <w:rFonts w:ascii="Arial" w:cs="Arial" w:eastAsia="Arial" w:hAnsi="Arial"/>
                <w:sz w:val="16"/>
                <w:szCs w:val="16"/>
                <w:color w:val="auto"/>
              </w:rPr>
              <w:t>Fidelity Treasury Only Money Market Fund</w:t>
            </w:r>
          </w:p>
        </w:tc>
        <w:tc>
          <w:tcPr>
            <w:tcW w:w="32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0.70%</w:t>
            </w:r>
          </w:p>
        </w:tc>
      </w:tr>
      <w:tr>
        <w:trPr>
          <w:trHeight w:val="222"/>
        </w:trPr>
        <w:tc>
          <w:tcPr>
            <w:tcW w:w="4800" w:type="dxa"/>
            <w:vAlign w:val="bottom"/>
          </w:tcPr>
          <w:p>
            <w:pPr>
              <w:ind w:left="20"/>
              <w:spacing w:after="0"/>
              <w:rPr>
                <w:sz w:val="20"/>
                <w:szCs w:val="20"/>
                <w:color w:val="auto"/>
              </w:rPr>
            </w:pPr>
            <w:r>
              <w:rPr>
                <w:rFonts w:ascii="Arial" w:cs="Arial" w:eastAsia="Arial" w:hAnsi="Arial"/>
                <w:sz w:val="16"/>
                <w:szCs w:val="16"/>
                <w:color w:val="auto"/>
              </w:rPr>
              <w:t>Fidelity US Bond Index</w:t>
            </w:r>
          </w:p>
        </w:tc>
        <w:tc>
          <w:tcPr>
            <w:tcW w:w="3220" w:type="dxa"/>
            <w:vAlign w:val="bottom"/>
          </w:tcPr>
          <w:p>
            <w:pPr>
              <w:jc w:val="right"/>
              <w:spacing w:after="0"/>
              <w:rPr>
                <w:sz w:val="20"/>
                <w:szCs w:val="20"/>
                <w:color w:val="auto"/>
              </w:rPr>
            </w:pPr>
            <w:r>
              <w:rPr>
                <w:rFonts w:ascii="Arial" w:cs="Arial" w:eastAsia="Arial" w:hAnsi="Arial"/>
                <w:sz w:val="16"/>
                <w:szCs w:val="16"/>
                <w:color w:val="auto"/>
              </w:rPr>
              <w:t>-15.72%</w:t>
            </w:r>
          </w:p>
        </w:tc>
      </w:tr>
      <w:tr>
        <w:trPr>
          <w:trHeight w:val="237"/>
        </w:trPr>
        <w:tc>
          <w:tcPr>
            <w:tcW w:w="4800" w:type="dxa"/>
            <w:vAlign w:val="bottom"/>
            <w:shd w:val="clear" w:color="auto" w:fill="D9D9D9"/>
          </w:tcPr>
          <w:p>
            <w:pPr>
              <w:ind w:left="20"/>
              <w:spacing w:after="0"/>
              <w:rPr>
                <w:sz w:val="20"/>
                <w:szCs w:val="20"/>
                <w:color w:val="auto"/>
              </w:rPr>
            </w:pPr>
            <w:r>
              <w:rPr>
                <w:rFonts w:ascii="Arial" w:cs="Arial" w:eastAsia="Arial" w:hAnsi="Arial"/>
                <w:sz w:val="16"/>
                <w:szCs w:val="16"/>
                <w:color w:val="auto"/>
              </w:rPr>
              <w:t>Goldman Sachs Small Cap Value Institutional Fund</w:t>
            </w:r>
          </w:p>
        </w:tc>
        <w:tc>
          <w:tcPr>
            <w:tcW w:w="32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-10.51%</w:t>
            </w:r>
          </w:p>
        </w:tc>
      </w:tr>
      <w:tr>
        <w:trPr>
          <w:trHeight w:val="222"/>
        </w:trPr>
        <w:tc>
          <w:tcPr>
            <w:tcW w:w="4800" w:type="dxa"/>
            <w:vAlign w:val="bottom"/>
          </w:tcPr>
          <w:p>
            <w:pPr>
              <w:ind w:left="20"/>
              <w:spacing w:after="0"/>
              <w:rPr>
                <w:sz w:val="20"/>
                <w:szCs w:val="20"/>
                <w:color w:val="auto"/>
              </w:rPr>
            </w:pPr>
            <w:r>
              <w:rPr>
                <w:rFonts w:ascii="Arial" w:cs="Arial" w:eastAsia="Arial" w:hAnsi="Arial"/>
                <w:sz w:val="16"/>
                <w:szCs w:val="16"/>
                <w:color w:val="auto"/>
              </w:rPr>
              <w:t>JPMorgan Mid Cap Value I Fund</w:t>
            </w:r>
          </w:p>
        </w:tc>
        <w:tc>
          <w:tcPr>
            <w:tcW w:w="3220" w:type="dxa"/>
            <w:vAlign w:val="bottom"/>
          </w:tcPr>
          <w:p>
            <w:pPr>
              <w:jc w:val="right"/>
              <w:spacing w:after="0"/>
              <w:rPr>
                <w:sz w:val="20"/>
                <w:szCs w:val="20"/>
                <w:color w:val="auto"/>
              </w:rPr>
            </w:pPr>
            <w:r>
              <w:rPr>
                <w:rFonts w:ascii="Arial" w:cs="Arial" w:eastAsia="Arial" w:hAnsi="Arial"/>
                <w:sz w:val="16"/>
                <w:szCs w:val="16"/>
                <w:color w:val="auto"/>
              </w:rPr>
              <w:t>-6.25%</w:t>
            </w:r>
          </w:p>
        </w:tc>
      </w:tr>
      <w:tr>
        <w:trPr>
          <w:trHeight w:val="237"/>
        </w:trPr>
        <w:tc>
          <w:tcPr>
            <w:tcW w:w="4800" w:type="dxa"/>
            <w:vAlign w:val="bottom"/>
            <w:shd w:val="clear" w:color="auto" w:fill="D9D9D9"/>
          </w:tcPr>
          <w:p>
            <w:pPr>
              <w:ind w:left="20"/>
              <w:spacing w:after="0"/>
              <w:rPr>
                <w:sz w:val="20"/>
                <w:szCs w:val="20"/>
                <w:color w:val="auto"/>
              </w:rPr>
            </w:pPr>
            <w:r>
              <w:rPr>
                <w:rFonts w:ascii="Arial" w:cs="Arial" w:eastAsia="Arial" w:hAnsi="Arial"/>
                <w:sz w:val="16"/>
                <w:szCs w:val="16"/>
                <w:color w:val="auto"/>
              </w:rPr>
              <w:t>PGIM Total Return Bond R6</w:t>
            </w:r>
          </w:p>
        </w:tc>
        <w:tc>
          <w:tcPr>
            <w:tcW w:w="32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-17.53%</w:t>
            </w:r>
          </w:p>
        </w:tc>
      </w:tr>
      <w:tr>
        <w:trPr>
          <w:trHeight w:val="222"/>
        </w:trPr>
        <w:tc>
          <w:tcPr>
            <w:tcW w:w="4800" w:type="dxa"/>
            <w:vAlign w:val="bottom"/>
          </w:tcPr>
          <w:p>
            <w:pPr>
              <w:ind w:left="20"/>
              <w:spacing w:after="0"/>
              <w:rPr>
                <w:sz w:val="20"/>
                <w:szCs w:val="20"/>
                <w:color w:val="auto"/>
              </w:rPr>
            </w:pPr>
            <w:r>
              <w:rPr>
                <w:rFonts w:ascii="Arial" w:cs="Arial" w:eastAsia="Arial" w:hAnsi="Arial"/>
                <w:sz w:val="16"/>
                <w:szCs w:val="16"/>
                <w:color w:val="auto"/>
              </w:rPr>
              <w:t>PIMCO International Bond Fund (Unhedged)</w:t>
            </w:r>
          </w:p>
        </w:tc>
        <w:tc>
          <w:tcPr>
            <w:tcW w:w="3220" w:type="dxa"/>
            <w:vAlign w:val="bottom"/>
          </w:tcPr>
          <w:p>
            <w:pPr>
              <w:jc w:val="right"/>
              <w:spacing w:after="0"/>
              <w:rPr>
                <w:sz w:val="20"/>
                <w:szCs w:val="20"/>
                <w:color w:val="auto"/>
              </w:rPr>
            </w:pPr>
            <w:r>
              <w:rPr>
                <w:rFonts w:ascii="Arial" w:cs="Arial" w:eastAsia="Arial" w:hAnsi="Arial"/>
                <w:sz w:val="16"/>
                <w:szCs w:val="16"/>
                <w:color w:val="auto"/>
              </w:rPr>
              <w:t>-25.23%</w:t>
            </w:r>
          </w:p>
        </w:tc>
      </w:tr>
      <w:tr>
        <w:trPr>
          <w:trHeight w:val="237"/>
        </w:trPr>
        <w:tc>
          <w:tcPr>
            <w:tcW w:w="4800" w:type="dxa"/>
            <w:vAlign w:val="bottom"/>
            <w:shd w:val="clear" w:color="auto" w:fill="D9D9D9"/>
          </w:tcPr>
          <w:p>
            <w:pPr>
              <w:ind w:left="20"/>
              <w:spacing w:after="0"/>
              <w:rPr>
                <w:sz w:val="20"/>
                <w:szCs w:val="20"/>
                <w:color w:val="auto"/>
              </w:rPr>
            </w:pPr>
            <w:r>
              <w:rPr>
                <w:rFonts w:ascii="Arial" w:cs="Arial" w:eastAsia="Arial" w:hAnsi="Arial"/>
                <w:sz w:val="16"/>
                <w:szCs w:val="16"/>
                <w:color w:val="auto"/>
              </w:rPr>
              <w:t>T. Rowe Price International Discovery Fund</w:t>
            </w:r>
          </w:p>
        </w:tc>
        <w:tc>
          <w:tcPr>
            <w:tcW w:w="32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-36.91%</w:t>
            </w:r>
          </w:p>
        </w:tc>
      </w:tr>
      <w:tr>
        <w:trPr>
          <w:trHeight w:val="222"/>
        </w:trPr>
        <w:tc>
          <w:tcPr>
            <w:tcW w:w="4800" w:type="dxa"/>
            <w:vAlign w:val="bottom"/>
          </w:tcPr>
          <w:p>
            <w:pPr>
              <w:ind w:left="20"/>
              <w:spacing w:after="0"/>
              <w:rPr>
                <w:sz w:val="20"/>
                <w:szCs w:val="20"/>
                <w:color w:val="auto"/>
              </w:rPr>
            </w:pPr>
            <w:r>
              <w:rPr>
                <w:rFonts w:ascii="Arial" w:cs="Arial" w:eastAsia="Arial" w:hAnsi="Arial"/>
                <w:sz w:val="16"/>
                <w:szCs w:val="16"/>
                <w:color w:val="auto"/>
              </w:rPr>
              <w:t>The Toro Company</w:t>
            </w:r>
          </w:p>
        </w:tc>
        <w:tc>
          <w:tcPr>
            <w:tcW w:w="3220" w:type="dxa"/>
            <w:vAlign w:val="bottom"/>
          </w:tcPr>
          <w:p>
            <w:pPr>
              <w:jc w:val="right"/>
              <w:spacing w:after="0"/>
              <w:rPr>
                <w:sz w:val="20"/>
                <w:szCs w:val="20"/>
                <w:color w:val="auto"/>
              </w:rPr>
            </w:pPr>
            <w:r>
              <w:rPr>
                <w:rFonts w:ascii="Arial" w:cs="Arial" w:eastAsia="Arial" w:hAnsi="Arial"/>
                <w:sz w:val="16"/>
                <w:szCs w:val="16"/>
                <w:color w:val="auto"/>
              </w:rPr>
              <w:t>11.94%</w:t>
            </w:r>
          </w:p>
        </w:tc>
      </w:tr>
      <w:tr>
        <w:trPr>
          <w:trHeight w:val="237"/>
        </w:trPr>
        <w:tc>
          <w:tcPr>
            <w:tcW w:w="4800" w:type="dxa"/>
            <w:vAlign w:val="bottom"/>
            <w:shd w:val="clear" w:color="auto" w:fill="D9D9D9"/>
          </w:tcPr>
          <w:p>
            <w:pPr>
              <w:ind w:left="20"/>
              <w:spacing w:after="0"/>
              <w:rPr>
                <w:sz w:val="20"/>
                <w:szCs w:val="20"/>
                <w:color w:val="auto"/>
              </w:rPr>
            </w:pPr>
            <w:r>
              <w:rPr>
                <w:rFonts w:ascii="Arial" w:cs="Arial" w:eastAsia="Arial" w:hAnsi="Arial"/>
                <w:sz w:val="16"/>
                <w:szCs w:val="16"/>
                <w:color w:val="auto"/>
              </w:rPr>
              <w:t>Vanguard Explorer Fund Admiral Shares</w:t>
            </w:r>
          </w:p>
        </w:tc>
        <w:tc>
          <w:tcPr>
            <w:tcW w:w="32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-23.00%</w:t>
            </w:r>
          </w:p>
        </w:tc>
      </w:tr>
      <w:tr>
        <w:trPr>
          <w:trHeight w:val="222"/>
        </w:trPr>
        <w:tc>
          <w:tcPr>
            <w:tcW w:w="4800" w:type="dxa"/>
            <w:vAlign w:val="bottom"/>
          </w:tcPr>
          <w:p>
            <w:pPr>
              <w:ind w:left="20"/>
              <w:spacing w:after="0"/>
              <w:rPr>
                <w:sz w:val="20"/>
                <w:szCs w:val="20"/>
                <w:color w:val="auto"/>
              </w:rPr>
            </w:pPr>
            <w:r>
              <w:rPr>
                <w:rFonts w:ascii="Arial" w:cs="Arial" w:eastAsia="Arial" w:hAnsi="Arial"/>
                <w:sz w:val="16"/>
                <w:szCs w:val="16"/>
                <w:color w:val="auto"/>
              </w:rPr>
              <w:t>Vanguard Institutional Index Fund Institutional Shares</w:t>
            </w:r>
          </w:p>
        </w:tc>
        <w:tc>
          <w:tcPr>
            <w:tcW w:w="3220" w:type="dxa"/>
            <w:vAlign w:val="bottom"/>
          </w:tcPr>
          <w:p>
            <w:pPr>
              <w:jc w:val="right"/>
              <w:spacing w:after="0"/>
              <w:rPr>
                <w:sz w:val="20"/>
                <w:szCs w:val="20"/>
                <w:color w:val="auto"/>
              </w:rPr>
            </w:pPr>
            <w:r>
              <w:rPr>
                <w:rFonts w:ascii="Arial" w:cs="Arial" w:eastAsia="Arial" w:hAnsi="Arial"/>
                <w:sz w:val="16"/>
                <w:szCs w:val="16"/>
                <w:color w:val="auto"/>
              </w:rPr>
              <w:t>-14.63%</w:t>
            </w:r>
          </w:p>
        </w:tc>
      </w:tr>
      <w:tr>
        <w:trPr>
          <w:trHeight w:val="237"/>
        </w:trPr>
        <w:tc>
          <w:tcPr>
            <w:tcW w:w="4800" w:type="dxa"/>
            <w:vAlign w:val="bottom"/>
            <w:shd w:val="clear" w:color="auto" w:fill="D9D9D9"/>
          </w:tcPr>
          <w:p>
            <w:pPr>
              <w:ind w:left="20"/>
              <w:spacing w:after="0"/>
              <w:rPr>
                <w:sz w:val="20"/>
                <w:szCs w:val="20"/>
                <w:color w:val="auto"/>
              </w:rPr>
            </w:pPr>
            <w:r>
              <w:rPr>
                <w:rFonts w:ascii="Arial" w:cs="Arial" w:eastAsia="Arial" w:hAnsi="Arial"/>
                <w:sz w:val="16"/>
                <w:szCs w:val="16"/>
                <w:color w:val="auto"/>
              </w:rPr>
              <w:t>Vanguard Mid Cap Index Fund Admiral Shares</w:t>
            </w:r>
          </w:p>
        </w:tc>
        <w:tc>
          <w:tcPr>
            <w:tcW w:w="32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-18.04%</w:t>
            </w:r>
          </w:p>
        </w:tc>
      </w:tr>
      <w:tr>
        <w:trPr>
          <w:trHeight w:val="222"/>
        </w:trPr>
        <w:tc>
          <w:tcPr>
            <w:tcW w:w="4800" w:type="dxa"/>
            <w:vAlign w:val="bottom"/>
          </w:tcPr>
          <w:p>
            <w:pPr>
              <w:ind w:left="20"/>
              <w:spacing w:after="0"/>
              <w:rPr>
                <w:sz w:val="20"/>
                <w:szCs w:val="20"/>
                <w:color w:val="auto"/>
              </w:rPr>
            </w:pPr>
            <w:r>
              <w:rPr>
                <w:rFonts w:ascii="Arial" w:cs="Arial" w:eastAsia="Arial" w:hAnsi="Arial"/>
                <w:sz w:val="16"/>
                <w:szCs w:val="16"/>
                <w:color w:val="auto"/>
              </w:rPr>
              <w:t>Vanguard Small Cap Index Fund Admiral Shares</w:t>
            </w:r>
          </w:p>
        </w:tc>
        <w:tc>
          <w:tcPr>
            <w:tcW w:w="3220" w:type="dxa"/>
            <w:vAlign w:val="bottom"/>
          </w:tcPr>
          <w:p>
            <w:pPr>
              <w:jc w:val="right"/>
              <w:spacing w:after="0"/>
              <w:rPr>
                <w:sz w:val="20"/>
                <w:szCs w:val="20"/>
                <w:color w:val="auto"/>
              </w:rPr>
            </w:pPr>
            <w:r>
              <w:rPr>
                <w:rFonts w:ascii="Arial" w:cs="Arial" w:eastAsia="Arial" w:hAnsi="Arial"/>
                <w:sz w:val="16"/>
                <w:szCs w:val="16"/>
                <w:color w:val="auto"/>
              </w:rPr>
              <w:t>-16.96%</w:t>
            </w:r>
          </w:p>
        </w:tc>
      </w:tr>
      <w:tr>
        <w:trPr>
          <w:trHeight w:val="237"/>
        </w:trPr>
        <w:tc>
          <w:tcPr>
            <w:tcW w:w="4800" w:type="dxa"/>
            <w:vAlign w:val="bottom"/>
            <w:shd w:val="clear" w:color="auto" w:fill="D9D9D9"/>
          </w:tcPr>
          <w:p>
            <w:pPr>
              <w:ind w:left="20"/>
              <w:spacing w:after="0"/>
              <w:rPr>
                <w:sz w:val="20"/>
                <w:szCs w:val="20"/>
                <w:color w:val="auto"/>
              </w:rPr>
            </w:pPr>
            <w:r>
              <w:rPr>
                <w:rFonts w:ascii="Arial" w:cs="Arial" w:eastAsia="Arial" w:hAnsi="Arial"/>
                <w:sz w:val="16"/>
                <w:szCs w:val="16"/>
                <w:color w:val="auto"/>
              </w:rPr>
              <w:t>Vanguard Target Retirement 2020 Fund</w:t>
            </w:r>
          </w:p>
        </w:tc>
        <w:tc>
          <w:tcPr>
            <w:tcW w:w="32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-15.72%</w:t>
            </w:r>
          </w:p>
        </w:tc>
      </w:tr>
      <w:tr>
        <w:trPr>
          <w:trHeight w:val="222"/>
        </w:trPr>
        <w:tc>
          <w:tcPr>
            <w:tcW w:w="4800" w:type="dxa"/>
            <w:vAlign w:val="bottom"/>
          </w:tcPr>
          <w:p>
            <w:pPr>
              <w:ind w:left="20"/>
              <w:spacing w:after="0"/>
              <w:rPr>
                <w:sz w:val="20"/>
                <w:szCs w:val="20"/>
                <w:color w:val="auto"/>
              </w:rPr>
            </w:pPr>
            <w:r>
              <w:rPr>
                <w:rFonts w:ascii="Arial" w:cs="Arial" w:eastAsia="Arial" w:hAnsi="Arial"/>
                <w:sz w:val="16"/>
                <w:szCs w:val="16"/>
                <w:color w:val="auto"/>
              </w:rPr>
              <w:t>Vanguard Target Retirement 2025 Fund</w:t>
            </w:r>
          </w:p>
        </w:tc>
        <w:tc>
          <w:tcPr>
            <w:tcW w:w="3220" w:type="dxa"/>
            <w:vAlign w:val="bottom"/>
          </w:tcPr>
          <w:p>
            <w:pPr>
              <w:jc w:val="right"/>
              <w:spacing w:after="0"/>
              <w:rPr>
                <w:sz w:val="20"/>
                <w:szCs w:val="20"/>
                <w:color w:val="auto"/>
              </w:rPr>
            </w:pPr>
            <w:r>
              <w:rPr>
                <w:rFonts w:ascii="Arial" w:cs="Arial" w:eastAsia="Arial" w:hAnsi="Arial"/>
                <w:sz w:val="16"/>
                <w:szCs w:val="16"/>
                <w:color w:val="auto"/>
              </w:rPr>
              <w:t>-17.15%</w:t>
            </w:r>
          </w:p>
        </w:tc>
      </w:tr>
      <w:tr>
        <w:trPr>
          <w:trHeight w:val="237"/>
        </w:trPr>
        <w:tc>
          <w:tcPr>
            <w:tcW w:w="4800" w:type="dxa"/>
            <w:vAlign w:val="bottom"/>
            <w:shd w:val="clear" w:color="auto" w:fill="D9D9D9"/>
          </w:tcPr>
          <w:p>
            <w:pPr>
              <w:ind w:left="20"/>
              <w:spacing w:after="0"/>
              <w:rPr>
                <w:sz w:val="20"/>
                <w:szCs w:val="20"/>
                <w:color w:val="auto"/>
              </w:rPr>
            </w:pPr>
            <w:r>
              <w:rPr>
                <w:rFonts w:ascii="Arial" w:cs="Arial" w:eastAsia="Arial" w:hAnsi="Arial"/>
                <w:sz w:val="16"/>
                <w:szCs w:val="16"/>
                <w:color w:val="auto"/>
              </w:rPr>
              <w:t>Vanguard Target Retirement 2030 Fund</w:t>
            </w:r>
          </w:p>
        </w:tc>
        <w:tc>
          <w:tcPr>
            <w:tcW w:w="32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-17.92%</w:t>
            </w:r>
          </w:p>
        </w:tc>
      </w:tr>
      <w:tr>
        <w:trPr>
          <w:trHeight w:val="222"/>
        </w:trPr>
        <w:tc>
          <w:tcPr>
            <w:tcW w:w="4800" w:type="dxa"/>
            <w:vAlign w:val="bottom"/>
          </w:tcPr>
          <w:p>
            <w:pPr>
              <w:ind w:left="20"/>
              <w:spacing w:after="0"/>
              <w:rPr>
                <w:sz w:val="20"/>
                <w:szCs w:val="20"/>
                <w:color w:val="auto"/>
              </w:rPr>
            </w:pPr>
            <w:r>
              <w:rPr>
                <w:rFonts w:ascii="Arial" w:cs="Arial" w:eastAsia="Arial" w:hAnsi="Arial"/>
                <w:sz w:val="16"/>
                <w:szCs w:val="16"/>
                <w:color w:val="auto"/>
              </w:rPr>
              <w:t>Vanguard Target Retirement 2035 Fund</w:t>
            </w:r>
          </w:p>
        </w:tc>
        <w:tc>
          <w:tcPr>
            <w:tcW w:w="3220" w:type="dxa"/>
            <w:vAlign w:val="bottom"/>
          </w:tcPr>
          <w:p>
            <w:pPr>
              <w:jc w:val="right"/>
              <w:spacing w:after="0"/>
              <w:rPr>
                <w:sz w:val="20"/>
                <w:szCs w:val="20"/>
                <w:color w:val="auto"/>
              </w:rPr>
            </w:pPr>
            <w:r>
              <w:rPr>
                <w:rFonts w:ascii="Arial" w:cs="Arial" w:eastAsia="Arial" w:hAnsi="Arial"/>
                <w:sz w:val="16"/>
                <w:szCs w:val="16"/>
                <w:color w:val="auto"/>
              </w:rPr>
              <w:t>-18.34%</w:t>
            </w:r>
          </w:p>
        </w:tc>
      </w:tr>
      <w:tr>
        <w:trPr>
          <w:trHeight w:val="237"/>
        </w:trPr>
        <w:tc>
          <w:tcPr>
            <w:tcW w:w="4800" w:type="dxa"/>
            <w:vAlign w:val="bottom"/>
            <w:shd w:val="clear" w:color="auto" w:fill="D9D9D9"/>
          </w:tcPr>
          <w:p>
            <w:pPr>
              <w:ind w:left="20"/>
              <w:spacing w:after="0"/>
              <w:rPr>
                <w:sz w:val="20"/>
                <w:szCs w:val="20"/>
                <w:color w:val="auto"/>
              </w:rPr>
            </w:pPr>
            <w:r>
              <w:rPr>
                <w:rFonts w:ascii="Arial" w:cs="Arial" w:eastAsia="Arial" w:hAnsi="Arial"/>
                <w:sz w:val="16"/>
                <w:szCs w:val="16"/>
                <w:color w:val="auto"/>
              </w:rPr>
              <w:t>Vanguard Target Retirement 2040 Fund</w:t>
            </w:r>
          </w:p>
        </w:tc>
        <w:tc>
          <w:tcPr>
            <w:tcW w:w="32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-18.80%</w:t>
            </w:r>
          </w:p>
        </w:tc>
      </w:tr>
      <w:tr>
        <w:trPr>
          <w:trHeight w:val="222"/>
        </w:trPr>
        <w:tc>
          <w:tcPr>
            <w:tcW w:w="4800" w:type="dxa"/>
            <w:vAlign w:val="bottom"/>
          </w:tcPr>
          <w:p>
            <w:pPr>
              <w:ind w:left="20"/>
              <w:spacing w:after="0"/>
              <w:rPr>
                <w:sz w:val="20"/>
                <w:szCs w:val="20"/>
                <w:color w:val="auto"/>
              </w:rPr>
            </w:pPr>
            <w:r>
              <w:rPr>
                <w:rFonts w:ascii="Arial" w:cs="Arial" w:eastAsia="Arial" w:hAnsi="Arial"/>
                <w:sz w:val="16"/>
                <w:szCs w:val="16"/>
                <w:color w:val="auto"/>
              </w:rPr>
              <w:t>Vanguard Target Retirement 2045 Fund</w:t>
            </w:r>
          </w:p>
        </w:tc>
        <w:tc>
          <w:tcPr>
            <w:tcW w:w="3220" w:type="dxa"/>
            <w:vAlign w:val="bottom"/>
          </w:tcPr>
          <w:p>
            <w:pPr>
              <w:jc w:val="right"/>
              <w:spacing w:after="0"/>
              <w:rPr>
                <w:sz w:val="20"/>
                <w:szCs w:val="20"/>
                <w:color w:val="auto"/>
              </w:rPr>
            </w:pPr>
            <w:r>
              <w:rPr>
                <w:rFonts w:ascii="Arial" w:cs="Arial" w:eastAsia="Arial" w:hAnsi="Arial"/>
                <w:sz w:val="16"/>
                <w:szCs w:val="16"/>
                <w:color w:val="auto"/>
              </w:rPr>
              <w:t>-19.22%</w:t>
            </w:r>
          </w:p>
        </w:tc>
      </w:tr>
      <w:tr>
        <w:trPr>
          <w:trHeight w:val="237"/>
        </w:trPr>
        <w:tc>
          <w:tcPr>
            <w:tcW w:w="4800" w:type="dxa"/>
            <w:vAlign w:val="bottom"/>
            <w:shd w:val="clear" w:color="auto" w:fill="D9D9D9"/>
          </w:tcPr>
          <w:p>
            <w:pPr>
              <w:ind w:left="20"/>
              <w:spacing w:after="0"/>
              <w:rPr>
                <w:sz w:val="20"/>
                <w:szCs w:val="20"/>
                <w:color w:val="auto"/>
              </w:rPr>
            </w:pPr>
            <w:r>
              <w:rPr>
                <w:rFonts w:ascii="Arial" w:cs="Arial" w:eastAsia="Arial" w:hAnsi="Arial"/>
                <w:sz w:val="16"/>
                <w:szCs w:val="16"/>
                <w:color w:val="auto"/>
              </w:rPr>
              <w:t>Vanguard Target Retirement 2050 Fund</w:t>
            </w:r>
          </w:p>
        </w:tc>
        <w:tc>
          <w:tcPr>
            <w:tcW w:w="32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-19.39%</w:t>
            </w:r>
          </w:p>
        </w:tc>
      </w:tr>
      <w:tr>
        <w:trPr>
          <w:trHeight w:val="222"/>
        </w:trPr>
        <w:tc>
          <w:tcPr>
            <w:tcW w:w="4800" w:type="dxa"/>
            <w:vAlign w:val="bottom"/>
          </w:tcPr>
          <w:p>
            <w:pPr>
              <w:ind w:left="20"/>
              <w:spacing w:after="0"/>
              <w:rPr>
                <w:sz w:val="20"/>
                <w:szCs w:val="20"/>
                <w:color w:val="auto"/>
              </w:rPr>
            </w:pPr>
            <w:r>
              <w:rPr>
                <w:rFonts w:ascii="Arial" w:cs="Arial" w:eastAsia="Arial" w:hAnsi="Arial"/>
                <w:sz w:val="16"/>
                <w:szCs w:val="16"/>
                <w:color w:val="auto"/>
              </w:rPr>
              <w:t>Vanguard Target Retirement 2055 Fund</w:t>
            </w:r>
          </w:p>
        </w:tc>
        <w:tc>
          <w:tcPr>
            <w:tcW w:w="3220" w:type="dxa"/>
            <w:vAlign w:val="bottom"/>
          </w:tcPr>
          <w:p>
            <w:pPr>
              <w:jc w:val="right"/>
              <w:spacing w:after="0"/>
              <w:rPr>
                <w:sz w:val="20"/>
                <w:szCs w:val="20"/>
                <w:color w:val="auto"/>
              </w:rPr>
            </w:pPr>
            <w:r>
              <w:rPr>
                <w:rFonts w:ascii="Arial" w:cs="Arial" w:eastAsia="Arial" w:hAnsi="Arial"/>
                <w:sz w:val="16"/>
                <w:szCs w:val="16"/>
                <w:color w:val="auto"/>
              </w:rPr>
              <w:t>-19.39%</w:t>
            </w:r>
          </w:p>
        </w:tc>
      </w:tr>
      <w:tr>
        <w:trPr>
          <w:trHeight w:val="237"/>
        </w:trPr>
        <w:tc>
          <w:tcPr>
            <w:tcW w:w="4800" w:type="dxa"/>
            <w:vAlign w:val="bottom"/>
            <w:shd w:val="clear" w:color="auto" w:fill="D9D9D9"/>
          </w:tcPr>
          <w:p>
            <w:pPr>
              <w:ind w:left="20"/>
              <w:spacing w:after="0"/>
              <w:rPr>
                <w:sz w:val="20"/>
                <w:szCs w:val="20"/>
                <w:color w:val="auto"/>
              </w:rPr>
            </w:pPr>
            <w:r>
              <w:rPr>
                <w:rFonts w:ascii="Arial" w:cs="Arial" w:eastAsia="Arial" w:hAnsi="Arial"/>
                <w:sz w:val="16"/>
                <w:szCs w:val="16"/>
                <w:color w:val="auto"/>
              </w:rPr>
              <w:t>Vanguard Target Retirement 2060 Fund</w:t>
            </w:r>
          </w:p>
        </w:tc>
        <w:tc>
          <w:tcPr>
            <w:tcW w:w="32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-19.36%</w:t>
            </w:r>
          </w:p>
        </w:tc>
      </w:tr>
      <w:tr>
        <w:trPr>
          <w:trHeight w:val="222"/>
        </w:trPr>
        <w:tc>
          <w:tcPr>
            <w:tcW w:w="4800" w:type="dxa"/>
            <w:vAlign w:val="bottom"/>
          </w:tcPr>
          <w:p>
            <w:pPr>
              <w:ind w:left="20"/>
              <w:spacing w:after="0"/>
              <w:rPr>
                <w:sz w:val="20"/>
                <w:szCs w:val="20"/>
                <w:color w:val="auto"/>
              </w:rPr>
            </w:pPr>
            <w:r>
              <w:rPr>
                <w:rFonts w:ascii="Arial" w:cs="Arial" w:eastAsia="Arial" w:hAnsi="Arial"/>
                <w:sz w:val="16"/>
                <w:szCs w:val="16"/>
                <w:color w:val="auto"/>
              </w:rPr>
              <w:t>Vanguard Target Retirement 2065 Fund</w:t>
            </w:r>
          </w:p>
        </w:tc>
        <w:tc>
          <w:tcPr>
            <w:tcW w:w="3220" w:type="dxa"/>
            <w:vAlign w:val="bottom"/>
          </w:tcPr>
          <w:p>
            <w:pPr>
              <w:jc w:val="right"/>
              <w:spacing w:after="0"/>
              <w:rPr>
                <w:sz w:val="20"/>
                <w:szCs w:val="20"/>
                <w:color w:val="auto"/>
              </w:rPr>
            </w:pPr>
            <w:r>
              <w:rPr>
                <w:rFonts w:ascii="Arial" w:cs="Arial" w:eastAsia="Arial" w:hAnsi="Arial"/>
                <w:sz w:val="16"/>
                <w:szCs w:val="16"/>
                <w:color w:val="auto"/>
              </w:rPr>
              <w:t>-19.32%</w:t>
            </w:r>
          </w:p>
        </w:tc>
      </w:tr>
      <w:tr>
        <w:trPr>
          <w:trHeight w:val="237"/>
        </w:trPr>
        <w:tc>
          <w:tcPr>
            <w:tcW w:w="4800" w:type="dxa"/>
            <w:vAlign w:val="bottom"/>
            <w:shd w:val="clear" w:color="auto" w:fill="D9D9D9"/>
          </w:tcPr>
          <w:p>
            <w:pPr>
              <w:ind w:left="20"/>
              <w:spacing w:after="0"/>
              <w:rPr>
                <w:sz w:val="20"/>
                <w:szCs w:val="20"/>
                <w:color w:val="auto"/>
              </w:rPr>
            </w:pPr>
            <w:r>
              <w:rPr>
                <w:rFonts w:ascii="Arial" w:cs="Arial" w:eastAsia="Arial" w:hAnsi="Arial"/>
                <w:sz w:val="16"/>
                <w:szCs w:val="16"/>
                <w:color w:val="auto"/>
              </w:rPr>
              <w:t>Vanguard Target Retirement Income Fund</w:t>
            </w:r>
          </w:p>
        </w:tc>
        <w:tc>
          <w:tcPr>
            <w:tcW w:w="32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-14.14%</w:t>
            </w:r>
          </w:p>
        </w:tc>
      </w:tr>
    </w:tbl>
    <w:p>
      <w:pPr>
        <w:spacing w:after="0" w:line="35" w:lineRule="exact"/>
        <w:rPr>
          <w:sz w:val="20"/>
          <w:szCs w:val="20"/>
          <w:color w:val="auto"/>
        </w:rPr>
      </w:pPr>
    </w:p>
    <w:p>
      <w:pPr>
        <w:ind w:left="400" w:hanging="392"/>
        <w:spacing w:after="0" w:line="275" w:lineRule="auto"/>
        <w:tabs>
          <w:tab w:leader="none" w:pos="4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Amounts reported represent the total balance at October 31, 2022, the last day of fiscal 2022, plus any NEO’s or Company contributions for fiscal 2022 that were paid, or expected to be paid, after October 31, 2022. Includes the following amounts reported in the “Summary Compensation Table” in the “Base Salary” or “Non-Equity Incentive Plan Compensation” column for fiscal years 2020 and 2021:</w:t>
      </w:r>
    </w:p>
    <w:p>
      <w:pPr>
        <w:spacing w:after="0" w:line="8"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760" w:type="dxa"/>
            <w:vAlign w:val="bottom"/>
            <w:shd w:val="clear" w:color="auto" w:fill="C00000"/>
          </w:tcPr>
          <w:p>
            <w:pPr>
              <w:spacing w:after="0"/>
              <w:rPr>
                <w:sz w:val="20"/>
                <w:szCs w:val="20"/>
                <w:color w:val="auto"/>
              </w:rPr>
            </w:pPr>
            <w:r>
              <w:rPr>
                <w:rFonts w:ascii="Arial" w:cs="Arial" w:eastAsia="Arial" w:hAnsi="Arial"/>
                <w:sz w:val="16"/>
                <w:szCs w:val="16"/>
                <w:b w:val="1"/>
                <w:bCs w:val="1"/>
                <w:color w:val="FFFFFF"/>
              </w:rPr>
              <w:t>Name</w:t>
            </w:r>
          </w:p>
        </w:tc>
        <w:tc>
          <w:tcPr>
            <w:tcW w:w="2240" w:type="dxa"/>
            <w:vAlign w:val="bottom"/>
            <w:shd w:val="clear" w:color="auto" w:fill="C00000"/>
          </w:tcPr>
          <w:p>
            <w:pPr>
              <w:jc w:val="right"/>
              <w:spacing w:after="0"/>
              <w:rPr>
                <w:sz w:val="20"/>
                <w:szCs w:val="20"/>
                <w:color w:val="auto"/>
              </w:rPr>
            </w:pPr>
            <w:r>
              <w:rPr>
                <w:rFonts w:ascii="Arial" w:cs="Arial" w:eastAsia="Arial" w:hAnsi="Arial"/>
                <w:sz w:val="16"/>
                <w:szCs w:val="16"/>
                <w:b w:val="1"/>
                <w:bCs w:val="1"/>
                <w:color w:val="FFFFFF"/>
              </w:rPr>
              <w:t>Amount ($)</w:t>
            </w:r>
          </w:p>
        </w:tc>
      </w:tr>
      <w:tr>
        <w:trPr>
          <w:trHeight w:val="229"/>
        </w:trPr>
        <w:tc>
          <w:tcPr>
            <w:tcW w:w="20" w:type="dxa"/>
            <w:vAlign w:val="bottom"/>
          </w:tcPr>
          <w:p>
            <w:pPr>
              <w:spacing w:after="0"/>
              <w:rPr>
                <w:sz w:val="19"/>
                <w:szCs w:val="19"/>
                <w:color w:val="auto"/>
              </w:rPr>
            </w:pPr>
          </w:p>
        </w:tc>
        <w:tc>
          <w:tcPr>
            <w:tcW w:w="5760" w:type="dxa"/>
            <w:vAlign w:val="bottom"/>
            <w:shd w:val="clear" w:color="auto" w:fill="D9D9D9"/>
          </w:tcPr>
          <w:p>
            <w:pPr>
              <w:spacing w:after="0"/>
              <w:rPr>
                <w:sz w:val="20"/>
                <w:szCs w:val="20"/>
                <w:color w:val="auto"/>
              </w:rPr>
            </w:pPr>
            <w:r>
              <w:rPr>
                <w:rFonts w:ascii="Arial" w:cs="Arial" w:eastAsia="Arial" w:hAnsi="Arial"/>
                <w:sz w:val="16"/>
                <w:szCs w:val="16"/>
                <w:color w:val="auto"/>
              </w:rPr>
              <w:t>Mr. Olson</w:t>
            </w:r>
          </w:p>
        </w:tc>
        <w:tc>
          <w:tcPr>
            <w:tcW w:w="22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840,922</w:t>
            </w:r>
          </w:p>
        </w:tc>
      </w:tr>
      <w:tr>
        <w:trPr>
          <w:trHeight w:val="215"/>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6"/>
                <w:szCs w:val="16"/>
                <w:color w:val="auto"/>
              </w:rPr>
              <w:t>Ms. Peterson</w:t>
            </w:r>
          </w:p>
        </w:tc>
        <w:tc>
          <w:tcPr>
            <w:tcW w:w="2240" w:type="dxa"/>
            <w:vAlign w:val="bottom"/>
          </w:tcPr>
          <w:p>
            <w:pPr>
              <w:jc w:val="right"/>
              <w:spacing w:after="0"/>
              <w:rPr>
                <w:sz w:val="20"/>
                <w:szCs w:val="20"/>
                <w:color w:val="auto"/>
              </w:rPr>
            </w:pPr>
            <w:r>
              <w:rPr>
                <w:rFonts w:ascii="Arial" w:cs="Arial" w:eastAsia="Arial" w:hAnsi="Arial"/>
                <w:sz w:val="16"/>
                <w:szCs w:val="16"/>
                <w:color w:val="auto"/>
              </w:rPr>
              <w:t>733,578</w:t>
            </w:r>
          </w:p>
        </w:tc>
      </w:tr>
      <w:tr>
        <w:trPr>
          <w:trHeight w:val="244"/>
        </w:trPr>
        <w:tc>
          <w:tcPr>
            <w:tcW w:w="20" w:type="dxa"/>
            <w:vAlign w:val="bottom"/>
          </w:tcPr>
          <w:p>
            <w:pPr>
              <w:spacing w:after="0"/>
              <w:rPr>
                <w:sz w:val="21"/>
                <w:szCs w:val="21"/>
                <w:color w:val="auto"/>
              </w:rPr>
            </w:pPr>
          </w:p>
        </w:tc>
        <w:tc>
          <w:tcPr>
            <w:tcW w:w="5760" w:type="dxa"/>
            <w:vAlign w:val="bottom"/>
            <w:shd w:val="clear" w:color="auto" w:fill="E7E6E6"/>
          </w:tcPr>
          <w:p>
            <w:pPr>
              <w:spacing w:after="0"/>
              <w:rPr>
                <w:sz w:val="20"/>
                <w:szCs w:val="20"/>
                <w:color w:val="auto"/>
              </w:rPr>
            </w:pPr>
            <w:r>
              <w:rPr>
                <w:rFonts w:ascii="Arial" w:cs="Arial" w:eastAsia="Arial" w:hAnsi="Arial"/>
                <w:sz w:val="16"/>
                <w:szCs w:val="16"/>
                <w:color w:val="auto"/>
              </w:rPr>
              <w:t>Mr. Carpenter</w:t>
            </w:r>
          </w:p>
        </w:tc>
        <w:tc>
          <w:tcPr>
            <w:tcW w:w="22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0</w:t>
            </w:r>
          </w:p>
        </w:tc>
      </w:tr>
      <w:tr>
        <w:trPr>
          <w:trHeight w:val="215"/>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6"/>
                <w:szCs w:val="16"/>
                <w:color w:val="auto"/>
              </w:rPr>
              <w:t>Mr. Rodier</w:t>
            </w:r>
          </w:p>
        </w:tc>
        <w:tc>
          <w:tcPr>
            <w:tcW w:w="2240" w:type="dxa"/>
            <w:vAlign w:val="bottom"/>
          </w:tcPr>
          <w:p>
            <w:pPr>
              <w:jc w:val="right"/>
              <w:spacing w:after="0"/>
              <w:rPr>
                <w:sz w:val="20"/>
                <w:szCs w:val="20"/>
                <w:color w:val="auto"/>
              </w:rPr>
            </w:pPr>
            <w:r>
              <w:rPr>
                <w:rFonts w:ascii="Arial" w:cs="Arial" w:eastAsia="Arial" w:hAnsi="Arial"/>
                <w:sz w:val="16"/>
                <w:szCs w:val="16"/>
                <w:color w:val="auto"/>
              </w:rPr>
              <w:t>1,056,498</w:t>
            </w:r>
          </w:p>
        </w:tc>
      </w:tr>
      <w:tr>
        <w:trPr>
          <w:trHeight w:val="244"/>
        </w:trPr>
        <w:tc>
          <w:tcPr>
            <w:tcW w:w="20" w:type="dxa"/>
            <w:vAlign w:val="bottom"/>
          </w:tcPr>
          <w:p>
            <w:pPr>
              <w:spacing w:after="0"/>
              <w:rPr>
                <w:sz w:val="21"/>
                <w:szCs w:val="21"/>
                <w:color w:val="auto"/>
              </w:rPr>
            </w:pPr>
          </w:p>
        </w:tc>
        <w:tc>
          <w:tcPr>
            <w:tcW w:w="5760" w:type="dxa"/>
            <w:vAlign w:val="bottom"/>
            <w:shd w:val="clear" w:color="auto" w:fill="D9D9D9"/>
          </w:tcPr>
          <w:p>
            <w:pPr>
              <w:spacing w:after="0"/>
              <w:rPr>
                <w:sz w:val="20"/>
                <w:szCs w:val="20"/>
                <w:color w:val="auto"/>
              </w:rPr>
            </w:pPr>
            <w:r>
              <w:rPr>
                <w:rFonts w:ascii="Arial" w:cs="Arial" w:eastAsia="Arial" w:hAnsi="Arial"/>
                <w:sz w:val="16"/>
                <w:szCs w:val="16"/>
                <w:color w:val="auto"/>
              </w:rPr>
              <w:t>Ms. Dahl</w:t>
            </w:r>
          </w:p>
        </w:tc>
        <w:tc>
          <w:tcPr>
            <w:tcW w:w="22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825,818</w:t>
            </w:r>
          </w:p>
        </w:tc>
      </w:tr>
    </w:tbl>
    <w:p>
      <w:pPr>
        <w:spacing w:after="0" w:line="35" w:lineRule="exact"/>
        <w:rPr>
          <w:sz w:val="20"/>
          <w:szCs w:val="20"/>
          <w:color w:val="auto"/>
        </w:rPr>
      </w:pPr>
    </w:p>
    <w:p>
      <w:pPr>
        <w:ind w:left="400" w:right="100"/>
        <w:spacing w:after="0" w:line="271" w:lineRule="auto"/>
        <w:rPr>
          <w:sz w:val="20"/>
          <w:szCs w:val="20"/>
          <w:color w:val="auto"/>
        </w:rPr>
      </w:pPr>
      <w:r>
        <w:rPr>
          <w:rFonts w:ascii="Arial" w:cs="Arial" w:eastAsia="Arial" w:hAnsi="Arial"/>
          <w:sz w:val="18"/>
          <w:szCs w:val="18"/>
          <w:color w:val="auto"/>
        </w:rPr>
        <w:t>Includes the following amounts reported in the “Summary Compensation Table” in the “All Other Compensation” column for fiscal years 2020 and 2021.</w:t>
      </w:r>
    </w:p>
    <w:p>
      <w:pPr>
        <w:spacing w:after="0" w:line="10" w:lineRule="exact"/>
        <w:rPr>
          <w:sz w:val="20"/>
          <w:szCs w:val="20"/>
          <w:color w:val="auto"/>
        </w:rPr>
      </w:pPr>
    </w:p>
    <w:tbl>
      <w:tblPr>
        <w:tblLayout w:type="fixed"/>
        <w:tblInd w:w="40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060" w:type="dxa"/>
            <w:vAlign w:val="bottom"/>
            <w:shd w:val="clear" w:color="auto" w:fill="C00000"/>
          </w:tcPr>
          <w:p>
            <w:pPr>
              <w:spacing w:after="0"/>
              <w:rPr>
                <w:sz w:val="20"/>
                <w:szCs w:val="20"/>
                <w:color w:val="auto"/>
              </w:rPr>
            </w:pPr>
            <w:r>
              <w:rPr>
                <w:rFonts w:ascii="Arial" w:cs="Arial" w:eastAsia="Arial" w:hAnsi="Arial"/>
                <w:sz w:val="16"/>
                <w:szCs w:val="16"/>
                <w:b w:val="1"/>
                <w:bCs w:val="1"/>
                <w:color w:val="FFFFFF"/>
              </w:rPr>
              <w:t>Name</w:t>
            </w:r>
          </w:p>
        </w:tc>
        <w:tc>
          <w:tcPr>
            <w:tcW w:w="3940" w:type="dxa"/>
            <w:vAlign w:val="bottom"/>
            <w:shd w:val="clear" w:color="auto" w:fill="C00000"/>
          </w:tcPr>
          <w:p>
            <w:pPr>
              <w:jc w:val="right"/>
              <w:spacing w:after="0"/>
              <w:rPr>
                <w:sz w:val="20"/>
                <w:szCs w:val="20"/>
                <w:color w:val="auto"/>
              </w:rPr>
            </w:pPr>
            <w:r>
              <w:rPr>
                <w:rFonts w:ascii="Arial" w:cs="Arial" w:eastAsia="Arial" w:hAnsi="Arial"/>
                <w:sz w:val="16"/>
                <w:szCs w:val="16"/>
                <w:b w:val="1"/>
                <w:bCs w:val="1"/>
                <w:color w:val="FFFFFF"/>
              </w:rPr>
              <w:t>Amount ($)</w:t>
            </w:r>
          </w:p>
        </w:tc>
      </w:tr>
      <w:tr>
        <w:trPr>
          <w:trHeight w:val="230"/>
        </w:trPr>
        <w:tc>
          <w:tcPr>
            <w:tcW w:w="20" w:type="dxa"/>
            <w:vAlign w:val="bottom"/>
          </w:tcPr>
          <w:p>
            <w:pPr>
              <w:spacing w:after="0"/>
              <w:rPr>
                <w:sz w:val="19"/>
                <w:szCs w:val="19"/>
                <w:color w:val="auto"/>
              </w:rPr>
            </w:pPr>
          </w:p>
        </w:tc>
        <w:tc>
          <w:tcPr>
            <w:tcW w:w="4060" w:type="dxa"/>
            <w:vAlign w:val="bottom"/>
            <w:shd w:val="clear" w:color="auto" w:fill="D9D9D9"/>
          </w:tcPr>
          <w:p>
            <w:pPr>
              <w:spacing w:after="0"/>
              <w:rPr>
                <w:sz w:val="20"/>
                <w:szCs w:val="20"/>
                <w:color w:val="auto"/>
              </w:rPr>
            </w:pPr>
            <w:r>
              <w:rPr>
                <w:rFonts w:ascii="Arial" w:cs="Arial" w:eastAsia="Arial" w:hAnsi="Arial"/>
                <w:sz w:val="16"/>
                <w:szCs w:val="16"/>
                <w:color w:val="auto"/>
              </w:rPr>
              <w:t>Mr. Olson</w:t>
            </w:r>
          </w:p>
        </w:tc>
        <w:tc>
          <w:tcPr>
            <w:tcW w:w="39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295,968</w:t>
            </w:r>
          </w:p>
        </w:tc>
      </w:tr>
      <w:tr>
        <w:trPr>
          <w:trHeight w:val="215"/>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6"/>
                <w:szCs w:val="16"/>
                <w:color w:val="auto"/>
              </w:rPr>
              <w:t>Ms. Peterson</w:t>
            </w:r>
          </w:p>
        </w:tc>
        <w:tc>
          <w:tcPr>
            <w:tcW w:w="3940" w:type="dxa"/>
            <w:vAlign w:val="bottom"/>
          </w:tcPr>
          <w:p>
            <w:pPr>
              <w:jc w:val="right"/>
              <w:spacing w:after="0"/>
              <w:rPr>
                <w:sz w:val="20"/>
                <w:szCs w:val="20"/>
                <w:color w:val="auto"/>
              </w:rPr>
            </w:pPr>
            <w:r>
              <w:rPr>
                <w:rFonts w:ascii="Arial" w:cs="Arial" w:eastAsia="Arial" w:hAnsi="Arial"/>
                <w:sz w:val="16"/>
                <w:szCs w:val="16"/>
                <w:color w:val="auto"/>
              </w:rPr>
              <w:t>107,884</w:t>
            </w:r>
          </w:p>
        </w:tc>
      </w:tr>
      <w:tr>
        <w:trPr>
          <w:trHeight w:val="244"/>
        </w:trPr>
        <w:tc>
          <w:tcPr>
            <w:tcW w:w="20" w:type="dxa"/>
            <w:vAlign w:val="bottom"/>
          </w:tcPr>
          <w:p>
            <w:pPr>
              <w:spacing w:after="0"/>
              <w:rPr>
                <w:sz w:val="21"/>
                <w:szCs w:val="21"/>
                <w:color w:val="auto"/>
              </w:rPr>
            </w:pPr>
          </w:p>
        </w:tc>
        <w:tc>
          <w:tcPr>
            <w:tcW w:w="4060" w:type="dxa"/>
            <w:vAlign w:val="bottom"/>
            <w:shd w:val="clear" w:color="auto" w:fill="E7E6E6"/>
          </w:tcPr>
          <w:p>
            <w:pPr>
              <w:spacing w:after="0"/>
              <w:rPr>
                <w:sz w:val="20"/>
                <w:szCs w:val="20"/>
                <w:color w:val="auto"/>
              </w:rPr>
            </w:pPr>
            <w:r>
              <w:rPr>
                <w:rFonts w:ascii="Arial" w:cs="Arial" w:eastAsia="Arial" w:hAnsi="Arial"/>
                <w:sz w:val="16"/>
                <w:szCs w:val="16"/>
                <w:color w:val="auto"/>
              </w:rPr>
              <w:t>Mr. Carpenter</w:t>
            </w:r>
          </w:p>
        </w:tc>
        <w:tc>
          <w:tcPr>
            <w:tcW w:w="3940" w:type="dxa"/>
            <w:vAlign w:val="bottom"/>
            <w:shd w:val="clear" w:color="auto" w:fill="E7E6E6"/>
          </w:tcPr>
          <w:p>
            <w:pPr>
              <w:jc w:val="right"/>
              <w:spacing w:after="0"/>
              <w:rPr>
                <w:sz w:val="20"/>
                <w:szCs w:val="20"/>
                <w:color w:val="auto"/>
              </w:rPr>
            </w:pPr>
            <w:r>
              <w:rPr>
                <w:rFonts w:ascii="Arial" w:cs="Arial" w:eastAsia="Arial" w:hAnsi="Arial"/>
                <w:sz w:val="16"/>
                <w:szCs w:val="16"/>
                <w:color w:val="auto"/>
              </w:rPr>
              <w:t>0</w:t>
            </w:r>
          </w:p>
        </w:tc>
      </w:tr>
      <w:tr>
        <w:trPr>
          <w:trHeight w:val="215"/>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6"/>
                <w:szCs w:val="16"/>
                <w:color w:val="auto"/>
              </w:rPr>
              <w:t>Mr. Rodier</w:t>
            </w:r>
          </w:p>
        </w:tc>
        <w:tc>
          <w:tcPr>
            <w:tcW w:w="3940" w:type="dxa"/>
            <w:vAlign w:val="bottom"/>
          </w:tcPr>
          <w:p>
            <w:pPr>
              <w:jc w:val="right"/>
              <w:spacing w:after="0"/>
              <w:rPr>
                <w:sz w:val="20"/>
                <w:szCs w:val="20"/>
                <w:color w:val="auto"/>
              </w:rPr>
            </w:pPr>
            <w:r>
              <w:rPr>
                <w:rFonts w:ascii="Arial" w:cs="Arial" w:eastAsia="Arial" w:hAnsi="Arial"/>
                <w:sz w:val="16"/>
                <w:szCs w:val="16"/>
                <w:color w:val="auto"/>
              </w:rPr>
              <w:t>36,299</w:t>
            </w:r>
          </w:p>
        </w:tc>
      </w:tr>
      <w:tr>
        <w:trPr>
          <w:trHeight w:val="244"/>
        </w:trPr>
        <w:tc>
          <w:tcPr>
            <w:tcW w:w="20" w:type="dxa"/>
            <w:vAlign w:val="bottom"/>
          </w:tcPr>
          <w:p>
            <w:pPr>
              <w:spacing w:after="0"/>
              <w:rPr>
                <w:sz w:val="21"/>
                <w:szCs w:val="21"/>
                <w:color w:val="auto"/>
              </w:rPr>
            </w:pPr>
          </w:p>
        </w:tc>
        <w:tc>
          <w:tcPr>
            <w:tcW w:w="4060" w:type="dxa"/>
            <w:vAlign w:val="bottom"/>
            <w:shd w:val="clear" w:color="auto" w:fill="D9D9D9"/>
          </w:tcPr>
          <w:p>
            <w:pPr>
              <w:spacing w:after="0"/>
              <w:rPr>
                <w:sz w:val="20"/>
                <w:szCs w:val="20"/>
                <w:color w:val="auto"/>
              </w:rPr>
            </w:pPr>
            <w:r>
              <w:rPr>
                <w:rFonts w:ascii="Arial" w:cs="Arial" w:eastAsia="Arial" w:hAnsi="Arial"/>
                <w:sz w:val="16"/>
                <w:szCs w:val="16"/>
                <w:color w:val="auto"/>
              </w:rPr>
              <w:t>Ms. Dahl</w:t>
            </w:r>
          </w:p>
        </w:tc>
        <w:tc>
          <w:tcPr>
            <w:tcW w:w="39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40,303</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Potential Payments Upon Termination or Change In Control</w:t>
      </w:r>
    </w:p>
    <w:p>
      <w:pPr>
        <w:spacing w:after="0" w:line="99" w:lineRule="exact"/>
        <w:rPr>
          <w:sz w:val="20"/>
          <w:szCs w:val="20"/>
          <w:color w:val="auto"/>
        </w:rPr>
      </w:pPr>
    </w:p>
    <w:p>
      <w:pPr>
        <w:ind w:right="80" w:firstLine="401"/>
        <w:spacing w:after="0" w:line="244"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The following discussion describes the payments and benefits to which our NEOs are entitled in various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and change in control situations. The intent of this discussion is to describe those payments and benefits for which the amount, vesting or time of payment is altered by the termination of employment or change in control situation. Therefore, this discussion does not describe all payments and benefits an NEO may receive following a termination or change in control, such as the following accrued, vested or non-forfeitable compensation and benefits:</w:t>
      </w:r>
    </w:p>
    <w:p>
      <w:pPr>
        <w:spacing w:after="0" w:line="14" w:lineRule="exact"/>
        <w:rPr>
          <w:sz w:val="20"/>
          <w:szCs w:val="20"/>
          <w:color w:val="auto"/>
        </w:rPr>
      </w:pPr>
    </w:p>
    <w:p>
      <w:pPr>
        <w:ind w:left="800" w:right="660" w:hanging="401"/>
        <w:spacing w:after="0" w:line="266" w:lineRule="auto"/>
        <w:tabs>
          <w:tab w:leader="none" w:pos="800" w:val="left"/>
        </w:tabs>
        <w:numPr>
          <w:ilvl w:val="0"/>
          <w:numId w:val="73"/>
        </w:numPr>
        <w:rPr>
          <w:rFonts w:ascii="Times New Roman" w:cs="Times New Roman" w:eastAsia="Times New Roman" w:hAnsi="Times New Roman"/>
          <w:sz w:val="16"/>
          <w:szCs w:val="16"/>
          <w:color w:val="auto"/>
        </w:rPr>
      </w:pPr>
      <w:r>
        <w:rPr>
          <w:rFonts w:ascii="Arial" w:cs="Arial" w:eastAsia="Arial" w:hAnsi="Arial"/>
          <w:sz w:val="18"/>
          <w:szCs w:val="18"/>
          <w:color w:val="auto"/>
        </w:rPr>
        <w:t>Payment of individual contributions to our Deferred Plan and Deferred Plan for Officers in accordance with prior distribution elections, as described under “Nonqualified Deferred Compensation for Fiscal 2022”;</w:t>
      </w:r>
    </w:p>
    <w:p>
      <w:pPr>
        <w:ind w:left="800" w:right="140" w:hanging="401"/>
        <w:spacing w:after="0" w:line="266" w:lineRule="auto"/>
        <w:tabs>
          <w:tab w:leader="none" w:pos="800" w:val="left"/>
        </w:tabs>
        <w:numPr>
          <w:ilvl w:val="0"/>
          <w:numId w:val="73"/>
        </w:numPr>
        <w:rPr>
          <w:rFonts w:ascii="Times New Roman" w:cs="Times New Roman" w:eastAsia="Times New Roman" w:hAnsi="Times New Roman"/>
          <w:sz w:val="16"/>
          <w:szCs w:val="16"/>
          <w:color w:val="auto"/>
        </w:rPr>
      </w:pPr>
      <w:r>
        <w:rPr>
          <w:rFonts w:ascii="Arial" w:cs="Arial" w:eastAsia="Arial" w:hAnsi="Arial"/>
          <w:sz w:val="18"/>
          <w:szCs w:val="18"/>
          <w:color w:val="auto"/>
        </w:rPr>
        <w:t>Payment of Company contributions on behalf of the NEO under our Supplemental Benefit Plan, as described under “Nonqualified Deferred Compensation for Fiscal 2022”;</w:t>
      </w:r>
    </w:p>
    <w:p>
      <w:pPr>
        <w:ind w:left="800" w:hanging="401"/>
        <w:spacing w:after="0" w:line="281" w:lineRule="auto"/>
        <w:tabs>
          <w:tab w:leader="none" w:pos="800" w:val="left"/>
        </w:tabs>
        <w:numPr>
          <w:ilvl w:val="0"/>
          <w:numId w:val="73"/>
        </w:numPr>
        <w:rPr>
          <w:rFonts w:ascii="Times New Roman" w:cs="Times New Roman" w:eastAsia="Times New Roman" w:hAnsi="Times New Roman"/>
          <w:sz w:val="15"/>
          <w:szCs w:val="15"/>
          <w:color w:val="auto"/>
        </w:rPr>
      </w:pPr>
      <w:r>
        <w:rPr>
          <w:rFonts w:ascii="Arial" w:cs="Arial" w:eastAsia="Arial" w:hAnsi="Arial"/>
          <w:sz w:val="17"/>
          <w:szCs w:val="17"/>
          <w:color w:val="auto"/>
        </w:rPr>
        <w:t>Payment of individual contributions and vested Company investment fund contributions on behalf of the NEO under our Retirement Plan, as described under “Health, Welfare and Retirement Benefits and All Other Compensation—Retirement Benefits”;</w:t>
      </w:r>
    </w:p>
    <w:p>
      <w:pPr>
        <w:spacing w:after="0" w:line="1" w:lineRule="exact"/>
        <w:rPr>
          <w:rFonts w:ascii="Times New Roman" w:cs="Times New Roman" w:eastAsia="Times New Roman" w:hAnsi="Times New Roman"/>
          <w:sz w:val="15"/>
          <w:szCs w:val="15"/>
          <w:color w:val="auto"/>
        </w:rPr>
      </w:pPr>
    </w:p>
    <w:p>
      <w:pPr>
        <w:ind w:left="800" w:right="240" w:hanging="401"/>
        <w:spacing w:after="0" w:line="266" w:lineRule="auto"/>
        <w:tabs>
          <w:tab w:leader="none" w:pos="800" w:val="left"/>
        </w:tabs>
        <w:numPr>
          <w:ilvl w:val="0"/>
          <w:numId w:val="73"/>
        </w:numPr>
        <w:rPr>
          <w:rFonts w:ascii="Times New Roman" w:cs="Times New Roman" w:eastAsia="Times New Roman" w:hAnsi="Times New Roman"/>
          <w:sz w:val="16"/>
          <w:szCs w:val="16"/>
          <w:color w:val="auto"/>
        </w:rPr>
      </w:pPr>
      <w:r>
        <w:rPr>
          <w:rFonts w:ascii="Arial" w:cs="Arial" w:eastAsia="Arial" w:hAnsi="Arial"/>
          <w:sz w:val="18"/>
          <w:szCs w:val="18"/>
          <w:color w:val="auto"/>
        </w:rPr>
        <w:t>Payment of annual cash incentive awards if employed on the last day of the fiscal year and if threshold levels are met and at the percentage of the target achieved, as described under “Annual Cash Incentives”;</w:t>
      </w:r>
    </w:p>
    <w:p>
      <w:pPr>
        <w:ind w:left="800" w:right="100" w:hanging="401"/>
        <w:spacing w:after="0" w:line="266" w:lineRule="auto"/>
        <w:tabs>
          <w:tab w:leader="none" w:pos="800" w:val="left"/>
        </w:tabs>
        <w:numPr>
          <w:ilvl w:val="0"/>
          <w:numId w:val="73"/>
        </w:numPr>
        <w:rPr>
          <w:rFonts w:ascii="Times New Roman" w:cs="Times New Roman" w:eastAsia="Times New Roman" w:hAnsi="Times New Roman"/>
          <w:sz w:val="16"/>
          <w:szCs w:val="16"/>
          <w:color w:val="auto"/>
        </w:rPr>
      </w:pPr>
      <w:r>
        <w:rPr>
          <w:rFonts w:ascii="Arial" w:cs="Arial" w:eastAsia="Arial" w:hAnsi="Arial"/>
          <w:sz w:val="18"/>
          <w:szCs w:val="18"/>
          <w:color w:val="auto"/>
        </w:rPr>
        <w:t>Payout for performance share awards if employed on the last day of the performance period and if threshold levels are met and at the percentage of the target achieved, as described under “Long-Term Incentives—Performance Share Awards”;</w:t>
      </w:r>
    </w:p>
    <w:p>
      <w:pPr>
        <w:ind w:left="800" w:hanging="401"/>
        <w:spacing w:after="0"/>
        <w:tabs>
          <w:tab w:leader="none" w:pos="800" w:val="left"/>
        </w:tabs>
        <w:numPr>
          <w:ilvl w:val="0"/>
          <w:numId w:val="73"/>
        </w:numPr>
        <w:rPr>
          <w:rFonts w:ascii="Times New Roman" w:cs="Times New Roman" w:eastAsia="Times New Roman" w:hAnsi="Times New Roman"/>
          <w:sz w:val="16"/>
          <w:szCs w:val="16"/>
          <w:color w:val="auto"/>
        </w:rPr>
      </w:pPr>
      <w:r>
        <w:rPr>
          <w:rFonts w:ascii="Arial" w:cs="Arial" w:eastAsia="Arial" w:hAnsi="Arial"/>
          <w:sz w:val="18"/>
          <w:szCs w:val="18"/>
          <w:color w:val="auto"/>
        </w:rPr>
        <w:t>Exercise of stock options that had vested prior to the date of termination; and</w:t>
      </w:r>
    </w:p>
    <w:p>
      <w:pPr>
        <w:spacing w:after="0" w:line="49" w:lineRule="exact"/>
        <w:rPr>
          <w:rFonts w:ascii="Times New Roman" w:cs="Times New Roman" w:eastAsia="Times New Roman" w:hAnsi="Times New Roman"/>
          <w:sz w:val="16"/>
          <w:szCs w:val="16"/>
          <w:color w:val="auto"/>
        </w:rPr>
      </w:pPr>
    </w:p>
    <w:p>
      <w:pPr>
        <w:ind w:left="800" w:right="140" w:hanging="401"/>
        <w:spacing w:after="0" w:line="271" w:lineRule="auto"/>
        <w:tabs>
          <w:tab w:leader="none" w:pos="800" w:val="left"/>
        </w:tabs>
        <w:numPr>
          <w:ilvl w:val="0"/>
          <w:numId w:val="73"/>
        </w:numPr>
        <w:rPr>
          <w:rFonts w:ascii="Times New Roman" w:cs="Times New Roman" w:eastAsia="Times New Roman" w:hAnsi="Times New Roman"/>
          <w:sz w:val="16"/>
          <w:szCs w:val="16"/>
          <w:color w:val="auto"/>
        </w:rPr>
      </w:pPr>
      <w:r>
        <w:rPr>
          <w:rFonts w:ascii="Arial" w:cs="Arial" w:eastAsia="Arial" w:hAnsi="Arial"/>
          <w:sz w:val="18"/>
          <w:szCs w:val="18"/>
          <w:color w:val="auto"/>
        </w:rPr>
        <w:t>Payouts under, and continuation of, health and welfare benefits under plans generally applicable to our U.S.-based office salaried employees.</w:t>
      </w:r>
    </w:p>
    <w:p>
      <w:pPr>
        <w:spacing w:after="0" w:line="46" w:lineRule="exact"/>
        <w:rPr>
          <w:sz w:val="20"/>
          <w:szCs w:val="20"/>
          <w:color w:val="auto"/>
        </w:rPr>
      </w:pPr>
    </w:p>
    <w:p>
      <w:pPr>
        <w:ind w:right="40" w:firstLine="401"/>
        <w:spacing w:after="0" w:line="244" w:lineRule="auto"/>
        <w:rPr>
          <w:sz w:val="20"/>
          <w:szCs w:val="20"/>
          <w:color w:val="auto"/>
        </w:rPr>
      </w:pPr>
      <w:r>
        <w:rPr>
          <w:rFonts w:ascii="Arial" w:cs="Arial" w:eastAsia="Arial" w:hAnsi="Arial"/>
          <w:sz w:val="18"/>
          <w:szCs w:val="18"/>
          <w:color w:val="auto"/>
        </w:rPr>
        <w:t>None of our executive officers have any employment or severance agreements or arrangements other than as provided for in our CIC policy and other than certain change in control provisions in our equity plans. Accordingly, our NEOs do not have the right to cash severance or additional benefits in connection with a termination of employment except in connection with a change in control of our Company, as described under “Potential Payments Upon Termination or Change in Control—Change in Control”. Each of our executive officers is a party to our standard confidentiality, invention and non-compete agreement.</w:t>
      </w:r>
    </w:p>
    <w:p>
      <w:pPr>
        <w:spacing w:after="0" w:line="68" w:lineRule="exact"/>
        <w:rPr>
          <w:sz w:val="20"/>
          <w:szCs w:val="20"/>
          <w:color w:val="auto"/>
        </w:rPr>
      </w:pPr>
    </w:p>
    <w:p>
      <w:pPr>
        <w:ind w:right="80" w:firstLine="401"/>
        <w:spacing w:after="0" w:line="247" w:lineRule="auto"/>
        <w:rPr>
          <w:sz w:val="20"/>
          <w:szCs w:val="20"/>
          <w:color w:val="auto"/>
        </w:rPr>
      </w:pPr>
      <w:r>
        <w:rPr>
          <w:rFonts w:ascii="Arial" w:cs="Arial" w:eastAsia="Arial" w:hAnsi="Arial"/>
          <w:sz w:val="18"/>
          <w:szCs w:val="18"/>
          <w:b w:val="1"/>
          <w:bCs w:val="1"/>
          <w:color w:val="auto"/>
        </w:rPr>
        <w:t xml:space="preserve">Voluntary Resignation and Retirement. </w:t>
      </w:r>
      <w:r>
        <w:rPr>
          <w:rFonts w:ascii="Arial" w:cs="Arial" w:eastAsia="Arial" w:hAnsi="Arial"/>
          <w:sz w:val="18"/>
          <w:szCs w:val="18"/>
          <w:color w:val="auto"/>
        </w:rPr>
        <w:t>In the event of an NEO’s voluntary resignation or retirement, we would not be obligated to</w:t>
      </w:r>
      <w:r>
        <w:rPr>
          <w:rFonts w:ascii="Arial" w:cs="Arial" w:eastAsia="Arial" w:hAnsi="Arial"/>
          <w:sz w:val="18"/>
          <w:szCs w:val="18"/>
          <w:b w:val="1"/>
          <w:bCs w:val="1"/>
          <w:color w:val="auto"/>
        </w:rPr>
        <w:t xml:space="preserve"> </w:t>
      </w:r>
      <w:r>
        <w:rPr>
          <w:rFonts w:ascii="Arial" w:cs="Arial" w:eastAsia="Arial" w:hAnsi="Arial"/>
          <w:sz w:val="18"/>
          <w:szCs w:val="18"/>
          <w:color w:val="auto"/>
        </w:rPr>
        <w:t>pay or provide any additional payments or benefits, unless the NEO meets the criteria for “retirement” in connection with his or her voluntary resignation. For purposes of our compensation arrangements, “retirement” generally means the voluntary termination of employment at or after the age of 55 and with a number of years of service that, when added together with the NEO’s age, equals at least 65.</w:t>
      </w:r>
    </w:p>
    <w:p>
      <w:pPr>
        <w:spacing w:after="0" w:line="66" w:lineRule="exact"/>
        <w:rPr>
          <w:sz w:val="20"/>
          <w:szCs w:val="20"/>
          <w:color w:val="auto"/>
        </w:rPr>
      </w:pPr>
    </w:p>
    <w:p>
      <w:pPr>
        <w:jc w:val="both"/>
        <w:ind w:right="100" w:firstLine="401"/>
        <w:spacing w:after="0" w:line="253" w:lineRule="auto"/>
        <w:rPr>
          <w:sz w:val="20"/>
          <w:szCs w:val="20"/>
          <w:color w:val="auto"/>
        </w:rPr>
      </w:pPr>
      <w:r>
        <w:rPr>
          <w:rFonts w:ascii="Arial" w:cs="Arial" w:eastAsia="Arial" w:hAnsi="Arial"/>
          <w:sz w:val="18"/>
          <w:szCs w:val="18"/>
          <w:color w:val="auto"/>
        </w:rPr>
        <w:t>If an NEO meets the criteria for “retirement” in connection with his or her voluntary resignation, the NEO generally would be entitled to or, in the case of annual cash incentive awards and performance share awards, may receive upon approval by the Compensation &amp; Human Resources Committee, the following additional payments and benefits:</w:t>
      </w:r>
    </w:p>
    <w:p>
      <w:pPr>
        <w:spacing w:after="0" w:line="7" w:lineRule="exact"/>
        <w:rPr>
          <w:sz w:val="20"/>
          <w:szCs w:val="20"/>
          <w:color w:val="auto"/>
        </w:rPr>
      </w:pPr>
    </w:p>
    <w:p>
      <w:pPr>
        <w:ind w:left="800" w:right="200" w:hanging="401"/>
        <w:spacing w:after="0" w:line="266" w:lineRule="auto"/>
        <w:tabs>
          <w:tab w:leader="none" w:pos="80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8"/>
          <w:szCs w:val="18"/>
          <w:color w:val="auto"/>
        </w:rPr>
        <w:t>Extended vesting and exercise period of four additional years (or the remaining term of the option, whichever is shorter) after the retirement date for all outstanding stock options held on the retirement date;</w:t>
      </w:r>
    </w:p>
    <w:p>
      <w:pPr>
        <w:ind w:left="800" w:right="120" w:hanging="401"/>
        <w:spacing w:after="0" w:line="244" w:lineRule="auto"/>
        <w:tabs>
          <w:tab w:leader="none" w:pos="80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8"/>
          <w:szCs w:val="18"/>
          <w:color w:val="auto"/>
        </w:rPr>
        <w:t>Extended perquisites consisting of reimbursement for amounts incurred for: (i) one additional year of financial planning expenses; (ii) one additional executive physical; (iii) twelve additional months, or through the end of the lease term, whichever is shorter, of lease payments for a Company-leased automobile; and (iv) certain Company products for personal use at no cost for five years following the NEO’s retirement; provided, however, that the NEO is responsible for payment of applicable taxes attributed to the value of such products;</w:t>
      </w:r>
    </w:p>
    <w:p>
      <w:pPr>
        <w:spacing w:after="0" w:line="14" w:lineRule="exact"/>
        <w:rPr>
          <w:rFonts w:ascii="Times New Roman" w:cs="Times New Roman" w:eastAsia="Times New Roman" w:hAnsi="Times New Roman"/>
          <w:sz w:val="16"/>
          <w:szCs w:val="16"/>
          <w:color w:val="auto"/>
        </w:rPr>
      </w:pPr>
    </w:p>
    <w:p>
      <w:pPr>
        <w:ind w:left="800" w:hanging="401"/>
        <w:spacing w:after="0" w:line="247" w:lineRule="auto"/>
        <w:tabs>
          <w:tab w:leader="none" w:pos="80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8"/>
          <w:szCs w:val="18"/>
          <w:color w:val="auto"/>
        </w:rPr>
        <w:t>Prorated payment of an outstanding annual cash incentive award if the NEO retires prior to the date payment is made in settlement of the annual cash incentive award, which is typically in early December, but only (i) if threshold levels are met and at the percentage of the target achieved; and (ii) in an amount that is proportionate to the portion of the fiscal year performance period that was completed as of the retirement date; and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EE"/>
        </w:rPr>
        <w:t>Table of Contents</w:t>
      </w:r>
    </w:p>
    <w:p>
      <w:pPr>
        <w:spacing w:after="0" w:line="49" w:lineRule="exact"/>
        <w:rPr>
          <w:sz w:val="20"/>
          <w:szCs w:val="20"/>
          <w:color w:val="auto"/>
        </w:rPr>
      </w:pPr>
    </w:p>
    <w:p>
      <w:pPr>
        <w:ind w:left="800" w:hanging="401"/>
        <w:spacing w:after="0" w:line="247" w:lineRule="auto"/>
        <w:tabs>
          <w:tab w:leader="none" w:pos="80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8"/>
          <w:szCs w:val="18"/>
          <w:color w:val="auto"/>
        </w:rPr>
        <w:t>Prorated payment of outstanding performance share awards if the NEO retires after completion of at least one fiscal year of our current three-fiscal year performance period, but only (i) if threshold levels are met and at the percentage of the target achieved and (ii) in an amount that is proportionate to the portion of the performance period based on the number of months or years that the NEO was employed or performed services during the performance period as of the NEO’s retirement date.</w:t>
      </w:r>
    </w:p>
    <w:p>
      <w:pPr>
        <w:spacing w:after="0" w:line="66" w:lineRule="exact"/>
        <w:rPr>
          <w:sz w:val="20"/>
          <w:szCs w:val="20"/>
          <w:color w:val="auto"/>
        </w:rPr>
      </w:pPr>
    </w:p>
    <w:p>
      <w:pPr>
        <w:jc w:val="both"/>
        <w:ind w:right="40" w:firstLine="401"/>
        <w:spacing w:after="0" w:line="253" w:lineRule="auto"/>
        <w:rPr>
          <w:sz w:val="20"/>
          <w:szCs w:val="20"/>
          <w:color w:val="auto"/>
        </w:rPr>
      </w:pPr>
      <w:r>
        <w:rPr>
          <w:rFonts w:ascii="Arial" w:cs="Arial" w:eastAsia="Arial" w:hAnsi="Arial"/>
          <w:sz w:val="18"/>
          <w:szCs w:val="18"/>
          <w:color w:val="auto"/>
        </w:rPr>
        <w:t>Any such payment for any prorated annual cash incentive or performance share awards would be made at the same time payments are made to our other executive officers after the certification of performance achieved by the Compensation &amp; Human Resources Committee at the meeting following the completion of the applicable performance period.</w:t>
      </w:r>
    </w:p>
    <w:p>
      <w:pPr>
        <w:spacing w:after="0" w:line="61" w:lineRule="exact"/>
        <w:rPr>
          <w:sz w:val="20"/>
          <w:szCs w:val="20"/>
          <w:color w:val="auto"/>
        </w:rPr>
      </w:pPr>
    </w:p>
    <w:p>
      <w:pPr>
        <w:ind w:right="80" w:firstLine="401"/>
        <w:spacing w:after="0" w:line="253" w:lineRule="auto"/>
        <w:rPr>
          <w:sz w:val="20"/>
          <w:szCs w:val="20"/>
          <w:color w:val="auto"/>
        </w:rPr>
      </w:pPr>
      <w:r>
        <w:rPr>
          <w:rFonts w:ascii="Arial" w:cs="Arial" w:eastAsia="Arial" w:hAnsi="Arial"/>
          <w:sz w:val="18"/>
          <w:szCs w:val="18"/>
          <w:b w:val="1"/>
          <w:bCs w:val="1"/>
          <w:color w:val="auto"/>
        </w:rPr>
        <w:t xml:space="preserve">Disability or Death. </w:t>
      </w:r>
      <w:r>
        <w:rPr>
          <w:rFonts w:ascii="Arial" w:cs="Arial" w:eastAsia="Arial" w:hAnsi="Arial"/>
          <w:sz w:val="18"/>
          <w:szCs w:val="18"/>
          <w:color w:val="auto"/>
        </w:rPr>
        <w:t>In the event of a termination as the result of the disability or death of an NEO, the NEO, or his or her beneficiary,</w:t>
      </w:r>
      <w:r>
        <w:rPr>
          <w:rFonts w:ascii="Arial" w:cs="Arial" w:eastAsia="Arial" w:hAnsi="Arial"/>
          <w:sz w:val="18"/>
          <w:szCs w:val="18"/>
          <w:b w:val="1"/>
          <w:bCs w:val="1"/>
          <w:color w:val="auto"/>
        </w:rPr>
        <w:t xml:space="preserve"> </w:t>
      </w:r>
      <w:r>
        <w:rPr>
          <w:rFonts w:ascii="Arial" w:cs="Arial" w:eastAsia="Arial" w:hAnsi="Arial"/>
          <w:sz w:val="18"/>
          <w:szCs w:val="18"/>
          <w:color w:val="auto"/>
        </w:rPr>
        <w:t>would be entitled to or, in the case of annual cash incentive awards and performance share awards, may receive upon approval by the Compensation &amp; Human Resources Committee, the following additional payments and benefits:</w:t>
      </w:r>
    </w:p>
    <w:p>
      <w:pPr>
        <w:spacing w:after="0" w:line="7" w:lineRule="exact"/>
        <w:rPr>
          <w:sz w:val="20"/>
          <w:szCs w:val="20"/>
          <w:color w:val="auto"/>
        </w:rPr>
      </w:pPr>
    </w:p>
    <w:p>
      <w:pPr>
        <w:ind w:left="800" w:right="120" w:hanging="401"/>
        <w:spacing w:after="0" w:line="266" w:lineRule="auto"/>
        <w:tabs>
          <w:tab w:leader="none" w:pos="800" w:val="left"/>
        </w:tabs>
        <w:numPr>
          <w:ilvl w:val="0"/>
          <w:numId w:val="76"/>
        </w:numPr>
        <w:rPr>
          <w:rFonts w:ascii="Times New Roman" w:cs="Times New Roman" w:eastAsia="Times New Roman" w:hAnsi="Times New Roman"/>
          <w:sz w:val="16"/>
          <w:szCs w:val="16"/>
          <w:color w:val="auto"/>
        </w:rPr>
      </w:pPr>
      <w:r>
        <w:rPr>
          <w:rFonts w:ascii="Arial" w:cs="Arial" w:eastAsia="Arial" w:hAnsi="Arial"/>
          <w:sz w:val="18"/>
          <w:szCs w:val="18"/>
          <w:color w:val="auto"/>
        </w:rPr>
        <w:t>Immediate vesting of all outstanding stock options held as of the termination date and stock options may be exercised for a period of up to one year (or the remaining term of the option, whichever is shorter) after the termination date;</w:t>
      </w:r>
    </w:p>
    <w:p>
      <w:pPr>
        <w:ind w:left="800" w:right="20" w:hanging="401"/>
        <w:spacing w:after="0" w:line="247" w:lineRule="auto"/>
        <w:tabs>
          <w:tab w:leader="none" w:pos="800" w:val="left"/>
        </w:tabs>
        <w:numPr>
          <w:ilvl w:val="0"/>
          <w:numId w:val="76"/>
        </w:numPr>
        <w:rPr>
          <w:rFonts w:ascii="Times New Roman" w:cs="Times New Roman" w:eastAsia="Times New Roman" w:hAnsi="Times New Roman"/>
          <w:sz w:val="16"/>
          <w:szCs w:val="16"/>
          <w:color w:val="auto"/>
        </w:rPr>
      </w:pPr>
      <w:r>
        <w:rPr>
          <w:rFonts w:ascii="Arial" w:cs="Arial" w:eastAsia="Arial" w:hAnsi="Arial"/>
          <w:sz w:val="18"/>
          <w:szCs w:val="18"/>
          <w:color w:val="auto"/>
        </w:rPr>
        <w:t>Prorated payment of an outstanding annual cash incentive award if the termination of the NEO is prior to the date payment is made in settlement of the annual cash incentive award, but only (i) if threshold levels are met and at the percentage of the target achieved; and (ii) in an amount that is proportionate to the portion of the fiscal year performance period that was completed as of the termination date; and</w:t>
      </w:r>
    </w:p>
    <w:p>
      <w:pPr>
        <w:spacing w:after="0" w:line="11" w:lineRule="exact"/>
        <w:rPr>
          <w:rFonts w:ascii="Times New Roman" w:cs="Times New Roman" w:eastAsia="Times New Roman" w:hAnsi="Times New Roman"/>
          <w:sz w:val="16"/>
          <w:szCs w:val="16"/>
          <w:color w:val="auto"/>
        </w:rPr>
      </w:pPr>
    </w:p>
    <w:p>
      <w:pPr>
        <w:ind w:left="800" w:right="120" w:hanging="401"/>
        <w:spacing w:after="0" w:line="247" w:lineRule="auto"/>
        <w:tabs>
          <w:tab w:leader="none" w:pos="800" w:val="left"/>
        </w:tabs>
        <w:numPr>
          <w:ilvl w:val="0"/>
          <w:numId w:val="76"/>
        </w:numPr>
        <w:rPr>
          <w:rFonts w:ascii="Times New Roman" w:cs="Times New Roman" w:eastAsia="Times New Roman" w:hAnsi="Times New Roman"/>
          <w:sz w:val="16"/>
          <w:szCs w:val="16"/>
          <w:color w:val="auto"/>
        </w:rPr>
      </w:pPr>
      <w:r>
        <w:rPr>
          <w:rFonts w:ascii="Arial" w:cs="Arial" w:eastAsia="Arial" w:hAnsi="Arial"/>
          <w:sz w:val="18"/>
          <w:szCs w:val="18"/>
          <w:color w:val="auto"/>
        </w:rPr>
        <w:t>Prorated payment of outstanding performance share awards if the NEO was employed for at least one fiscal year of our current three-fiscal year performance period, but only (i) if threshold levels are met and at the percentage of the target achieved and (ii) in an amount that is proportionate to the portion of the performance period based on the number of months or years that the NEO was employed or performed services during the performance period as of the NEO’s termination date.</w:t>
      </w:r>
    </w:p>
    <w:p>
      <w:pPr>
        <w:spacing w:after="0" w:line="66" w:lineRule="exact"/>
        <w:rPr>
          <w:sz w:val="20"/>
          <w:szCs w:val="20"/>
          <w:color w:val="auto"/>
        </w:rPr>
      </w:pPr>
    </w:p>
    <w:p>
      <w:pPr>
        <w:jc w:val="both"/>
        <w:ind w:right="40" w:firstLine="401"/>
        <w:spacing w:after="0" w:line="253" w:lineRule="auto"/>
        <w:rPr>
          <w:sz w:val="20"/>
          <w:szCs w:val="20"/>
          <w:color w:val="auto"/>
        </w:rPr>
      </w:pPr>
      <w:r>
        <w:rPr>
          <w:rFonts w:ascii="Arial" w:cs="Arial" w:eastAsia="Arial" w:hAnsi="Arial"/>
          <w:sz w:val="18"/>
          <w:szCs w:val="18"/>
          <w:color w:val="auto"/>
        </w:rPr>
        <w:t>Any such payment for any prorated annual cash incentive or performance share awards would be made at the same time payments are made to our other executive officers after the certification of performance achieved by the Compensation &amp; Human Resources Committee at the meeting following the completion of the applicable performance period.</w:t>
      </w:r>
    </w:p>
    <w:p>
      <w:pPr>
        <w:spacing w:after="0" w:line="61" w:lineRule="exact"/>
        <w:rPr>
          <w:sz w:val="20"/>
          <w:szCs w:val="20"/>
          <w:color w:val="auto"/>
        </w:rPr>
      </w:pPr>
    </w:p>
    <w:p>
      <w:pPr>
        <w:ind w:firstLine="401"/>
        <w:spacing w:after="0" w:line="247" w:lineRule="auto"/>
        <w:rPr>
          <w:sz w:val="20"/>
          <w:szCs w:val="20"/>
          <w:color w:val="auto"/>
        </w:rPr>
      </w:pPr>
      <w:r>
        <w:rPr>
          <w:rFonts w:ascii="Arial" w:cs="Arial" w:eastAsia="Arial" w:hAnsi="Arial"/>
          <w:sz w:val="18"/>
          <w:szCs w:val="18"/>
          <w:b w:val="1"/>
          <w:bCs w:val="1"/>
          <w:color w:val="auto"/>
        </w:rPr>
        <w:t xml:space="preserve">Involuntary Termination by TTC. </w:t>
      </w:r>
      <w:r>
        <w:rPr>
          <w:rFonts w:ascii="Arial" w:cs="Arial" w:eastAsia="Arial" w:hAnsi="Arial"/>
          <w:sz w:val="18"/>
          <w:szCs w:val="18"/>
          <w:color w:val="auto"/>
        </w:rPr>
        <w:t>Since our NEOs do not have employment or severance agreements or arrangements other than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for in our CIC policy, we would not be obligated to provide any additional payments or benefits to our NEOs in the event of an involuntary termination of employment by us. Any negotiated separation arrangement typically requires that the NEO sign a release and waiver of claims and comply with confidentiality and non-compete restrictions.</w:t>
      </w:r>
    </w:p>
    <w:p>
      <w:pPr>
        <w:spacing w:after="0" w:line="66" w:lineRule="exact"/>
        <w:rPr>
          <w:sz w:val="20"/>
          <w:szCs w:val="20"/>
          <w:color w:val="auto"/>
        </w:rPr>
      </w:pPr>
    </w:p>
    <w:p>
      <w:pPr>
        <w:ind w:right="80" w:firstLine="401"/>
        <w:spacing w:after="0" w:line="253" w:lineRule="auto"/>
        <w:rPr>
          <w:sz w:val="20"/>
          <w:szCs w:val="20"/>
          <w:color w:val="auto"/>
        </w:rPr>
      </w:pPr>
      <w:r>
        <w:rPr>
          <w:rFonts w:ascii="Arial" w:cs="Arial" w:eastAsia="Arial" w:hAnsi="Arial"/>
          <w:sz w:val="18"/>
          <w:szCs w:val="18"/>
          <w:b w:val="1"/>
          <w:bCs w:val="1"/>
          <w:color w:val="auto"/>
        </w:rPr>
        <w:t xml:space="preserve">Termination by TTC for Cause. </w:t>
      </w:r>
      <w:r>
        <w:rPr>
          <w:rFonts w:ascii="Arial" w:cs="Arial" w:eastAsia="Arial" w:hAnsi="Arial"/>
          <w:sz w:val="18"/>
          <w:szCs w:val="18"/>
          <w:color w:val="auto"/>
        </w:rPr>
        <w:t>In the event of a termination of an NEO’s employment by us for cause, we would not be obligated to</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any additional payments or benefits to the executive. In addition, we may have certain clawback rights, as described below under “Clawback Provisions.”</w:t>
      </w:r>
    </w:p>
    <w:p>
      <w:pPr>
        <w:spacing w:after="0" w:line="47" w:lineRule="exact"/>
        <w:rPr>
          <w:sz w:val="20"/>
          <w:szCs w:val="20"/>
          <w:color w:val="auto"/>
        </w:rPr>
      </w:pPr>
    </w:p>
    <w:p>
      <w:pPr>
        <w:ind w:right="180" w:firstLine="401"/>
        <w:spacing w:after="0" w:line="244" w:lineRule="auto"/>
        <w:rPr>
          <w:sz w:val="20"/>
          <w:szCs w:val="20"/>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We have a CIC policy generally applicable to our executive officers. Our CIC policy incorporates a “double</w:t>
      </w:r>
      <w:r>
        <w:rPr>
          <w:rFonts w:ascii="Arial" w:cs="Arial" w:eastAsia="Arial" w:hAnsi="Arial"/>
          <w:sz w:val="18"/>
          <w:szCs w:val="18"/>
          <w:b w:val="1"/>
          <w:bCs w:val="1"/>
          <w:color w:val="auto"/>
        </w:rPr>
        <w:t xml:space="preserve"> </w:t>
      </w:r>
      <w:r>
        <w:rPr>
          <w:rFonts w:ascii="Arial" w:cs="Arial" w:eastAsia="Arial" w:hAnsi="Arial"/>
          <w:sz w:val="18"/>
          <w:szCs w:val="18"/>
          <w:color w:val="auto"/>
        </w:rPr>
        <w:t>trigger” mechanism and provides for a cash severance payment and certain other benefits if within three years after a change in control the NEO’s employment is terminated by us without just cause or the NEO terminates his or her employment for good reason, or if such termination occurs at the request of a third party who had taken steps reasonably calculated to effect the change in control. The payments and benefits the NEO would be entitled to receive include:</w:t>
      </w:r>
    </w:p>
    <w:p>
      <w:pPr>
        <w:spacing w:after="0" w:line="14" w:lineRule="exact"/>
        <w:rPr>
          <w:sz w:val="20"/>
          <w:szCs w:val="20"/>
          <w:color w:val="auto"/>
        </w:rPr>
      </w:pPr>
    </w:p>
    <w:p>
      <w:pPr>
        <w:ind w:left="800" w:right="320" w:hanging="401"/>
        <w:spacing w:after="0" w:line="266" w:lineRule="auto"/>
        <w:tabs>
          <w:tab w:leader="none" w:pos="800" w:val="left"/>
        </w:tabs>
        <w:numPr>
          <w:ilvl w:val="0"/>
          <w:numId w:val="77"/>
        </w:numPr>
        <w:rPr>
          <w:rFonts w:ascii="Times New Roman" w:cs="Times New Roman" w:eastAsia="Times New Roman" w:hAnsi="Times New Roman"/>
          <w:sz w:val="16"/>
          <w:szCs w:val="16"/>
          <w:color w:val="auto"/>
        </w:rPr>
      </w:pPr>
      <w:r>
        <w:rPr>
          <w:rFonts w:ascii="Arial" w:cs="Arial" w:eastAsia="Arial" w:hAnsi="Arial"/>
          <w:sz w:val="18"/>
          <w:szCs w:val="18"/>
          <w:color w:val="auto"/>
        </w:rPr>
        <w:t>a lump sum cash severance payment equal to two times (or three times for the CEO) the sum of the NEO’s then current annual base salary and target annual cash incentive award;</w:t>
      </w:r>
    </w:p>
    <w:p>
      <w:pPr>
        <w:ind w:left="800" w:right="140" w:hanging="401"/>
        <w:spacing w:after="0" w:line="253" w:lineRule="auto"/>
        <w:tabs>
          <w:tab w:leader="none" w:pos="800" w:val="left"/>
        </w:tabs>
        <w:numPr>
          <w:ilvl w:val="0"/>
          <w:numId w:val="77"/>
        </w:numPr>
        <w:rPr>
          <w:rFonts w:ascii="Times New Roman" w:cs="Times New Roman" w:eastAsia="Times New Roman" w:hAnsi="Times New Roman"/>
          <w:sz w:val="16"/>
          <w:szCs w:val="16"/>
          <w:color w:val="auto"/>
        </w:rPr>
      </w:pPr>
      <w:r>
        <w:rPr>
          <w:rFonts w:ascii="Arial" w:cs="Arial" w:eastAsia="Arial" w:hAnsi="Arial"/>
          <w:sz w:val="18"/>
          <w:szCs w:val="18"/>
          <w:color w:val="auto"/>
        </w:rPr>
        <w:t>a lump sum cash payment in an amount equal to the NEO’s pro-rated target annual cash incentive award for the fiscal year in which the termination date occurs, reduced by any amounts paid under the terms of the applicable equity compensation policy for the same period of time;</w:t>
      </w:r>
    </w:p>
    <w:p>
      <w:pPr>
        <w:spacing w:after="0" w:line="6" w:lineRule="exact"/>
        <w:rPr>
          <w:rFonts w:ascii="Times New Roman" w:cs="Times New Roman" w:eastAsia="Times New Roman" w:hAnsi="Times New Roman"/>
          <w:sz w:val="16"/>
          <w:szCs w:val="16"/>
          <w:color w:val="auto"/>
        </w:rPr>
      </w:pPr>
    </w:p>
    <w:p>
      <w:pPr>
        <w:jc w:val="both"/>
        <w:ind w:left="800" w:right="100" w:hanging="401"/>
        <w:spacing w:after="0" w:line="253" w:lineRule="auto"/>
        <w:tabs>
          <w:tab w:leader="none" w:pos="800" w:val="left"/>
        </w:tabs>
        <w:numPr>
          <w:ilvl w:val="0"/>
          <w:numId w:val="77"/>
        </w:numPr>
        <w:rPr>
          <w:rFonts w:ascii="Times New Roman" w:cs="Times New Roman" w:eastAsia="Times New Roman" w:hAnsi="Times New Roman"/>
          <w:sz w:val="16"/>
          <w:szCs w:val="16"/>
          <w:color w:val="auto"/>
        </w:rPr>
      </w:pPr>
      <w:r>
        <w:rPr>
          <w:rFonts w:ascii="Arial" w:cs="Arial" w:eastAsia="Arial" w:hAnsi="Arial"/>
          <w:sz w:val="18"/>
          <w:szCs w:val="18"/>
          <w:color w:val="auto"/>
        </w:rPr>
        <w:t>eligibility for continuation coverage under our medical, dental and other group health plans for a period of three years following the termination date and reimbursement for any costs incurred in securing such continuation coverage that are in excess of costs that would have been incurred by the NEO immediately prior to his or her termination date to obtain such coverage; and</w:t>
      </w:r>
    </w:p>
    <w:p>
      <w:pPr>
        <w:spacing w:after="0" w:line="6" w:lineRule="exact"/>
        <w:rPr>
          <w:rFonts w:ascii="Times New Roman" w:cs="Times New Roman" w:eastAsia="Times New Roman" w:hAnsi="Times New Roman"/>
          <w:sz w:val="16"/>
          <w:szCs w:val="16"/>
          <w:color w:val="auto"/>
        </w:rPr>
      </w:pPr>
    </w:p>
    <w:p>
      <w:pPr>
        <w:ind w:left="800" w:hanging="401"/>
        <w:spacing w:after="0"/>
        <w:tabs>
          <w:tab w:leader="none" w:pos="800" w:val="left"/>
        </w:tabs>
        <w:numPr>
          <w:ilvl w:val="0"/>
          <w:numId w:val="77"/>
        </w:numPr>
        <w:rPr>
          <w:rFonts w:ascii="Times New Roman" w:cs="Times New Roman" w:eastAsia="Times New Roman" w:hAnsi="Times New Roman"/>
          <w:sz w:val="16"/>
          <w:szCs w:val="16"/>
          <w:color w:val="auto"/>
        </w:rPr>
      </w:pPr>
      <w:r>
        <w:rPr>
          <w:rFonts w:ascii="Arial" w:cs="Arial" w:eastAsia="Arial" w:hAnsi="Arial"/>
          <w:sz w:val="18"/>
          <w:szCs w:val="18"/>
          <w:color w:val="auto"/>
        </w:rPr>
        <w:t>two years of outplacement services.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EE"/>
        </w:rPr>
        <w:t>Table of Contents</w:t>
      </w:r>
    </w:p>
    <w:p>
      <w:pPr>
        <w:spacing w:after="0" w:line="359" w:lineRule="exact"/>
        <w:rPr>
          <w:sz w:val="20"/>
          <w:szCs w:val="20"/>
          <w:color w:val="auto"/>
        </w:rPr>
      </w:pPr>
    </w:p>
    <w:p>
      <w:pPr>
        <w:ind w:right="320" w:firstLine="401"/>
        <w:spacing w:after="0" w:line="253" w:lineRule="auto"/>
        <w:rPr>
          <w:sz w:val="20"/>
          <w:szCs w:val="20"/>
          <w:color w:val="auto"/>
        </w:rPr>
      </w:pPr>
      <w:r>
        <w:rPr>
          <w:rFonts w:ascii="Arial" w:cs="Arial" w:eastAsia="Arial" w:hAnsi="Arial"/>
          <w:sz w:val="18"/>
          <w:szCs w:val="18"/>
          <w:color w:val="auto"/>
        </w:rPr>
        <w:t>Our CIC policy does not provide a “gross-up” for 280G excise tax and, as a condition to the payment of any severance payment, the NEO must execute a release of claims against us. If a change in control, as generally defined below, has not occurred, our Board may terminate our CIC policy after two years’ advance notice of such termination.</w:t>
      </w:r>
    </w:p>
    <w:p>
      <w:pPr>
        <w:spacing w:after="0" w:line="61" w:lineRule="exact"/>
        <w:rPr>
          <w:sz w:val="20"/>
          <w:szCs w:val="20"/>
          <w:color w:val="auto"/>
        </w:rPr>
      </w:pPr>
    </w:p>
    <w:p>
      <w:pPr>
        <w:ind w:right="640" w:firstLine="401"/>
        <w:spacing w:after="0" w:line="266" w:lineRule="auto"/>
        <w:rPr>
          <w:sz w:val="20"/>
          <w:szCs w:val="20"/>
          <w:color w:val="auto"/>
        </w:rPr>
      </w:pPr>
      <w:r>
        <w:rPr>
          <w:rFonts w:ascii="Arial" w:cs="Arial" w:eastAsia="Arial" w:hAnsi="Arial"/>
          <w:sz w:val="18"/>
          <w:szCs w:val="18"/>
          <w:color w:val="auto"/>
        </w:rPr>
        <w:t>In addition to our CIC policy, our 2022 Plan provides that if we experience a change in control, as generally defined below, and if outstanding awards are continued, assumed, or substituted, whether or not there is a qualifying termination of employment:</w:t>
      </w:r>
    </w:p>
    <w:p>
      <w:pPr>
        <w:ind w:left="800" w:right="80" w:hanging="401"/>
        <w:spacing w:after="0" w:line="266" w:lineRule="auto"/>
        <w:tabs>
          <w:tab w:leader="none" w:pos="800" w:val="left"/>
        </w:tabs>
        <w:numPr>
          <w:ilvl w:val="0"/>
          <w:numId w:val="78"/>
        </w:numPr>
        <w:rPr>
          <w:rFonts w:ascii="Times New Roman" w:cs="Times New Roman" w:eastAsia="Times New Roman" w:hAnsi="Times New Roman"/>
          <w:sz w:val="16"/>
          <w:szCs w:val="16"/>
          <w:color w:val="auto"/>
        </w:rPr>
      </w:pPr>
      <w:r>
        <w:rPr>
          <w:rFonts w:ascii="Arial" w:cs="Arial" w:eastAsia="Arial" w:hAnsi="Arial"/>
          <w:sz w:val="18"/>
          <w:szCs w:val="18"/>
          <w:color w:val="auto"/>
        </w:rPr>
        <w:t>all stock options immediately vest, become exercisable in full and remain exercisable for their remaining term following the change in control;</w:t>
      </w:r>
    </w:p>
    <w:p>
      <w:pPr>
        <w:jc w:val="both"/>
        <w:ind w:left="800" w:right="80" w:hanging="401"/>
        <w:spacing w:after="0" w:line="253" w:lineRule="auto"/>
        <w:tabs>
          <w:tab w:leader="none" w:pos="800" w:val="left"/>
        </w:tabs>
        <w:numPr>
          <w:ilvl w:val="0"/>
          <w:numId w:val="78"/>
        </w:numPr>
        <w:rPr>
          <w:rFonts w:ascii="Times New Roman" w:cs="Times New Roman" w:eastAsia="Times New Roman" w:hAnsi="Times New Roman"/>
          <w:sz w:val="16"/>
          <w:szCs w:val="16"/>
          <w:color w:val="auto"/>
        </w:rPr>
      </w:pPr>
      <w:r>
        <w:rPr>
          <w:rFonts w:ascii="Arial" w:cs="Arial" w:eastAsia="Arial" w:hAnsi="Arial"/>
          <w:sz w:val="18"/>
          <w:szCs w:val="18"/>
          <w:color w:val="auto"/>
        </w:rPr>
        <w:t>all outstanding annual cash incentive awards for performance periods in progress at the time of the change in control immediately vest and become immediately payable in cash based on the greater of (i) achievement at target, or (ii) actual achievement through the date of the change in control;</w:t>
      </w:r>
    </w:p>
    <w:p>
      <w:pPr>
        <w:spacing w:after="0" w:line="101" w:lineRule="exact"/>
        <w:rPr>
          <w:rFonts w:ascii="Times New Roman" w:cs="Times New Roman" w:eastAsia="Times New Roman" w:hAnsi="Times New Roman"/>
          <w:sz w:val="16"/>
          <w:szCs w:val="16"/>
          <w:color w:val="auto"/>
        </w:rPr>
      </w:pPr>
    </w:p>
    <w:p>
      <w:pPr>
        <w:jc w:val="both"/>
        <w:ind w:left="800" w:right="360" w:hanging="401"/>
        <w:spacing w:after="0" w:line="241" w:lineRule="auto"/>
        <w:tabs>
          <w:tab w:leader="none" w:pos="800" w:val="left"/>
        </w:tabs>
        <w:numPr>
          <w:ilvl w:val="0"/>
          <w:numId w:val="78"/>
        </w:numPr>
        <w:rPr>
          <w:rFonts w:ascii="Times New Roman" w:cs="Times New Roman" w:eastAsia="Times New Roman" w:hAnsi="Times New Roman"/>
          <w:sz w:val="16"/>
          <w:szCs w:val="16"/>
          <w:color w:val="auto"/>
        </w:rPr>
      </w:pPr>
      <w:r>
        <w:rPr>
          <w:rFonts w:ascii="Arial" w:cs="Arial" w:eastAsia="Arial" w:hAnsi="Arial"/>
          <w:sz w:val="18"/>
          <w:szCs w:val="18"/>
          <w:color w:val="auto"/>
        </w:rPr>
        <w:t>all outstanding performance share awards for performance periods in progress at the time of the change in control immediately vest and become payable in shares of our common stock, at the greater of (i) target, or (ii) actual achievement of performance goals through the date of the change in control; and</w:t>
      </w:r>
    </w:p>
    <w:p>
      <w:pPr>
        <w:spacing w:after="0" w:line="1" w:lineRule="exact"/>
        <w:rPr>
          <w:rFonts w:ascii="Times New Roman" w:cs="Times New Roman" w:eastAsia="Times New Roman" w:hAnsi="Times New Roman"/>
          <w:sz w:val="16"/>
          <w:szCs w:val="16"/>
          <w:color w:val="auto"/>
        </w:rPr>
      </w:pPr>
    </w:p>
    <w:p>
      <w:pPr>
        <w:ind w:left="800" w:right="60" w:hanging="401"/>
        <w:spacing w:after="0" w:line="242" w:lineRule="auto"/>
        <w:tabs>
          <w:tab w:leader="none" w:pos="800" w:val="left"/>
        </w:tabs>
        <w:numPr>
          <w:ilvl w:val="0"/>
          <w:numId w:val="78"/>
        </w:numPr>
        <w:rPr>
          <w:rFonts w:ascii="Times New Roman" w:cs="Times New Roman" w:eastAsia="Times New Roman" w:hAnsi="Times New Roman"/>
          <w:sz w:val="16"/>
          <w:szCs w:val="16"/>
          <w:color w:val="auto"/>
        </w:rPr>
      </w:pPr>
      <w:r>
        <w:rPr>
          <w:rFonts w:ascii="Arial" w:cs="Arial" w:eastAsia="Arial" w:hAnsi="Arial"/>
          <w:sz w:val="18"/>
          <w:szCs w:val="18"/>
          <w:color w:val="auto"/>
        </w:rPr>
        <w:t>all outstanding shares of restricted stock and restricted stock unit awards with vesting based solely on the participant’s continued service immediately vest and become non-forfeitable or issuable, as the case may be, and shall be settled in cash or shares of our common stock.</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If outstanding equity based awards are not continued, assumed or substituted:</w:t>
      </w:r>
    </w:p>
    <w:p>
      <w:pPr>
        <w:spacing w:after="0" w:line="104" w:lineRule="exact"/>
        <w:rPr>
          <w:sz w:val="20"/>
          <w:szCs w:val="20"/>
          <w:color w:val="auto"/>
        </w:rPr>
      </w:pPr>
    </w:p>
    <w:p>
      <w:pPr>
        <w:ind w:left="800" w:right="60" w:hanging="401"/>
        <w:spacing w:after="0" w:line="238" w:lineRule="auto"/>
        <w:tabs>
          <w:tab w:leader="none" w:pos="800" w:val="left"/>
        </w:tabs>
        <w:numPr>
          <w:ilvl w:val="0"/>
          <w:numId w:val="79"/>
        </w:numPr>
        <w:rPr>
          <w:rFonts w:ascii="Times New Roman" w:cs="Times New Roman" w:eastAsia="Times New Roman" w:hAnsi="Times New Roman"/>
          <w:sz w:val="16"/>
          <w:szCs w:val="16"/>
          <w:color w:val="auto"/>
        </w:rPr>
      </w:pPr>
      <w:r>
        <w:rPr>
          <w:rFonts w:ascii="Arial" w:cs="Arial" w:eastAsia="Arial" w:hAnsi="Arial"/>
          <w:sz w:val="18"/>
          <w:szCs w:val="18"/>
          <w:color w:val="auto"/>
        </w:rPr>
        <w:t>all stock options immediately vest and become exercisable and the Compensation &amp; Human Resources Committee shall (i) give the participant a reasonable opportunity to exercise the option prior to the change in control, and (ii) pay the participant in cash for each unexercised option, the excess, if any, between the option exercise price and the per share consideration payable to shareholders, provided the participant shall receive payment of the fair market value of any contingent or delayed consideration on the basis of the Committee’s good faith estimate of the present value of the probable future value of such consideration;</w:t>
      </w:r>
    </w:p>
    <w:p>
      <w:pPr>
        <w:spacing w:after="0" w:line="4" w:lineRule="exact"/>
        <w:rPr>
          <w:rFonts w:ascii="Times New Roman" w:cs="Times New Roman" w:eastAsia="Times New Roman" w:hAnsi="Times New Roman"/>
          <w:sz w:val="16"/>
          <w:szCs w:val="16"/>
          <w:color w:val="auto"/>
        </w:rPr>
      </w:pPr>
    </w:p>
    <w:p>
      <w:pPr>
        <w:ind w:left="800" w:right="100" w:hanging="401"/>
        <w:spacing w:after="0" w:line="234" w:lineRule="auto"/>
        <w:tabs>
          <w:tab w:leader="none" w:pos="800" w:val="left"/>
        </w:tabs>
        <w:numPr>
          <w:ilvl w:val="0"/>
          <w:numId w:val="79"/>
        </w:numPr>
        <w:rPr>
          <w:rFonts w:ascii="Times New Roman" w:cs="Times New Roman" w:eastAsia="Times New Roman" w:hAnsi="Times New Roman"/>
          <w:sz w:val="16"/>
          <w:szCs w:val="16"/>
          <w:color w:val="auto"/>
        </w:rPr>
      </w:pPr>
      <w:r>
        <w:rPr>
          <w:rFonts w:ascii="Arial" w:cs="Arial" w:eastAsia="Arial" w:hAnsi="Arial"/>
          <w:sz w:val="18"/>
          <w:szCs w:val="18"/>
          <w:color w:val="auto"/>
        </w:rPr>
        <w:t>all restricted stock awards and restricted stock unit awards with vesting based solely on the participant’s continued service will immediately vest and be settled in cash or shares of our common stock, provided, if payment is to be made in shares of our common stock, the participant will receive the excess, if any, between the consideration received by shareholders of our Company for shares of our Company in connection with the change in control and the purchase price, if any, of the restricted stock or restricted stock unit award, multiplied by the number of shares subject to such award; and</w:t>
      </w:r>
    </w:p>
    <w:p>
      <w:pPr>
        <w:spacing w:after="0" w:line="3" w:lineRule="exact"/>
        <w:rPr>
          <w:rFonts w:ascii="Times New Roman" w:cs="Times New Roman" w:eastAsia="Times New Roman" w:hAnsi="Times New Roman"/>
          <w:sz w:val="16"/>
          <w:szCs w:val="16"/>
          <w:color w:val="auto"/>
        </w:rPr>
      </w:pPr>
    </w:p>
    <w:p>
      <w:pPr>
        <w:ind w:left="800" w:right="60" w:hanging="401"/>
        <w:spacing w:after="0" w:line="239" w:lineRule="auto"/>
        <w:tabs>
          <w:tab w:leader="none" w:pos="800" w:val="left"/>
        </w:tabs>
        <w:numPr>
          <w:ilvl w:val="0"/>
          <w:numId w:val="79"/>
        </w:numPr>
        <w:rPr>
          <w:rFonts w:ascii="Times New Roman" w:cs="Times New Roman" w:eastAsia="Times New Roman" w:hAnsi="Times New Roman"/>
          <w:sz w:val="16"/>
          <w:szCs w:val="16"/>
          <w:color w:val="auto"/>
        </w:rPr>
      </w:pPr>
      <w:r>
        <w:rPr>
          <w:rFonts w:ascii="Arial" w:cs="Arial" w:eastAsia="Arial" w:hAnsi="Arial"/>
          <w:sz w:val="18"/>
          <w:szCs w:val="18"/>
          <w:color w:val="auto"/>
        </w:rPr>
        <w:t>all outstanding performance share awards for performance periods in progress at the time of the change in control will immediately vest and become payable in shares of our common stock, at the greater of (i) target, or (ii) actual achievement of performance goals through the date of the change in control, provided, for the payment to be made in shares of our common stock, the participant will receive the consideration received by shareholders of our Company for shares of our Company in connection with the change in control.</w:t>
      </w:r>
    </w:p>
    <w:p>
      <w:pPr>
        <w:spacing w:after="0" w:line="72" w:lineRule="exact"/>
        <w:rPr>
          <w:sz w:val="20"/>
          <w:szCs w:val="20"/>
          <w:color w:val="auto"/>
        </w:rPr>
      </w:pPr>
    </w:p>
    <w:p>
      <w:pPr>
        <w:ind w:right="160" w:firstLine="401"/>
        <w:spacing w:after="0" w:line="266" w:lineRule="auto"/>
        <w:rPr>
          <w:sz w:val="20"/>
          <w:szCs w:val="20"/>
          <w:color w:val="auto"/>
        </w:rPr>
      </w:pPr>
      <w:r>
        <w:rPr>
          <w:rFonts w:ascii="Arial" w:cs="Arial" w:eastAsia="Arial" w:hAnsi="Arial"/>
          <w:sz w:val="18"/>
          <w:szCs w:val="18"/>
          <w:color w:val="auto"/>
        </w:rPr>
        <w:t>Our prior 2010 Plan provides that if we experience a change in control, as generally defined below, whether or not there is a qualifying termination of employment:</w:t>
      </w:r>
    </w:p>
    <w:p>
      <w:pPr>
        <w:ind w:left="800" w:right="80" w:hanging="401"/>
        <w:spacing w:after="0" w:line="266" w:lineRule="auto"/>
        <w:tabs>
          <w:tab w:leader="none" w:pos="800" w:val="left"/>
        </w:tabs>
        <w:numPr>
          <w:ilvl w:val="0"/>
          <w:numId w:val="80"/>
        </w:numPr>
        <w:rPr>
          <w:rFonts w:ascii="Times New Roman" w:cs="Times New Roman" w:eastAsia="Times New Roman" w:hAnsi="Times New Roman"/>
          <w:sz w:val="16"/>
          <w:szCs w:val="16"/>
          <w:color w:val="auto"/>
        </w:rPr>
      </w:pPr>
      <w:r>
        <w:rPr>
          <w:rFonts w:ascii="Arial" w:cs="Arial" w:eastAsia="Arial" w:hAnsi="Arial"/>
          <w:sz w:val="18"/>
          <w:szCs w:val="18"/>
          <w:color w:val="auto"/>
        </w:rPr>
        <w:t>all stock options immediately vest, become exercisable in full and remain exercisable for their remaining term following the change in control;</w:t>
      </w:r>
    </w:p>
    <w:p>
      <w:pPr>
        <w:ind w:left="800" w:right="140" w:hanging="401"/>
        <w:spacing w:after="0" w:line="271" w:lineRule="auto"/>
        <w:tabs>
          <w:tab w:leader="none" w:pos="800" w:val="left"/>
        </w:tabs>
        <w:numPr>
          <w:ilvl w:val="0"/>
          <w:numId w:val="80"/>
        </w:numPr>
        <w:rPr>
          <w:rFonts w:ascii="Times New Roman" w:cs="Times New Roman" w:eastAsia="Times New Roman" w:hAnsi="Times New Roman"/>
          <w:sz w:val="16"/>
          <w:szCs w:val="16"/>
          <w:color w:val="auto"/>
        </w:rPr>
      </w:pPr>
      <w:r>
        <w:rPr>
          <w:rFonts w:ascii="Arial" w:cs="Arial" w:eastAsia="Arial" w:hAnsi="Arial"/>
          <w:sz w:val="18"/>
          <w:szCs w:val="18"/>
          <w:color w:val="auto"/>
        </w:rPr>
        <w:t>all outstanding annual cash incentive awards for performance periods in progress at the time of the change in control immediately vest and become immediately payable at target in cash;</w:t>
      </w:r>
    </w:p>
    <w:p>
      <w:pPr>
        <w:spacing w:after="0" w:line="86" w:lineRule="exact"/>
        <w:rPr>
          <w:rFonts w:ascii="Times New Roman" w:cs="Times New Roman" w:eastAsia="Times New Roman" w:hAnsi="Times New Roman"/>
          <w:sz w:val="16"/>
          <w:szCs w:val="16"/>
          <w:color w:val="auto"/>
        </w:rPr>
      </w:pPr>
    </w:p>
    <w:p>
      <w:pPr>
        <w:ind w:left="800" w:right="40" w:hanging="401"/>
        <w:spacing w:after="0"/>
        <w:tabs>
          <w:tab w:leader="none" w:pos="800" w:val="left"/>
        </w:tabs>
        <w:numPr>
          <w:ilvl w:val="0"/>
          <w:numId w:val="80"/>
        </w:numPr>
        <w:rPr>
          <w:rFonts w:ascii="Times New Roman" w:cs="Times New Roman" w:eastAsia="Times New Roman" w:hAnsi="Times New Roman"/>
          <w:sz w:val="16"/>
          <w:szCs w:val="16"/>
          <w:color w:val="auto"/>
        </w:rPr>
      </w:pPr>
      <w:r>
        <w:rPr>
          <w:rFonts w:ascii="Arial" w:cs="Arial" w:eastAsia="Arial" w:hAnsi="Arial"/>
          <w:sz w:val="18"/>
          <w:szCs w:val="18"/>
          <w:color w:val="auto"/>
        </w:rPr>
        <w:t>all outstanding performance share awards for performance periods in progress at the time of the change in control immediately vest and become payable at maximum levels of performance in shares of our common stock, provided, however, that the CIC policy provides that for executive officers covered by the CIC policy, any such performance share awards are payable at target (not in full or at maximum); and</w:t>
      </w:r>
    </w:p>
    <w:p>
      <w:pPr>
        <w:ind w:left="800" w:right="40" w:hanging="401"/>
        <w:spacing w:after="0" w:line="250" w:lineRule="auto"/>
        <w:tabs>
          <w:tab w:leader="none" w:pos="800" w:val="left"/>
        </w:tabs>
        <w:numPr>
          <w:ilvl w:val="0"/>
          <w:numId w:val="80"/>
        </w:numPr>
        <w:rPr>
          <w:rFonts w:ascii="Times New Roman" w:cs="Times New Roman" w:eastAsia="Times New Roman" w:hAnsi="Times New Roman"/>
          <w:sz w:val="16"/>
          <w:szCs w:val="16"/>
          <w:color w:val="auto"/>
        </w:rPr>
      </w:pPr>
      <w:r>
        <w:rPr>
          <w:rFonts w:ascii="Arial" w:cs="Arial" w:eastAsia="Arial" w:hAnsi="Arial"/>
          <w:sz w:val="18"/>
          <w:szCs w:val="18"/>
          <w:color w:val="auto"/>
        </w:rPr>
        <w:t>all outstanding shares of restricted stock and restricted stock unit awards immediately vest and become non-forfeitable or issuable, as the case may be.</w:t>
      </w:r>
    </w:p>
    <w:p>
      <w:pPr>
        <w:spacing w:after="0" w:line="158" w:lineRule="exact"/>
        <w:rPr>
          <w:sz w:val="20"/>
          <w:szCs w:val="20"/>
          <w:color w:val="auto"/>
        </w:rPr>
      </w:pPr>
    </w:p>
    <w:p>
      <w:pPr>
        <w:ind w:firstLine="401"/>
        <w:spacing w:after="0" w:line="253" w:lineRule="auto"/>
        <w:rPr>
          <w:sz w:val="20"/>
          <w:szCs w:val="20"/>
          <w:color w:val="auto"/>
        </w:rPr>
      </w:pPr>
      <w:r>
        <w:rPr>
          <w:rFonts w:ascii="Arial" w:cs="Arial" w:eastAsia="Arial" w:hAnsi="Arial"/>
          <w:sz w:val="18"/>
          <w:szCs w:val="18"/>
          <w:color w:val="auto"/>
        </w:rPr>
        <w:t>Alternatively, the Compensation &amp; Human Resources Committee may elect to terminate such options, restricted stock awards, restricted stock unit awards or performance share awards in exchange for a cash payment for each option, restricted stock, restricted stock unit or performance share award in an amount equal to</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EE"/>
        </w:rPr>
        <w:t>Table of Contents</w:t>
      </w:r>
    </w:p>
    <w:p>
      <w:pPr>
        <w:spacing w:after="0" w:line="10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excess, if any, between the consideration received by shareholders of our Company for shares of our Company in connection with the change in control and the exercise or purchase price, if any, of the option, restricted stock, restricted stock unit award or performance share award, multiplied by the number of shares subject to such option or award.</w:t>
      </w:r>
    </w:p>
    <w:p>
      <w:pPr>
        <w:spacing w:after="0" w:line="61" w:lineRule="exact"/>
        <w:rPr>
          <w:sz w:val="20"/>
          <w:szCs w:val="20"/>
          <w:color w:val="auto"/>
        </w:rPr>
      </w:pPr>
    </w:p>
    <w:p>
      <w:pPr>
        <w:ind w:firstLine="401"/>
        <w:spacing w:after="0" w:line="271" w:lineRule="auto"/>
        <w:rPr>
          <w:sz w:val="20"/>
          <w:szCs w:val="20"/>
          <w:color w:val="auto"/>
        </w:rPr>
      </w:pPr>
      <w:r>
        <w:rPr>
          <w:rFonts w:ascii="Arial" w:cs="Arial" w:eastAsia="Arial" w:hAnsi="Arial"/>
          <w:sz w:val="18"/>
          <w:szCs w:val="18"/>
          <w:color w:val="auto"/>
        </w:rPr>
        <w:t>Neither our 2022 Plan nor our 2010 Plan provides a “gross-up” for 280G excise tax, but does provide for a reduction of payments if such payments would result in lower higher after-tax income taking into consideration the 280G excise tax.</w:t>
      </w:r>
    </w:p>
    <w:p>
      <w:pPr>
        <w:spacing w:after="0" w:line="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 purposes of our CIC policy, 2022 Plan and 2010 Plan, and subject to limited exceptions, a “change in control” occurs if:</w:t>
      </w:r>
    </w:p>
    <w:p>
      <w:pPr>
        <w:spacing w:after="0" w:line="50" w:lineRule="exact"/>
        <w:rPr>
          <w:sz w:val="20"/>
          <w:szCs w:val="20"/>
          <w:color w:val="auto"/>
        </w:rPr>
      </w:pPr>
    </w:p>
    <w:p>
      <w:pPr>
        <w:ind w:left="800" w:right="140" w:hanging="401"/>
        <w:spacing w:after="0" w:line="266" w:lineRule="auto"/>
        <w:tabs>
          <w:tab w:leader="none" w:pos="800" w:val="left"/>
        </w:tabs>
        <w:numPr>
          <w:ilvl w:val="0"/>
          <w:numId w:val="81"/>
        </w:numPr>
        <w:rPr>
          <w:rFonts w:ascii="Times New Roman" w:cs="Times New Roman" w:eastAsia="Times New Roman" w:hAnsi="Times New Roman"/>
          <w:sz w:val="16"/>
          <w:szCs w:val="16"/>
          <w:color w:val="auto"/>
        </w:rPr>
      </w:pPr>
      <w:r>
        <w:rPr>
          <w:rFonts w:ascii="Arial" w:cs="Arial" w:eastAsia="Arial" w:hAnsi="Arial"/>
          <w:sz w:val="18"/>
          <w:szCs w:val="18"/>
          <w:color w:val="auto"/>
        </w:rPr>
        <w:t>another person becomes the beneficial owner of 20% of our then-outstanding common stock or the combined voting power of our then-outstanding voting stock;</w:t>
      </w:r>
    </w:p>
    <w:p>
      <w:pPr>
        <w:ind w:left="800" w:right="480" w:hanging="401"/>
        <w:spacing w:after="0" w:line="266" w:lineRule="auto"/>
        <w:tabs>
          <w:tab w:leader="none" w:pos="800" w:val="left"/>
        </w:tabs>
        <w:numPr>
          <w:ilvl w:val="0"/>
          <w:numId w:val="81"/>
        </w:numPr>
        <w:rPr>
          <w:rFonts w:ascii="Times New Roman" w:cs="Times New Roman" w:eastAsia="Times New Roman" w:hAnsi="Times New Roman"/>
          <w:sz w:val="16"/>
          <w:szCs w:val="16"/>
          <w:color w:val="auto"/>
        </w:rPr>
      </w:pPr>
      <w:r>
        <w:rPr>
          <w:rFonts w:ascii="Arial" w:cs="Arial" w:eastAsia="Arial" w:hAnsi="Arial"/>
          <w:sz w:val="18"/>
          <w:szCs w:val="18"/>
          <w:color w:val="auto"/>
        </w:rPr>
        <w:t>a majority of our Board becomes comprised of persons other than those for whom election proxies have been solicited by our Board;</w:t>
      </w:r>
    </w:p>
    <w:p>
      <w:pPr>
        <w:ind w:left="800" w:hanging="401"/>
        <w:spacing w:after="0" w:line="247" w:lineRule="auto"/>
        <w:tabs>
          <w:tab w:leader="none" w:pos="800" w:val="left"/>
        </w:tabs>
        <w:numPr>
          <w:ilvl w:val="0"/>
          <w:numId w:val="81"/>
        </w:numPr>
        <w:rPr>
          <w:rFonts w:ascii="Times New Roman" w:cs="Times New Roman" w:eastAsia="Times New Roman" w:hAnsi="Times New Roman"/>
          <w:sz w:val="16"/>
          <w:szCs w:val="16"/>
          <w:color w:val="auto"/>
        </w:rPr>
      </w:pPr>
      <w:r>
        <w:rPr>
          <w:rFonts w:ascii="Arial" w:cs="Arial" w:eastAsia="Arial" w:hAnsi="Arial"/>
          <w:sz w:val="18"/>
          <w:szCs w:val="18"/>
          <w:color w:val="auto"/>
        </w:rPr>
        <w:t>the completion of certain business combinations, including a reorganization, merger, consolidation, the sale of all or substantially all of our assets or the acquisition by us of assets or stock of another entity, where the shareholders before the business combination fail to beneficially own and have voting power for more than 50% of our Company or the resulting company after the business combination; or</w:t>
      </w:r>
    </w:p>
    <w:p>
      <w:pPr>
        <w:spacing w:after="0" w:line="11" w:lineRule="exact"/>
        <w:rPr>
          <w:rFonts w:ascii="Times New Roman" w:cs="Times New Roman" w:eastAsia="Times New Roman" w:hAnsi="Times New Roman"/>
          <w:sz w:val="16"/>
          <w:szCs w:val="16"/>
          <w:color w:val="auto"/>
        </w:rPr>
      </w:pPr>
    </w:p>
    <w:p>
      <w:pPr>
        <w:ind w:left="800" w:hanging="401"/>
        <w:spacing w:after="0"/>
        <w:tabs>
          <w:tab w:leader="none" w:pos="800" w:val="left"/>
        </w:tabs>
        <w:numPr>
          <w:ilvl w:val="0"/>
          <w:numId w:val="81"/>
        </w:numPr>
        <w:rPr>
          <w:rFonts w:ascii="Times New Roman" w:cs="Times New Roman" w:eastAsia="Times New Roman" w:hAnsi="Times New Roman"/>
          <w:sz w:val="16"/>
          <w:szCs w:val="16"/>
          <w:color w:val="auto"/>
        </w:rPr>
      </w:pPr>
      <w:r>
        <w:rPr>
          <w:rFonts w:ascii="Arial" w:cs="Arial" w:eastAsia="Arial" w:hAnsi="Arial"/>
          <w:sz w:val="18"/>
          <w:szCs w:val="18"/>
          <w:color w:val="auto"/>
        </w:rPr>
        <w:t>our shareholders approve a complete liquidation or dissolution of our Company.</w:t>
      </w:r>
    </w:p>
    <w:p>
      <w:pPr>
        <w:spacing w:after="0" w:line="104" w:lineRule="exact"/>
        <w:rPr>
          <w:sz w:val="20"/>
          <w:szCs w:val="20"/>
          <w:color w:val="auto"/>
        </w:rPr>
      </w:pPr>
    </w:p>
    <w:p>
      <w:pPr>
        <w:jc w:val="both"/>
        <w:ind w:right="120" w:firstLine="401"/>
        <w:spacing w:after="0" w:line="253" w:lineRule="auto"/>
        <w:rPr>
          <w:sz w:val="20"/>
          <w:szCs w:val="20"/>
          <w:color w:val="auto"/>
        </w:rPr>
      </w:pPr>
      <w:r>
        <w:rPr>
          <w:rFonts w:ascii="Arial" w:cs="Arial" w:eastAsia="Arial" w:hAnsi="Arial"/>
          <w:sz w:val="18"/>
          <w:szCs w:val="18"/>
          <w:color w:val="auto"/>
        </w:rPr>
        <w:t>Additionally, under our nonqualified deferred compensation and retirement plans, upon the occurrence of a change in control, we must transfer cash or property to a “rabbi” trust for the benefit of plan participants in an amount sufficient to cause the trust to be funded at a level equal to the present value of all accumulated or accrued benefits then payable to or on behalf of plan participants.</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EE"/>
        </w:rPr>
        <w:t>Table of Contents</w:t>
      </w:r>
    </w:p>
    <w:p>
      <w:pPr>
        <w:spacing w:after="0" w:line="319" w:lineRule="exact"/>
        <w:rPr>
          <w:sz w:val="20"/>
          <w:szCs w:val="20"/>
          <w:color w:val="auto"/>
        </w:rPr>
      </w:pPr>
    </w:p>
    <w:p>
      <w:pPr>
        <w:ind w:right="140" w:firstLine="401"/>
        <w:spacing w:after="0" w:line="242" w:lineRule="auto"/>
        <w:rPr>
          <w:sz w:val="20"/>
          <w:szCs w:val="20"/>
          <w:color w:val="auto"/>
        </w:rPr>
      </w:pPr>
      <w:r>
        <w:rPr>
          <w:rFonts w:ascii="Arial" w:cs="Arial" w:eastAsia="Arial" w:hAnsi="Arial"/>
          <w:sz w:val="18"/>
          <w:szCs w:val="18"/>
          <w:b w:val="1"/>
          <w:bCs w:val="1"/>
          <w:color w:val="auto"/>
        </w:rPr>
        <w:t xml:space="preserve">Potential Payments Upon Termination or Change In Control. </w:t>
      </w:r>
      <w:r>
        <w:rPr>
          <w:rFonts w:ascii="Arial" w:cs="Arial" w:eastAsia="Arial" w:hAnsi="Arial"/>
          <w:sz w:val="18"/>
          <w:szCs w:val="18"/>
          <w:color w:val="auto"/>
        </w:rPr>
        <w:t>The following table quantifies the payments and benefits for which</w:t>
      </w:r>
      <w:r>
        <w:rPr>
          <w:rFonts w:ascii="Arial" w:cs="Arial" w:eastAsia="Arial" w:hAnsi="Arial"/>
          <w:sz w:val="18"/>
          <w:szCs w:val="18"/>
          <w:b w:val="1"/>
          <w:bCs w:val="1"/>
          <w:color w:val="auto"/>
        </w:rPr>
        <w:t xml:space="preserve"> </w:t>
      </w:r>
      <w:r>
        <w:rPr>
          <w:rFonts w:ascii="Arial" w:cs="Arial" w:eastAsia="Arial" w:hAnsi="Arial"/>
          <w:sz w:val="18"/>
          <w:szCs w:val="18"/>
          <w:color w:val="auto"/>
        </w:rPr>
        <w:t>the amount, vesting or time of payment is altered by each of the foregoing termination of employment or change in control situations. For purposes of quantifying payments and benefits, amounts are calculated (i) for each NEO as if the termination or change in control occurred on October 31, 2022, the last business day of our 2022 fiscal year; and (ii) using a per share value of $105.43, which represents the closing price of our common stock, on October 31, 2022. Material assumptions used in calculating the estimated payments and benefits are described in footnotes to the table.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shd w:val="clear" w:color="auto" w:fill="C00000"/>
          </w:tcPr>
          <w:p>
            <w:pPr>
              <w:spacing w:after="0"/>
              <w:rPr>
                <w:sz w:val="18"/>
                <w:szCs w:val="18"/>
                <w:color w:val="auto"/>
              </w:rPr>
            </w:pPr>
          </w:p>
        </w:tc>
        <w:tc>
          <w:tcPr>
            <w:tcW w:w="120" w:type="dxa"/>
            <w:vAlign w:val="bottom"/>
            <w:shd w:val="clear" w:color="auto" w:fill="C00000"/>
          </w:tcPr>
          <w:p>
            <w:pPr>
              <w:spacing w:after="0"/>
              <w:rPr>
                <w:sz w:val="18"/>
                <w:szCs w:val="18"/>
                <w:color w:val="auto"/>
              </w:rPr>
            </w:pPr>
          </w:p>
        </w:tc>
        <w:tc>
          <w:tcPr>
            <w:tcW w:w="1000" w:type="dxa"/>
            <w:vAlign w:val="bottom"/>
            <w:shd w:val="clear" w:color="auto" w:fill="C00000"/>
          </w:tcPr>
          <w:p>
            <w:pPr>
              <w:spacing w:after="0"/>
              <w:rPr>
                <w:sz w:val="18"/>
                <w:szCs w:val="18"/>
                <w:color w:val="auto"/>
              </w:rPr>
            </w:pPr>
          </w:p>
        </w:tc>
        <w:tc>
          <w:tcPr>
            <w:tcW w:w="180" w:type="dxa"/>
            <w:vAlign w:val="bottom"/>
            <w:shd w:val="clear" w:color="auto" w:fill="C00000"/>
          </w:tcPr>
          <w:p>
            <w:pPr>
              <w:spacing w:after="0"/>
              <w:rPr>
                <w:sz w:val="18"/>
                <w:szCs w:val="18"/>
                <w:color w:val="auto"/>
              </w:rPr>
            </w:pPr>
          </w:p>
        </w:tc>
        <w:tc>
          <w:tcPr>
            <w:tcW w:w="1020" w:type="dxa"/>
            <w:vAlign w:val="bottom"/>
            <w:shd w:val="clear" w:color="auto" w:fill="C00000"/>
          </w:tcPr>
          <w:p>
            <w:pPr>
              <w:spacing w:after="0"/>
              <w:rPr>
                <w:sz w:val="18"/>
                <w:szCs w:val="18"/>
                <w:color w:val="auto"/>
              </w:rPr>
            </w:pPr>
          </w:p>
        </w:tc>
        <w:tc>
          <w:tcPr>
            <w:tcW w:w="180" w:type="dxa"/>
            <w:vAlign w:val="bottom"/>
            <w:shd w:val="clear" w:color="auto" w:fill="C00000"/>
          </w:tcPr>
          <w:p>
            <w:pPr>
              <w:spacing w:after="0"/>
              <w:rPr>
                <w:sz w:val="18"/>
                <w:szCs w:val="18"/>
                <w:color w:val="auto"/>
              </w:rPr>
            </w:pPr>
          </w:p>
        </w:tc>
        <w:tc>
          <w:tcPr>
            <w:tcW w:w="1080" w:type="dxa"/>
            <w:vAlign w:val="bottom"/>
            <w:shd w:val="clear" w:color="auto" w:fill="C00000"/>
          </w:tcPr>
          <w:p>
            <w:pPr>
              <w:spacing w:after="0"/>
              <w:rPr>
                <w:sz w:val="18"/>
                <w:szCs w:val="18"/>
                <w:color w:val="auto"/>
              </w:rPr>
            </w:pPr>
          </w:p>
        </w:tc>
        <w:tc>
          <w:tcPr>
            <w:tcW w:w="120" w:type="dxa"/>
            <w:vAlign w:val="bottom"/>
            <w:shd w:val="clear" w:color="auto" w:fill="C00000"/>
          </w:tcPr>
          <w:p>
            <w:pPr>
              <w:spacing w:after="0"/>
              <w:rPr>
                <w:sz w:val="18"/>
                <w:szCs w:val="18"/>
                <w:color w:val="auto"/>
              </w:rPr>
            </w:pPr>
          </w:p>
        </w:tc>
        <w:tc>
          <w:tcPr>
            <w:tcW w:w="1080" w:type="dxa"/>
            <w:vAlign w:val="bottom"/>
            <w:shd w:val="clear" w:color="auto" w:fill="C00000"/>
          </w:tcPr>
          <w:p>
            <w:pPr>
              <w:spacing w:after="0"/>
              <w:rPr>
                <w:sz w:val="18"/>
                <w:szCs w:val="18"/>
                <w:color w:val="auto"/>
              </w:rPr>
            </w:pPr>
          </w:p>
        </w:tc>
        <w:tc>
          <w:tcPr>
            <w:tcW w:w="120" w:type="dxa"/>
            <w:vAlign w:val="bottom"/>
            <w:shd w:val="clear" w:color="auto" w:fill="C00000"/>
          </w:tcPr>
          <w:p>
            <w:pPr>
              <w:spacing w:after="0"/>
              <w:rPr>
                <w:sz w:val="18"/>
                <w:szCs w:val="18"/>
                <w:color w:val="auto"/>
              </w:rPr>
            </w:pPr>
          </w:p>
        </w:tc>
        <w:tc>
          <w:tcPr>
            <w:tcW w:w="2540" w:type="dxa"/>
            <w:vAlign w:val="bottom"/>
            <w:gridSpan w:val="3"/>
            <w:shd w:val="clear" w:color="auto" w:fill="C00000"/>
          </w:tcPr>
          <w:p>
            <w:pPr>
              <w:jc w:val="right"/>
              <w:ind w:right="569"/>
              <w:spacing w:after="0"/>
              <w:rPr>
                <w:sz w:val="20"/>
                <w:szCs w:val="20"/>
                <w:color w:val="auto"/>
              </w:rPr>
            </w:pPr>
            <w:r>
              <w:rPr>
                <w:rFonts w:ascii="Arial" w:cs="Arial" w:eastAsia="Arial" w:hAnsi="Arial"/>
                <w:sz w:val="13"/>
                <w:szCs w:val="13"/>
                <w:b w:val="1"/>
                <w:bCs w:val="1"/>
                <w:color w:val="FFFFFF"/>
              </w:rPr>
              <w:t>Change in Control</w:t>
            </w:r>
          </w:p>
        </w:tc>
        <w:tc>
          <w:tcPr>
            <w:tcW w:w="180" w:type="dxa"/>
            <w:vAlign w:val="bottom"/>
            <w:shd w:val="clear" w:color="auto" w:fill="C00000"/>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3620" w:type="dxa"/>
            <w:vAlign w:val="bottom"/>
            <w:shd w:val="clear" w:color="auto" w:fill="C00000"/>
          </w:tcPr>
          <w:p>
            <w:pPr>
              <w:spacing w:after="0"/>
              <w:rPr>
                <w:sz w:val="12"/>
                <w:szCs w:val="12"/>
                <w:color w:val="auto"/>
              </w:rPr>
            </w:pPr>
          </w:p>
        </w:tc>
        <w:tc>
          <w:tcPr>
            <w:tcW w:w="120" w:type="dxa"/>
            <w:vAlign w:val="bottom"/>
            <w:shd w:val="clear" w:color="auto" w:fill="C00000"/>
          </w:tcPr>
          <w:p>
            <w:pPr>
              <w:spacing w:after="0"/>
              <w:rPr>
                <w:sz w:val="12"/>
                <w:szCs w:val="12"/>
                <w:color w:val="auto"/>
              </w:rPr>
            </w:pPr>
          </w:p>
        </w:tc>
        <w:tc>
          <w:tcPr>
            <w:tcW w:w="1000" w:type="dxa"/>
            <w:vAlign w:val="bottom"/>
            <w:vMerge w:val="restart"/>
            <w:shd w:val="clear" w:color="auto" w:fill="C00000"/>
          </w:tcPr>
          <w:p>
            <w:pPr>
              <w:jc w:val="center"/>
              <w:ind w:left="109"/>
              <w:spacing w:after="0"/>
              <w:rPr>
                <w:sz w:val="20"/>
                <w:szCs w:val="20"/>
                <w:color w:val="auto"/>
              </w:rPr>
            </w:pPr>
            <w:r>
              <w:rPr>
                <w:rFonts w:ascii="Arial" w:cs="Arial" w:eastAsia="Arial" w:hAnsi="Arial"/>
                <w:sz w:val="13"/>
                <w:szCs w:val="13"/>
                <w:b w:val="1"/>
                <w:bCs w:val="1"/>
                <w:color w:val="FFFFFF"/>
                <w:w w:val="96"/>
              </w:rPr>
              <w:t>Voluntary</w:t>
            </w:r>
          </w:p>
        </w:tc>
        <w:tc>
          <w:tcPr>
            <w:tcW w:w="180" w:type="dxa"/>
            <w:vAlign w:val="bottom"/>
            <w:shd w:val="clear" w:color="auto" w:fill="C00000"/>
          </w:tcPr>
          <w:p>
            <w:pPr>
              <w:spacing w:after="0"/>
              <w:rPr>
                <w:sz w:val="12"/>
                <w:szCs w:val="12"/>
                <w:color w:val="auto"/>
              </w:rPr>
            </w:pPr>
          </w:p>
        </w:tc>
        <w:tc>
          <w:tcPr>
            <w:tcW w:w="1020" w:type="dxa"/>
            <w:vAlign w:val="bottom"/>
            <w:shd w:val="clear" w:color="auto" w:fill="C00000"/>
          </w:tcPr>
          <w:p>
            <w:pPr>
              <w:spacing w:after="0"/>
              <w:rPr>
                <w:sz w:val="12"/>
                <w:szCs w:val="12"/>
                <w:color w:val="auto"/>
              </w:rPr>
            </w:pPr>
          </w:p>
        </w:tc>
        <w:tc>
          <w:tcPr>
            <w:tcW w:w="180" w:type="dxa"/>
            <w:vAlign w:val="bottom"/>
            <w:shd w:val="clear" w:color="auto" w:fill="C00000"/>
          </w:tcPr>
          <w:p>
            <w:pPr>
              <w:spacing w:after="0"/>
              <w:rPr>
                <w:sz w:val="12"/>
                <w:szCs w:val="12"/>
                <w:color w:val="auto"/>
              </w:rPr>
            </w:pPr>
          </w:p>
        </w:tc>
        <w:tc>
          <w:tcPr>
            <w:tcW w:w="1080" w:type="dxa"/>
            <w:vAlign w:val="bottom"/>
            <w:vMerge w:val="restart"/>
            <w:shd w:val="clear" w:color="auto" w:fill="C00000"/>
          </w:tcPr>
          <w:p>
            <w:pPr>
              <w:jc w:val="center"/>
              <w:ind w:left="49"/>
              <w:spacing w:after="0"/>
              <w:rPr>
                <w:sz w:val="20"/>
                <w:szCs w:val="20"/>
                <w:color w:val="auto"/>
              </w:rPr>
            </w:pPr>
            <w:r>
              <w:rPr>
                <w:rFonts w:ascii="Arial" w:cs="Arial" w:eastAsia="Arial" w:hAnsi="Arial"/>
                <w:sz w:val="13"/>
                <w:szCs w:val="13"/>
                <w:b w:val="1"/>
                <w:bCs w:val="1"/>
                <w:color w:val="FFFFFF"/>
                <w:w w:val="96"/>
              </w:rPr>
              <w:t>Involuntary</w:t>
            </w:r>
          </w:p>
        </w:tc>
        <w:tc>
          <w:tcPr>
            <w:tcW w:w="120" w:type="dxa"/>
            <w:vAlign w:val="bottom"/>
            <w:shd w:val="clear" w:color="auto" w:fill="C00000"/>
          </w:tcPr>
          <w:p>
            <w:pPr>
              <w:spacing w:after="0"/>
              <w:rPr>
                <w:sz w:val="12"/>
                <w:szCs w:val="12"/>
                <w:color w:val="auto"/>
              </w:rPr>
            </w:pPr>
          </w:p>
        </w:tc>
        <w:tc>
          <w:tcPr>
            <w:tcW w:w="1200" w:type="dxa"/>
            <w:vAlign w:val="bottom"/>
            <w:gridSpan w:val="2"/>
            <w:vMerge w:val="restart"/>
            <w:shd w:val="clear" w:color="auto" w:fill="C00000"/>
          </w:tcPr>
          <w:p>
            <w:pPr>
              <w:jc w:val="center"/>
              <w:ind w:right="20"/>
              <w:spacing w:after="0"/>
              <w:rPr>
                <w:sz w:val="20"/>
                <w:szCs w:val="20"/>
                <w:color w:val="auto"/>
              </w:rPr>
            </w:pPr>
            <w:r>
              <w:rPr>
                <w:rFonts w:ascii="Arial" w:cs="Arial" w:eastAsia="Arial" w:hAnsi="Arial"/>
                <w:sz w:val="13"/>
                <w:szCs w:val="13"/>
                <w:b w:val="1"/>
                <w:bCs w:val="1"/>
                <w:color w:val="FFFFFF"/>
                <w:w w:val="94"/>
              </w:rPr>
              <w:t>Termination</w:t>
            </w:r>
          </w:p>
        </w:tc>
        <w:tc>
          <w:tcPr>
            <w:tcW w:w="1020" w:type="dxa"/>
            <w:vAlign w:val="bottom"/>
            <w:shd w:val="clear" w:color="auto" w:fill="C00000"/>
          </w:tcPr>
          <w:p>
            <w:pPr>
              <w:spacing w:after="0"/>
              <w:rPr>
                <w:sz w:val="12"/>
                <w:szCs w:val="12"/>
                <w:color w:val="auto"/>
              </w:rPr>
            </w:pPr>
          </w:p>
        </w:tc>
        <w:tc>
          <w:tcPr>
            <w:tcW w:w="180" w:type="dxa"/>
            <w:vAlign w:val="bottom"/>
            <w:shd w:val="clear" w:color="auto" w:fill="C00000"/>
          </w:tcPr>
          <w:p>
            <w:pPr>
              <w:spacing w:after="0"/>
              <w:rPr>
                <w:sz w:val="12"/>
                <w:szCs w:val="12"/>
                <w:color w:val="auto"/>
              </w:rPr>
            </w:pPr>
          </w:p>
        </w:tc>
        <w:tc>
          <w:tcPr>
            <w:tcW w:w="1520" w:type="dxa"/>
            <w:vAlign w:val="bottom"/>
            <w:gridSpan w:val="2"/>
            <w:shd w:val="clear" w:color="auto" w:fill="C00000"/>
          </w:tcPr>
          <w:p>
            <w:pPr>
              <w:jc w:val="center"/>
              <w:spacing w:after="0" w:line="144" w:lineRule="exact"/>
              <w:rPr>
                <w:sz w:val="20"/>
                <w:szCs w:val="20"/>
                <w:color w:val="auto"/>
              </w:rPr>
            </w:pPr>
            <w:r>
              <w:rPr>
                <w:rFonts w:ascii="Arial" w:cs="Arial" w:eastAsia="Arial" w:hAnsi="Arial"/>
                <w:sz w:val="13"/>
                <w:szCs w:val="13"/>
                <w:b w:val="1"/>
                <w:bCs w:val="1"/>
                <w:color w:val="FFFFFF"/>
                <w:w w:val="96"/>
              </w:rPr>
              <w:t>Termination Without</w:t>
            </w:r>
          </w:p>
        </w:tc>
        <w:tc>
          <w:tcPr>
            <w:tcW w:w="0" w:type="dxa"/>
            <w:vAlign w:val="bottom"/>
          </w:tcPr>
          <w:p>
            <w:pPr>
              <w:spacing w:after="0"/>
              <w:rPr>
                <w:sz w:val="1"/>
                <w:szCs w:val="1"/>
                <w:color w:val="auto"/>
              </w:rPr>
            </w:pPr>
          </w:p>
        </w:tc>
      </w:tr>
      <w:tr>
        <w:trPr>
          <w:trHeight w:val="135"/>
        </w:trPr>
        <w:tc>
          <w:tcPr>
            <w:tcW w:w="3620" w:type="dxa"/>
            <w:vAlign w:val="bottom"/>
            <w:shd w:val="clear" w:color="auto" w:fill="C00000"/>
          </w:tcPr>
          <w:p>
            <w:pPr>
              <w:spacing w:after="0"/>
              <w:rPr>
                <w:sz w:val="11"/>
                <w:szCs w:val="11"/>
                <w:color w:val="auto"/>
              </w:rPr>
            </w:pPr>
          </w:p>
        </w:tc>
        <w:tc>
          <w:tcPr>
            <w:tcW w:w="120" w:type="dxa"/>
            <w:vAlign w:val="bottom"/>
            <w:shd w:val="clear" w:color="auto" w:fill="C00000"/>
          </w:tcPr>
          <w:p>
            <w:pPr>
              <w:spacing w:after="0"/>
              <w:rPr>
                <w:sz w:val="11"/>
                <w:szCs w:val="11"/>
                <w:color w:val="auto"/>
              </w:rPr>
            </w:pPr>
          </w:p>
        </w:tc>
        <w:tc>
          <w:tcPr>
            <w:tcW w:w="1000" w:type="dxa"/>
            <w:vAlign w:val="bottom"/>
            <w:vMerge w:val="continue"/>
            <w:shd w:val="clear" w:color="auto" w:fill="C00000"/>
          </w:tcPr>
          <w:p>
            <w:pPr>
              <w:spacing w:after="0"/>
              <w:rPr>
                <w:sz w:val="11"/>
                <w:szCs w:val="11"/>
                <w:color w:val="auto"/>
              </w:rPr>
            </w:pPr>
          </w:p>
        </w:tc>
        <w:tc>
          <w:tcPr>
            <w:tcW w:w="180" w:type="dxa"/>
            <w:vAlign w:val="bottom"/>
            <w:shd w:val="clear" w:color="auto" w:fill="C00000"/>
          </w:tcPr>
          <w:p>
            <w:pPr>
              <w:spacing w:after="0"/>
              <w:rPr>
                <w:sz w:val="11"/>
                <w:szCs w:val="11"/>
                <w:color w:val="auto"/>
              </w:rPr>
            </w:pPr>
          </w:p>
        </w:tc>
        <w:tc>
          <w:tcPr>
            <w:tcW w:w="1020" w:type="dxa"/>
            <w:vAlign w:val="bottom"/>
            <w:vMerge w:val="restart"/>
            <w:shd w:val="clear" w:color="auto" w:fill="C00000"/>
          </w:tcPr>
          <w:p>
            <w:pPr>
              <w:jc w:val="center"/>
              <w:ind w:left="109"/>
              <w:spacing w:after="0"/>
              <w:rPr>
                <w:sz w:val="20"/>
                <w:szCs w:val="20"/>
                <w:color w:val="auto"/>
              </w:rPr>
            </w:pPr>
            <w:r>
              <w:rPr>
                <w:rFonts w:ascii="Arial" w:cs="Arial" w:eastAsia="Arial" w:hAnsi="Arial"/>
                <w:sz w:val="13"/>
                <w:szCs w:val="13"/>
                <w:b w:val="1"/>
                <w:bCs w:val="1"/>
                <w:color w:val="FFFFFF"/>
                <w:w w:val="96"/>
              </w:rPr>
              <w:t>Disability or</w:t>
            </w:r>
          </w:p>
        </w:tc>
        <w:tc>
          <w:tcPr>
            <w:tcW w:w="180" w:type="dxa"/>
            <w:vAlign w:val="bottom"/>
            <w:shd w:val="clear" w:color="auto" w:fill="C00000"/>
          </w:tcPr>
          <w:p>
            <w:pPr>
              <w:spacing w:after="0"/>
              <w:rPr>
                <w:sz w:val="11"/>
                <w:szCs w:val="11"/>
                <w:color w:val="auto"/>
              </w:rPr>
            </w:pPr>
          </w:p>
        </w:tc>
        <w:tc>
          <w:tcPr>
            <w:tcW w:w="1080" w:type="dxa"/>
            <w:vAlign w:val="bottom"/>
            <w:vMerge w:val="continue"/>
            <w:shd w:val="clear" w:color="auto" w:fill="C00000"/>
          </w:tcPr>
          <w:p>
            <w:pPr>
              <w:spacing w:after="0"/>
              <w:rPr>
                <w:sz w:val="11"/>
                <w:szCs w:val="11"/>
                <w:color w:val="auto"/>
              </w:rPr>
            </w:pPr>
          </w:p>
        </w:tc>
        <w:tc>
          <w:tcPr>
            <w:tcW w:w="120" w:type="dxa"/>
            <w:vAlign w:val="bottom"/>
            <w:shd w:val="clear" w:color="auto" w:fill="C00000"/>
          </w:tcPr>
          <w:p>
            <w:pPr>
              <w:spacing w:after="0"/>
              <w:rPr>
                <w:sz w:val="11"/>
                <w:szCs w:val="11"/>
                <w:color w:val="auto"/>
              </w:rPr>
            </w:pPr>
          </w:p>
        </w:tc>
        <w:tc>
          <w:tcPr>
            <w:tcW w:w="1200" w:type="dxa"/>
            <w:vAlign w:val="bottom"/>
            <w:gridSpan w:val="2"/>
            <w:vMerge w:val="continue"/>
            <w:shd w:val="clear" w:color="auto" w:fill="C00000"/>
          </w:tcPr>
          <w:p>
            <w:pPr>
              <w:spacing w:after="0"/>
              <w:rPr>
                <w:sz w:val="11"/>
                <w:szCs w:val="11"/>
                <w:color w:val="auto"/>
              </w:rPr>
            </w:pPr>
          </w:p>
        </w:tc>
        <w:tc>
          <w:tcPr>
            <w:tcW w:w="1200" w:type="dxa"/>
            <w:vAlign w:val="bottom"/>
            <w:gridSpan w:val="2"/>
            <w:vMerge w:val="restart"/>
            <w:shd w:val="clear" w:color="auto" w:fill="C00000"/>
          </w:tcPr>
          <w:p>
            <w:pPr>
              <w:jc w:val="center"/>
              <w:spacing w:after="0"/>
              <w:rPr>
                <w:sz w:val="20"/>
                <w:szCs w:val="20"/>
                <w:color w:val="auto"/>
              </w:rPr>
            </w:pPr>
            <w:r>
              <w:rPr>
                <w:rFonts w:ascii="Arial" w:cs="Arial" w:eastAsia="Arial" w:hAnsi="Arial"/>
                <w:sz w:val="13"/>
                <w:szCs w:val="13"/>
                <w:b w:val="1"/>
                <w:bCs w:val="1"/>
                <w:color w:val="FFFFFF"/>
                <w:w w:val="96"/>
              </w:rPr>
              <w:t>No Termination</w:t>
            </w:r>
          </w:p>
        </w:tc>
        <w:tc>
          <w:tcPr>
            <w:tcW w:w="1340" w:type="dxa"/>
            <w:vAlign w:val="bottom"/>
            <w:shd w:val="clear" w:color="auto" w:fill="C00000"/>
          </w:tcPr>
          <w:p>
            <w:pPr>
              <w:jc w:val="center"/>
              <w:ind w:left="89"/>
              <w:spacing w:after="0" w:line="135" w:lineRule="exact"/>
              <w:rPr>
                <w:sz w:val="20"/>
                <w:szCs w:val="20"/>
                <w:color w:val="auto"/>
              </w:rPr>
            </w:pPr>
            <w:r>
              <w:rPr>
                <w:rFonts w:ascii="Arial" w:cs="Arial" w:eastAsia="Arial" w:hAnsi="Arial"/>
                <w:sz w:val="13"/>
                <w:szCs w:val="13"/>
                <w:b w:val="1"/>
                <w:bCs w:val="1"/>
                <w:color w:val="FFFFFF"/>
                <w:w w:val="96"/>
              </w:rPr>
              <w:t>Cause by TTC or by</w:t>
            </w:r>
          </w:p>
        </w:tc>
        <w:tc>
          <w:tcPr>
            <w:tcW w:w="180" w:type="dxa"/>
            <w:vAlign w:val="bottom"/>
            <w:shd w:val="clear" w:color="auto" w:fill="C00000"/>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shd w:val="clear" w:color="auto" w:fill="C00000"/>
          </w:tcPr>
          <w:p>
            <w:pPr>
              <w:spacing w:after="0"/>
              <w:rPr>
                <w:sz w:val="11"/>
                <w:szCs w:val="11"/>
                <w:color w:val="auto"/>
              </w:rPr>
            </w:pPr>
          </w:p>
        </w:tc>
        <w:tc>
          <w:tcPr>
            <w:tcW w:w="120" w:type="dxa"/>
            <w:vAlign w:val="bottom"/>
            <w:shd w:val="clear" w:color="auto" w:fill="C00000"/>
          </w:tcPr>
          <w:p>
            <w:pPr>
              <w:spacing w:after="0"/>
              <w:rPr>
                <w:sz w:val="11"/>
                <w:szCs w:val="11"/>
                <w:color w:val="auto"/>
              </w:rPr>
            </w:pPr>
          </w:p>
        </w:tc>
        <w:tc>
          <w:tcPr>
            <w:tcW w:w="1000" w:type="dxa"/>
            <w:vAlign w:val="bottom"/>
            <w:shd w:val="clear" w:color="auto" w:fill="C00000"/>
          </w:tcPr>
          <w:p>
            <w:pPr>
              <w:jc w:val="center"/>
              <w:ind w:left="109"/>
              <w:spacing w:after="0" w:line="135" w:lineRule="exact"/>
              <w:rPr>
                <w:sz w:val="20"/>
                <w:szCs w:val="20"/>
                <w:color w:val="auto"/>
              </w:rPr>
            </w:pPr>
            <w:r>
              <w:rPr>
                <w:rFonts w:ascii="Arial" w:cs="Arial" w:eastAsia="Arial" w:hAnsi="Arial"/>
                <w:sz w:val="13"/>
                <w:szCs w:val="13"/>
                <w:b w:val="1"/>
                <w:bCs w:val="1"/>
                <w:color w:val="FFFFFF"/>
                <w:w w:val="95"/>
              </w:rPr>
              <w:t>Resignation /</w:t>
            </w:r>
          </w:p>
        </w:tc>
        <w:tc>
          <w:tcPr>
            <w:tcW w:w="180" w:type="dxa"/>
            <w:vAlign w:val="bottom"/>
            <w:shd w:val="clear" w:color="auto" w:fill="C00000"/>
          </w:tcPr>
          <w:p>
            <w:pPr>
              <w:spacing w:after="0"/>
              <w:rPr>
                <w:sz w:val="11"/>
                <w:szCs w:val="11"/>
                <w:color w:val="auto"/>
              </w:rPr>
            </w:pPr>
          </w:p>
        </w:tc>
        <w:tc>
          <w:tcPr>
            <w:tcW w:w="1020" w:type="dxa"/>
            <w:vAlign w:val="bottom"/>
            <w:vMerge w:val="continue"/>
            <w:shd w:val="clear" w:color="auto" w:fill="C00000"/>
          </w:tcPr>
          <w:p>
            <w:pPr>
              <w:spacing w:after="0"/>
              <w:rPr>
                <w:sz w:val="11"/>
                <w:szCs w:val="11"/>
                <w:color w:val="auto"/>
              </w:rPr>
            </w:pPr>
          </w:p>
        </w:tc>
        <w:tc>
          <w:tcPr>
            <w:tcW w:w="180" w:type="dxa"/>
            <w:vAlign w:val="bottom"/>
            <w:shd w:val="clear" w:color="auto" w:fill="C00000"/>
          </w:tcPr>
          <w:p>
            <w:pPr>
              <w:spacing w:after="0"/>
              <w:rPr>
                <w:sz w:val="11"/>
                <w:szCs w:val="11"/>
                <w:color w:val="auto"/>
              </w:rPr>
            </w:pPr>
          </w:p>
        </w:tc>
        <w:tc>
          <w:tcPr>
            <w:tcW w:w="1080" w:type="dxa"/>
            <w:vAlign w:val="bottom"/>
            <w:shd w:val="clear" w:color="auto" w:fill="C00000"/>
          </w:tcPr>
          <w:p>
            <w:pPr>
              <w:jc w:val="center"/>
              <w:ind w:left="49"/>
              <w:spacing w:after="0" w:line="135" w:lineRule="exact"/>
              <w:rPr>
                <w:sz w:val="20"/>
                <w:szCs w:val="20"/>
                <w:color w:val="auto"/>
              </w:rPr>
            </w:pPr>
            <w:r>
              <w:rPr>
                <w:rFonts w:ascii="Arial" w:cs="Arial" w:eastAsia="Arial" w:hAnsi="Arial"/>
                <w:sz w:val="13"/>
                <w:szCs w:val="13"/>
                <w:b w:val="1"/>
                <w:bCs w:val="1"/>
                <w:color w:val="FFFFFF"/>
                <w:w w:val="94"/>
              </w:rPr>
              <w:t>Termination by</w:t>
            </w:r>
          </w:p>
        </w:tc>
        <w:tc>
          <w:tcPr>
            <w:tcW w:w="120" w:type="dxa"/>
            <w:vAlign w:val="bottom"/>
            <w:shd w:val="clear" w:color="auto" w:fill="C00000"/>
          </w:tcPr>
          <w:p>
            <w:pPr>
              <w:spacing w:after="0"/>
              <w:rPr>
                <w:sz w:val="11"/>
                <w:szCs w:val="11"/>
                <w:color w:val="auto"/>
              </w:rPr>
            </w:pPr>
          </w:p>
        </w:tc>
        <w:tc>
          <w:tcPr>
            <w:tcW w:w="1200" w:type="dxa"/>
            <w:vAlign w:val="bottom"/>
            <w:gridSpan w:val="2"/>
            <w:shd w:val="clear" w:color="auto" w:fill="C00000"/>
          </w:tcPr>
          <w:p>
            <w:pPr>
              <w:jc w:val="center"/>
              <w:ind w:right="20"/>
              <w:spacing w:after="0" w:line="135" w:lineRule="exact"/>
              <w:rPr>
                <w:sz w:val="20"/>
                <w:szCs w:val="20"/>
                <w:color w:val="auto"/>
              </w:rPr>
            </w:pPr>
            <w:r>
              <w:rPr>
                <w:rFonts w:ascii="Arial" w:cs="Arial" w:eastAsia="Arial" w:hAnsi="Arial"/>
                <w:sz w:val="13"/>
                <w:szCs w:val="13"/>
                <w:b w:val="1"/>
                <w:bCs w:val="1"/>
                <w:color w:val="FFFFFF"/>
                <w:w w:val="95"/>
              </w:rPr>
              <w:t>by TTC for</w:t>
            </w:r>
          </w:p>
        </w:tc>
        <w:tc>
          <w:tcPr>
            <w:tcW w:w="1200" w:type="dxa"/>
            <w:vAlign w:val="bottom"/>
            <w:gridSpan w:val="2"/>
            <w:vMerge w:val="continue"/>
            <w:shd w:val="clear" w:color="auto" w:fill="C00000"/>
          </w:tcPr>
          <w:p>
            <w:pPr>
              <w:spacing w:after="0"/>
              <w:rPr>
                <w:sz w:val="11"/>
                <w:szCs w:val="11"/>
                <w:color w:val="auto"/>
              </w:rPr>
            </w:pPr>
          </w:p>
        </w:tc>
        <w:tc>
          <w:tcPr>
            <w:tcW w:w="1340" w:type="dxa"/>
            <w:vAlign w:val="bottom"/>
            <w:shd w:val="clear" w:color="auto" w:fill="C00000"/>
          </w:tcPr>
          <w:p>
            <w:pPr>
              <w:jc w:val="center"/>
              <w:ind w:left="89"/>
              <w:spacing w:after="0" w:line="135" w:lineRule="exact"/>
              <w:rPr>
                <w:sz w:val="20"/>
                <w:szCs w:val="20"/>
                <w:color w:val="auto"/>
              </w:rPr>
            </w:pPr>
            <w:r>
              <w:rPr>
                <w:rFonts w:ascii="Arial" w:cs="Arial" w:eastAsia="Arial" w:hAnsi="Arial"/>
                <w:sz w:val="13"/>
                <w:szCs w:val="13"/>
                <w:b w:val="1"/>
                <w:bCs w:val="1"/>
                <w:color w:val="FFFFFF"/>
                <w:w w:val="95"/>
              </w:rPr>
              <w:t>Executive for Good</w:t>
            </w:r>
          </w:p>
        </w:tc>
        <w:tc>
          <w:tcPr>
            <w:tcW w:w="180" w:type="dxa"/>
            <w:vAlign w:val="bottom"/>
            <w:shd w:val="clear" w:color="auto" w:fill="C00000"/>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vMerge w:val="restart"/>
            <w:shd w:val="clear" w:color="auto" w:fill="C00000"/>
          </w:tcPr>
          <w:p>
            <w:pPr>
              <w:ind w:left="1200"/>
              <w:spacing w:after="0"/>
              <w:rPr>
                <w:sz w:val="20"/>
                <w:szCs w:val="20"/>
                <w:color w:val="auto"/>
              </w:rPr>
            </w:pPr>
            <w:r>
              <w:rPr>
                <w:rFonts w:ascii="Arial" w:cs="Arial" w:eastAsia="Arial" w:hAnsi="Arial"/>
                <w:sz w:val="13"/>
                <w:szCs w:val="13"/>
                <w:b w:val="1"/>
                <w:bCs w:val="1"/>
                <w:color w:val="FFFFFF"/>
              </w:rPr>
              <w:t>Name/Payment Type</w:t>
            </w:r>
          </w:p>
        </w:tc>
        <w:tc>
          <w:tcPr>
            <w:tcW w:w="120" w:type="dxa"/>
            <w:vAlign w:val="bottom"/>
            <w:shd w:val="clear" w:color="auto" w:fill="C00000"/>
          </w:tcPr>
          <w:p>
            <w:pPr>
              <w:spacing w:after="0"/>
              <w:rPr>
                <w:sz w:val="11"/>
                <w:szCs w:val="11"/>
                <w:color w:val="auto"/>
              </w:rPr>
            </w:pPr>
          </w:p>
        </w:tc>
        <w:tc>
          <w:tcPr>
            <w:tcW w:w="1000" w:type="dxa"/>
            <w:vAlign w:val="bottom"/>
            <w:shd w:val="clear" w:color="auto" w:fill="C00000"/>
          </w:tcPr>
          <w:p>
            <w:pPr>
              <w:jc w:val="center"/>
              <w:ind w:left="109"/>
              <w:spacing w:after="0" w:line="135" w:lineRule="exact"/>
              <w:rPr>
                <w:sz w:val="20"/>
                <w:szCs w:val="20"/>
                <w:color w:val="auto"/>
              </w:rPr>
            </w:pPr>
            <w:r>
              <w:rPr>
                <w:rFonts w:ascii="Arial" w:cs="Arial" w:eastAsia="Arial" w:hAnsi="Arial"/>
                <w:sz w:val="13"/>
                <w:szCs w:val="13"/>
                <w:b w:val="1"/>
                <w:bCs w:val="1"/>
                <w:color w:val="FFFFFF"/>
                <w:w w:val="97"/>
              </w:rPr>
              <w:t>Retirement</w:t>
            </w:r>
            <w:r>
              <w:rPr>
                <w:rFonts w:ascii="Arial" w:cs="Arial" w:eastAsia="Arial" w:hAnsi="Arial"/>
                <w:sz w:val="10"/>
                <w:szCs w:val="10"/>
                <w:b w:val="1"/>
                <w:bCs w:val="1"/>
                <w:color w:val="FFFFFF"/>
                <w:w w:val="97"/>
              </w:rPr>
              <w:t>(1)</w:t>
            </w:r>
          </w:p>
        </w:tc>
        <w:tc>
          <w:tcPr>
            <w:tcW w:w="180" w:type="dxa"/>
            <w:vAlign w:val="bottom"/>
            <w:shd w:val="clear" w:color="auto" w:fill="C00000"/>
          </w:tcPr>
          <w:p>
            <w:pPr>
              <w:spacing w:after="0"/>
              <w:rPr>
                <w:sz w:val="11"/>
                <w:szCs w:val="11"/>
                <w:color w:val="auto"/>
              </w:rPr>
            </w:pPr>
          </w:p>
        </w:tc>
        <w:tc>
          <w:tcPr>
            <w:tcW w:w="1020" w:type="dxa"/>
            <w:vAlign w:val="bottom"/>
            <w:shd w:val="clear" w:color="auto" w:fill="C00000"/>
          </w:tcPr>
          <w:p>
            <w:pPr>
              <w:jc w:val="center"/>
              <w:ind w:left="109"/>
              <w:spacing w:after="0" w:line="135" w:lineRule="exact"/>
              <w:rPr>
                <w:sz w:val="20"/>
                <w:szCs w:val="20"/>
                <w:color w:val="auto"/>
              </w:rPr>
            </w:pPr>
            <w:r>
              <w:rPr>
                <w:rFonts w:ascii="Arial" w:cs="Arial" w:eastAsia="Arial" w:hAnsi="Arial"/>
                <w:sz w:val="13"/>
                <w:szCs w:val="13"/>
                <w:b w:val="1"/>
                <w:bCs w:val="1"/>
                <w:color w:val="FFFFFF"/>
                <w:w w:val="99"/>
              </w:rPr>
              <w:t>Death</w:t>
            </w:r>
          </w:p>
        </w:tc>
        <w:tc>
          <w:tcPr>
            <w:tcW w:w="180" w:type="dxa"/>
            <w:vAlign w:val="bottom"/>
            <w:shd w:val="clear" w:color="auto" w:fill="C00000"/>
          </w:tcPr>
          <w:p>
            <w:pPr>
              <w:spacing w:after="0"/>
              <w:rPr>
                <w:sz w:val="11"/>
                <w:szCs w:val="11"/>
                <w:color w:val="auto"/>
              </w:rPr>
            </w:pPr>
          </w:p>
        </w:tc>
        <w:tc>
          <w:tcPr>
            <w:tcW w:w="1080" w:type="dxa"/>
            <w:vAlign w:val="bottom"/>
            <w:shd w:val="clear" w:color="auto" w:fill="C00000"/>
          </w:tcPr>
          <w:p>
            <w:pPr>
              <w:jc w:val="center"/>
              <w:ind w:left="49"/>
              <w:spacing w:after="0" w:line="135" w:lineRule="exact"/>
              <w:rPr>
                <w:sz w:val="20"/>
                <w:szCs w:val="20"/>
                <w:color w:val="auto"/>
              </w:rPr>
            </w:pPr>
            <w:r>
              <w:rPr>
                <w:rFonts w:ascii="Arial" w:cs="Arial" w:eastAsia="Arial" w:hAnsi="Arial"/>
                <w:sz w:val="13"/>
                <w:szCs w:val="13"/>
                <w:b w:val="1"/>
                <w:bCs w:val="1"/>
                <w:color w:val="FFFFFF"/>
                <w:w w:val="94"/>
              </w:rPr>
              <w:t>TTC</w:t>
            </w:r>
          </w:p>
        </w:tc>
        <w:tc>
          <w:tcPr>
            <w:tcW w:w="120" w:type="dxa"/>
            <w:vAlign w:val="bottom"/>
            <w:shd w:val="clear" w:color="auto" w:fill="C00000"/>
          </w:tcPr>
          <w:p>
            <w:pPr>
              <w:spacing w:after="0"/>
              <w:rPr>
                <w:sz w:val="11"/>
                <w:szCs w:val="11"/>
                <w:color w:val="auto"/>
              </w:rPr>
            </w:pPr>
          </w:p>
        </w:tc>
        <w:tc>
          <w:tcPr>
            <w:tcW w:w="1200" w:type="dxa"/>
            <w:vAlign w:val="bottom"/>
            <w:gridSpan w:val="2"/>
            <w:shd w:val="clear" w:color="auto" w:fill="C00000"/>
          </w:tcPr>
          <w:p>
            <w:pPr>
              <w:jc w:val="center"/>
              <w:ind w:right="20"/>
              <w:spacing w:after="0" w:line="135" w:lineRule="exact"/>
              <w:rPr>
                <w:sz w:val="20"/>
                <w:szCs w:val="20"/>
                <w:color w:val="auto"/>
              </w:rPr>
            </w:pPr>
            <w:r>
              <w:rPr>
                <w:rFonts w:ascii="Arial" w:cs="Arial" w:eastAsia="Arial" w:hAnsi="Arial"/>
                <w:sz w:val="13"/>
                <w:szCs w:val="13"/>
                <w:b w:val="1"/>
                <w:bCs w:val="1"/>
                <w:color w:val="FFFFFF"/>
                <w:w w:val="97"/>
              </w:rPr>
              <w:t>Cause</w:t>
            </w:r>
          </w:p>
        </w:tc>
        <w:tc>
          <w:tcPr>
            <w:tcW w:w="1020" w:type="dxa"/>
            <w:vAlign w:val="bottom"/>
            <w:shd w:val="clear" w:color="auto" w:fill="C00000"/>
          </w:tcPr>
          <w:p>
            <w:pPr>
              <w:jc w:val="center"/>
              <w:ind w:left="89"/>
              <w:spacing w:after="0" w:line="135" w:lineRule="exact"/>
              <w:rPr>
                <w:sz w:val="20"/>
                <w:szCs w:val="20"/>
                <w:color w:val="auto"/>
              </w:rPr>
            </w:pPr>
            <w:r>
              <w:rPr>
                <w:rFonts w:ascii="Arial" w:cs="Arial" w:eastAsia="Arial" w:hAnsi="Arial"/>
                <w:sz w:val="13"/>
                <w:szCs w:val="13"/>
                <w:b w:val="1"/>
                <w:bCs w:val="1"/>
                <w:color w:val="FFFFFF"/>
                <w:w w:val="95"/>
              </w:rPr>
              <w:t>Event</w:t>
            </w:r>
          </w:p>
        </w:tc>
        <w:tc>
          <w:tcPr>
            <w:tcW w:w="180" w:type="dxa"/>
            <w:vAlign w:val="bottom"/>
            <w:shd w:val="clear" w:color="auto" w:fill="C00000"/>
          </w:tcPr>
          <w:p>
            <w:pPr>
              <w:spacing w:after="0"/>
              <w:rPr>
                <w:sz w:val="11"/>
                <w:szCs w:val="11"/>
                <w:color w:val="auto"/>
              </w:rPr>
            </w:pPr>
          </w:p>
        </w:tc>
        <w:tc>
          <w:tcPr>
            <w:tcW w:w="1340" w:type="dxa"/>
            <w:vAlign w:val="bottom"/>
            <w:shd w:val="clear" w:color="auto" w:fill="C00000"/>
          </w:tcPr>
          <w:p>
            <w:pPr>
              <w:jc w:val="center"/>
              <w:ind w:left="89"/>
              <w:spacing w:after="0" w:line="135" w:lineRule="exact"/>
              <w:rPr>
                <w:sz w:val="20"/>
                <w:szCs w:val="20"/>
                <w:color w:val="auto"/>
              </w:rPr>
            </w:pPr>
            <w:r>
              <w:rPr>
                <w:rFonts w:ascii="Arial" w:cs="Arial" w:eastAsia="Arial" w:hAnsi="Arial"/>
                <w:sz w:val="13"/>
                <w:szCs w:val="13"/>
                <w:b w:val="1"/>
                <w:bCs w:val="1"/>
                <w:color w:val="FFFFFF"/>
                <w:w w:val="97"/>
              </w:rPr>
              <w:t>Reason</w:t>
            </w:r>
          </w:p>
        </w:tc>
        <w:tc>
          <w:tcPr>
            <w:tcW w:w="180" w:type="dxa"/>
            <w:vAlign w:val="bottom"/>
            <w:shd w:val="clear" w:color="auto" w:fill="C00000"/>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620" w:type="dxa"/>
            <w:vAlign w:val="bottom"/>
            <w:vMerge w:val="continue"/>
            <w:shd w:val="clear" w:color="auto" w:fill="C00000"/>
          </w:tcPr>
          <w:p>
            <w:pPr>
              <w:spacing w:after="0"/>
              <w:rPr>
                <w:sz w:val="13"/>
                <w:szCs w:val="13"/>
                <w:color w:val="auto"/>
              </w:rPr>
            </w:pPr>
          </w:p>
        </w:tc>
        <w:tc>
          <w:tcPr>
            <w:tcW w:w="1120" w:type="dxa"/>
            <w:vAlign w:val="bottom"/>
            <w:gridSpan w:val="2"/>
            <w:shd w:val="clear" w:color="auto" w:fill="C00000"/>
          </w:tcPr>
          <w:p>
            <w:pPr>
              <w:jc w:val="center"/>
              <w:ind w:left="229"/>
              <w:spacing w:after="0"/>
              <w:rPr>
                <w:sz w:val="20"/>
                <w:szCs w:val="20"/>
                <w:color w:val="auto"/>
              </w:rPr>
            </w:pPr>
            <w:r>
              <w:rPr>
                <w:rFonts w:ascii="Arial" w:cs="Arial" w:eastAsia="Arial" w:hAnsi="Arial"/>
                <w:sz w:val="13"/>
                <w:szCs w:val="13"/>
                <w:b w:val="1"/>
                <w:bCs w:val="1"/>
                <w:color w:val="FFFFFF"/>
                <w:w w:val="87"/>
              </w:rPr>
              <w:t>($)</w:t>
            </w:r>
          </w:p>
        </w:tc>
        <w:tc>
          <w:tcPr>
            <w:tcW w:w="180" w:type="dxa"/>
            <w:vAlign w:val="bottom"/>
            <w:shd w:val="clear" w:color="auto" w:fill="C00000"/>
          </w:tcPr>
          <w:p>
            <w:pPr>
              <w:spacing w:after="0"/>
              <w:rPr>
                <w:sz w:val="13"/>
                <w:szCs w:val="13"/>
                <w:color w:val="auto"/>
              </w:rPr>
            </w:pPr>
          </w:p>
        </w:tc>
        <w:tc>
          <w:tcPr>
            <w:tcW w:w="1020" w:type="dxa"/>
            <w:vAlign w:val="bottom"/>
            <w:shd w:val="clear" w:color="auto" w:fill="C00000"/>
          </w:tcPr>
          <w:p>
            <w:pPr>
              <w:jc w:val="center"/>
              <w:ind w:left="109"/>
              <w:spacing w:after="0"/>
              <w:rPr>
                <w:sz w:val="20"/>
                <w:szCs w:val="20"/>
                <w:color w:val="auto"/>
              </w:rPr>
            </w:pPr>
            <w:r>
              <w:rPr>
                <w:rFonts w:ascii="Arial" w:cs="Arial" w:eastAsia="Arial" w:hAnsi="Arial"/>
                <w:sz w:val="13"/>
                <w:szCs w:val="13"/>
                <w:b w:val="1"/>
                <w:bCs w:val="1"/>
                <w:color w:val="FFFFFF"/>
              </w:rPr>
              <w:t>($)</w:t>
            </w:r>
          </w:p>
        </w:tc>
        <w:tc>
          <w:tcPr>
            <w:tcW w:w="180" w:type="dxa"/>
            <w:vAlign w:val="bottom"/>
            <w:shd w:val="clear" w:color="auto" w:fill="C00000"/>
          </w:tcPr>
          <w:p>
            <w:pPr>
              <w:spacing w:after="0"/>
              <w:rPr>
                <w:sz w:val="13"/>
                <w:szCs w:val="13"/>
                <w:color w:val="auto"/>
              </w:rPr>
            </w:pPr>
          </w:p>
        </w:tc>
        <w:tc>
          <w:tcPr>
            <w:tcW w:w="1080" w:type="dxa"/>
            <w:vAlign w:val="bottom"/>
            <w:shd w:val="clear" w:color="auto" w:fill="C00000"/>
          </w:tcPr>
          <w:p>
            <w:pPr>
              <w:jc w:val="center"/>
              <w:ind w:left="49"/>
              <w:spacing w:after="0"/>
              <w:rPr>
                <w:sz w:val="20"/>
                <w:szCs w:val="20"/>
                <w:color w:val="auto"/>
              </w:rPr>
            </w:pPr>
            <w:r>
              <w:rPr>
                <w:rFonts w:ascii="Arial" w:cs="Arial" w:eastAsia="Arial" w:hAnsi="Arial"/>
                <w:sz w:val="13"/>
                <w:szCs w:val="13"/>
                <w:b w:val="1"/>
                <w:bCs w:val="1"/>
                <w:color w:val="FFFFFF"/>
              </w:rPr>
              <w:t>($)</w:t>
            </w:r>
          </w:p>
        </w:tc>
        <w:tc>
          <w:tcPr>
            <w:tcW w:w="1200" w:type="dxa"/>
            <w:vAlign w:val="bottom"/>
            <w:gridSpan w:val="2"/>
            <w:shd w:val="clear" w:color="auto" w:fill="C00000"/>
          </w:tcPr>
          <w:p>
            <w:pPr>
              <w:jc w:val="center"/>
              <w:ind w:left="148"/>
              <w:spacing w:after="0"/>
              <w:rPr>
                <w:sz w:val="20"/>
                <w:szCs w:val="20"/>
                <w:color w:val="auto"/>
              </w:rPr>
            </w:pPr>
            <w:r>
              <w:rPr>
                <w:rFonts w:ascii="Arial" w:cs="Arial" w:eastAsia="Arial" w:hAnsi="Arial"/>
                <w:sz w:val="13"/>
                <w:szCs w:val="13"/>
                <w:b w:val="1"/>
                <w:bCs w:val="1"/>
                <w:color w:val="FFFFFF"/>
                <w:w w:val="87"/>
              </w:rPr>
              <w:t>($)</w:t>
            </w:r>
          </w:p>
        </w:tc>
        <w:tc>
          <w:tcPr>
            <w:tcW w:w="120" w:type="dxa"/>
            <w:vAlign w:val="bottom"/>
            <w:shd w:val="clear" w:color="auto" w:fill="C00000"/>
          </w:tcPr>
          <w:p>
            <w:pPr>
              <w:spacing w:after="0"/>
              <w:rPr>
                <w:sz w:val="13"/>
                <w:szCs w:val="13"/>
                <w:color w:val="auto"/>
              </w:rPr>
            </w:pPr>
          </w:p>
        </w:tc>
        <w:tc>
          <w:tcPr>
            <w:tcW w:w="1020" w:type="dxa"/>
            <w:vAlign w:val="bottom"/>
            <w:shd w:val="clear" w:color="auto" w:fill="C00000"/>
          </w:tcPr>
          <w:p>
            <w:pPr>
              <w:jc w:val="center"/>
              <w:ind w:left="89"/>
              <w:spacing w:after="0"/>
              <w:rPr>
                <w:sz w:val="20"/>
                <w:szCs w:val="20"/>
                <w:color w:val="auto"/>
              </w:rPr>
            </w:pPr>
            <w:r>
              <w:rPr>
                <w:rFonts w:ascii="Arial" w:cs="Arial" w:eastAsia="Arial" w:hAnsi="Arial"/>
                <w:sz w:val="13"/>
                <w:szCs w:val="13"/>
                <w:b w:val="1"/>
                <w:bCs w:val="1"/>
                <w:color w:val="FFFFFF"/>
                <w:w w:val="87"/>
              </w:rPr>
              <w:t>($)</w:t>
            </w:r>
          </w:p>
        </w:tc>
        <w:tc>
          <w:tcPr>
            <w:tcW w:w="180" w:type="dxa"/>
            <w:vAlign w:val="bottom"/>
            <w:shd w:val="clear" w:color="auto" w:fill="C00000"/>
          </w:tcPr>
          <w:p>
            <w:pPr>
              <w:spacing w:after="0"/>
              <w:rPr>
                <w:sz w:val="13"/>
                <w:szCs w:val="13"/>
                <w:color w:val="auto"/>
              </w:rPr>
            </w:pPr>
          </w:p>
        </w:tc>
        <w:tc>
          <w:tcPr>
            <w:tcW w:w="1340" w:type="dxa"/>
            <w:vAlign w:val="bottom"/>
            <w:shd w:val="clear" w:color="auto" w:fill="C00000"/>
          </w:tcPr>
          <w:p>
            <w:pPr>
              <w:jc w:val="center"/>
              <w:ind w:left="89"/>
              <w:spacing w:after="0"/>
              <w:rPr>
                <w:sz w:val="20"/>
                <w:szCs w:val="20"/>
                <w:color w:val="auto"/>
              </w:rPr>
            </w:pPr>
            <w:r>
              <w:rPr>
                <w:rFonts w:ascii="Arial" w:cs="Arial" w:eastAsia="Arial" w:hAnsi="Arial"/>
                <w:sz w:val="13"/>
                <w:szCs w:val="13"/>
                <w:b w:val="1"/>
                <w:bCs w:val="1"/>
                <w:color w:val="FFFFFF"/>
                <w:w w:val="87"/>
              </w:rPr>
              <w:t>($)</w:t>
            </w:r>
          </w:p>
        </w:tc>
        <w:tc>
          <w:tcPr>
            <w:tcW w:w="180" w:type="dxa"/>
            <w:vAlign w:val="bottom"/>
            <w:shd w:val="clear" w:color="auto" w:fill="C00000"/>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620" w:type="dxa"/>
            <w:vAlign w:val="bottom"/>
          </w:tcPr>
          <w:p>
            <w:pPr>
              <w:spacing w:after="0"/>
              <w:rPr>
                <w:sz w:val="20"/>
                <w:szCs w:val="20"/>
                <w:color w:val="auto"/>
              </w:rPr>
            </w:pPr>
            <w:r>
              <w:rPr>
                <w:rFonts w:ascii="Arial" w:cs="Arial" w:eastAsia="Arial" w:hAnsi="Arial"/>
                <w:sz w:val="14"/>
                <w:szCs w:val="14"/>
                <w:color w:val="auto"/>
              </w:rPr>
              <w:t>Richard M. Olson</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20" w:type="dxa"/>
            <w:vAlign w:val="bottom"/>
          </w:tcPr>
          <w:p>
            <w:pPr>
              <w:ind w:left="260"/>
              <w:spacing w:after="0" w:line="176" w:lineRule="exact"/>
              <w:rPr>
                <w:sz w:val="20"/>
                <w:szCs w:val="20"/>
                <w:color w:val="auto"/>
              </w:rPr>
            </w:pPr>
            <w:r>
              <w:rPr>
                <w:rFonts w:ascii="Arial" w:cs="Arial" w:eastAsia="Arial" w:hAnsi="Arial"/>
                <w:sz w:val="12"/>
                <w:szCs w:val="12"/>
                <w:color w:val="auto"/>
              </w:rPr>
              <w:t>Cash Severance Payment</w:t>
            </w:r>
            <w:r>
              <w:rPr>
                <w:rFonts w:ascii="Arial" w:cs="Arial" w:eastAsia="Arial" w:hAnsi="Arial"/>
                <w:sz w:val="20"/>
                <w:szCs w:val="20"/>
                <w:color w:val="auto"/>
                <w:vertAlign w:val="superscript"/>
              </w:rPr>
              <w:t>(2)</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7,590,000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620" w:type="dxa"/>
            <w:vAlign w:val="bottom"/>
          </w:tcPr>
          <w:p>
            <w:pPr>
              <w:ind w:left="260"/>
              <w:spacing w:after="0" w:line="181" w:lineRule="exact"/>
              <w:rPr>
                <w:sz w:val="20"/>
                <w:szCs w:val="20"/>
                <w:color w:val="auto"/>
              </w:rPr>
            </w:pPr>
            <w:r>
              <w:rPr>
                <w:rFonts w:ascii="Arial" w:cs="Arial" w:eastAsia="Arial" w:hAnsi="Arial"/>
                <w:sz w:val="12"/>
                <w:szCs w:val="12"/>
                <w:color w:val="auto"/>
              </w:rPr>
              <w:t>Unvested &amp; Accelerated Stock Options</w:t>
            </w:r>
            <w:r>
              <w:rPr>
                <w:rFonts w:ascii="Arial" w:cs="Arial" w:eastAsia="Arial" w:hAnsi="Arial"/>
                <w:sz w:val="20"/>
                <w:szCs w:val="20"/>
                <w:color w:val="auto"/>
                <w:vertAlign w:val="superscript"/>
              </w:rPr>
              <w:t>(3)</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3,220,727</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3,220,727</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3,220,727</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620" w:type="dxa"/>
            <w:vAlign w:val="bottom"/>
          </w:tcPr>
          <w:p>
            <w:pPr>
              <w:ind w:left="260"/>
              <w:spacing w:after="0"/>
              <w:rPr>
                <w:sz w:val="20"/>
                <w:szCs w:val="20"/>
                <w:color w:val="auto"/>
              </w:rPr>
            </w:pPr>
            <w:r>
              <w:rPr>
                <w:rFonts w:ascii="Arial" w:cs="Arial" w:eastAsia="Arial" w:hAnsi="Arial"/>
                <w:sz w:val="14"/>
                <w:szCs w:val="14"/>
                <w:color w:val="auto"/>
              </w:rPr>
              <w:t>Performance Share Award Payouts</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3,873,498</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(4)</w:t>
            </w:r>
          </w:p>
        </w:tc>
        <w:tc>
          <w:tcPr>
            <w:tcW w:w="1020" w:type="dxa"/>
            <w:vAlign w:val="bottom"/>
          </w:tcPr>
          <w:p>
            <w:pPr>
              <w:jc w:val="right"/>
              <w:spacing w:after="0"/>
              <w:rPr>
                <w:sz w:val="20"/>
                <w:szCs w:val="20"/>
                <w:color w:val="auto"/>
              </w:rPr>
            </w:pPr>
            <w:r>
              <w:rPr>
                <w:rFonts w:ascii="Arial" w:cs="Arial" w:eastAsia="Arial" w:hAnsi="Arial"/>
                <w:sz w:val="14"/>
                <w:szCs w:val="14"/>
                <w:color w:val="auto"/>
              </w:rPr>
              <w:t>3,873,498</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(4)</w:t>
            </w: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2,857,048</w:t>
            </w:r>
          </w:p>
        </w:tc>
        <w:tc>
          <w:tcPr>
            <w:tcW w:w="180" w:type="dxa"/>
            <w:vAlign w:val="bottom"/>
          </w:tcPr>
          <w:p>
            <w:pPr>
              <w:jc w:val="right"/>
              <w:spacing w:after="0"/>
              <w:rPr>
                <w:sz w:val="20"/>
                <w:szCs w:val="20"/>
                <w:color w:val="auto"/>
              </w:rPr>
            </w:pPr>
            <w:r>
              <w:rPr>
                <w:rFonts w:ascii="Arial" w:cs="Arial" w:eastAsia="Arial" w:hAnsi="Arial"/>
                <w:sz w:val="12"/>
                <w:szCs w:val="12"/>
                <w:color w:val="auto"/>
                <w:w w:val="81"/>
              </w:rPr>
              <w:t>(5)</w:t>
            </w:r>
          </w:p>
        </w:tc>
        <w:tc>
          <w:tcPr>
            <w:tcW w:w="1340" w:type="dxa"/>
            <w:vAlign w:val="bottom"/>
          </w:tcPr>
          <w:p>
            <w:pPr>
              <w:jc w:val="right"/>
              <w:spacing w:after="0"/>
              <w:rPr>
                <w:sz w:val="20"/>
                <w:szCs w:val="20"/>
                <w:color w:val="auto"/>
              </w:rPr>
            </w:pPr>
            <w:r>
              <w:rPr>
                <w:rFonts w:ascii="Arial" w:cs="Arial" w:eastAsia="Arial" w:hAnsi="Arial"/>
                <w:sz w:val="14"/>
                <w:szCs w:val="14"/>
                <w:color w:val="auto"/>
              </w:rPr>
              <w:t>2,857,048</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(5)</w:t>
            </w:r>
          </w:p>
        </w:tc>
        <w:tc>
          <w:tcPr>
            <w:tcW w:w="0" w:type="dxa"/>
            <w:vAlign w:val="bottom"/>
          </w:tcPr>
          <w:p>
            <w:pPr>
              <w:spacing w:after="0"/>
              <w:rPr>
                <w:sz w:val="1"/>
                <w:szCs w:val="1"/>
                <w:color w:val="auto"/>
              </w:rPr>
            </w:pPr>
          </w:p>
        </w:tc>
      </w:tr>
      <w:tr>
        <w:trPr>
          <w:trHeight w:val="176"/>
        </w:trPr>
        <w:tc>
          <w:tcPr>
            <w:tcW w:w="3620" w:type="dxa"/>
            <w:vAlign w:val="bottom"/>
          </w:tcPr>
          <w:p>
            <w:pPr>
              <w:ind w:left="260"/>
              <w:spacing w:after="0" w:line="176" w:lineRule="exact"/>
              <w:rPr>
                <w:sz w:val="20"/>
                <w:szCs w:val="20"/>
                <w:color w:val="auto"/>
              </w:rPr>
            </w:pPr>
            <w:r>
              <w:rPr>
                <w:rFonts w:ascii="Arial" w:cs="Arial" w:eastAsia="Arial" w:hAnsi="Arial"/>
                <w:sz w:val="12"/>
                <w:szCs w:val="12"/>
                <w:color w:val="auto"/>
              </w:rPr>
              <w:t>Welfare Plan Benefits</w:t>
            </w:r>
            <w:r>
              <w:rPr>
                <w:rFonts w:ascii="Arial" w:cs="Arial" w:eastAsia="Arial" w:hAnsi="Arial"/>
                <w:sz w:val="20"/>
                <w:szCs w:val="20"/>
                <w:color w:val="auto"/>
                <w:vertAlign w:val="superscript"/>
              </w:rPr>
              <w:t>(6)</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67,338</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tcPr>
          <w:p>
            <w:pPr>
              <w:ind w:left="260"/>
              <w:spacing w:after="0" w:line="176" w:lineRule="exact"/>
              <w:rPr>
                <w:sz w:val="20"/>
                <w:szCs w:val="20"/>
                <w:color w:val="auto"/>
              </w:rPr>
            </w:pPr>
            <w:r>
              <w:rPr>
                <w:rFonts w:ascii="Arial" w:cs="Arial" w:eastAsia="Arial" w:hAnsi="Arial"/>
                <w:sz w:val="12"/>
                <w:szCs w:val="12"/>
                <w:color w:val="auto"/>
              </w:rPr>
              <w:t>Outplacement Services</w:t>
            </w:r>
            <w:r>
              <w:rPr>
                <w:rFonts w:ascii="Arial" w:cs="Arial" w:eastAsia="Arial" w:hAnsi="Arial"/>
                <w:sz w:val="20"/>
                <w:szCs w:val="20"/>
                <w:color w:val="auto"/>
                <w:vertAlign w:val="superscript"/>
              </w:rPr>
              <w:t>(7)</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30,000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620" w:type="dxa"/>
            <w:vAlign w:val="bottom"/>
          </w:tcPr>
          <w:p>
            <w:pPr>
              <w:ind w:left="260"/>
              <w:spacing w:after="0" w:line="177" w:lineRule="exact"/>
              <w:rPr>
                <w:sz w:val="20"/>
                <w:szCs w:val="20"/>
                <w:color w:val="auto"/>
              </w:rPr>
            </w:pPr>
            <w:r>
              <w:rPr>
                <w:rFonts w:ascii="Arial" w:cs="Arial" w:eastAsia="Arial" w:hAnsi="Arial"/>
                <w:sz w:val="12"/>
                <w:szCs w:val="12"/>
                <w:color w:val="auto"/>
              </w:rPr>
              <w:t>Perquisites</w:t>
            </w:r>
            <w:r>
              <w:rPr>
                <w:rFonts w:ascii="Arial" w:cs="Arial" w:eastAsia="Arial" w:hAnsi="Arial"/>
                <w:sz w:val="20"/>
                <w:szCs w:val="20"/>
                <w:color w:val="auto"/>
                <w:vertAlign w:val="superscript"/>
              </w:rPr>
              <w:t>(8)</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35,932</w:t>
            </w:r>
          </w:p>
        </w:tc>
        <w:tc>
          <w:tcPr>
            <w:tcW w:w="18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2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3,909,430</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7,094,225</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0</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0</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6,077,775</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13,765,113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20" w:type="dxa"/>
            <w:vAlign w:val="bottom"/>
            <w:shd w:val="clear" w:color="auto" w:fill="D9D9D9"/>
          </w:tcPr>
          <w:p>
            <w:pPr>
              <w:spacing w:after="0"/>
              <w:rPr>
                <w:sz w:val="20"/>
                <w:szCs w:val="20"/>
                <w:color w:val="auto"/>
              </w:rPr>
            </w:pPr>
            <w:r>
              <w:rPr>
                <w:rFonts w:ascii="Arial" w:cs="Arial" w:eastAsia="Arial" w:hAnsi="Arial"/>
                <w:sz w:val="14"/>
                <w:szCs w:val="14"/>
                <w:color w:val="auto"/>
              </w:rPr>
              <w:t>Renee J. Peterson</w:t>
            </w:r>
          </w:p>
        </w:tc>
        <w:tc>
          <w:tcPr>
            <w:tcW w:w="120" w:type="dxa"/>
            <w:vAlign w:val="bottom"/>
            <w:shd w:val="clear" w:color="auto" w:fill="D9D9D9"/>
          </w:tcPr>
          <w:p>
            <w:pPr>
              <w:spacing w:after="0"/>
              <w:rPr>
                <w:sz w:val="15"/>
                <w:szCs w:val="15"/>
                <w:color w:val="auto"/>
              </w:rPr>
            </w:pPr>
          </w:p>
        </w:tc>
        <w:tc>
          <w:tcPr>
            <w:tcW w:w="1000" w:type="dxa"/>
            <w:vAlign w:val="bottom"/>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c>
          <w:tcPr>
            <w:tcW w:w="1020" w:type="dxa"/>
            <w:vAlign w:val="bottom"/>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c>
          <w:tcPr>
            <w:tcW w:w="1080" w:type="dxa"/>
            <w:vAlign w:val="bottom"/>
            <w:shd w:val="clear" w:color="auto" w:fill="D9D9D9"/>
          </w:tcPr>
          <w:p>
            <w:pPr>
              <w:spacing w:after="0"/>
              <w:rPr>
                <w:sz w:val="15"/>
                <w:szCs w:val="15"/>
                <w:color w:val="auto"/>
              </w:rPr>
            </w:pPr>
          </w:p>
        </w:tc>
        <w:tc>
          <w:tcPr>
            <w:tcW w:w="120" w:type="dxa"/>
            <w:vAlign w:val="bottom"/>
            <w:shd w:val="clear" w:color="auto" w:fill="D9D9D9"/>
          </w:tcPr>
          <w:p>
            <w:pPr>
              <w:spacing w:after="0"/>
              <w:rPr>
                <w:sz w:val="15"/>
                <w:szCs w:val="15"/>
                <w:color w:val="auto"/>
              </w:rPr>
            </w:pPr>
          </w:p>
        </w:tc>
        <w:tc>
          <w:tcPr>
            <w:tcW w:w="1080" w:type="dxa"/>
            <w:vAlign w:val="bottom"/>
            <w:shd w:val="clear" w:color="auto" w:fill="D9D9D9"/>
          </w:tcPr>
          <w:p>
            <w:pPr>
              <w:spacing w:after="0"/>
              <w:rPr>
                <w:sz w:val="15"/>
                <w:szCs w:val="15"/>
                <w:color w:val="auto"/>
              </w:rPr>
            </w:pPr>
          </w:p>
        </w:tc>
        <w:tc>
          <w:tcPr>
            <w:tcW w:w="120" w:type="dxa"/>
            <w:vAlign w:val="bottom"/>
            <w:shd w:val="clear" w:color="auto" w:fill="D9D9D9"/>
          </w:tcPr>
          <w:p>
            <w:pPr>
              <w:spacing w:after="0"/>
              <w:rPr>
                <w:sz w:val="15"/>
                <w:szCs w:val="15"/>
                <w:color w:val="auto"/>
              </w:rPr>
            </w:pPr>
          </w:p>
        </w:tc>
        <w:tc>
          <w:tcPr>
            <w:tcW w:w="1020" w:type="dxa"/>
            <w:vAlign w:val="bottom"/>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c>
          <w:tcPr>
            <w:tcW w:w="1340" w:type="dxa"/>
            <w:vAlign w:val="bottom"/>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shd w:val="clear" w:color="auto" w:fill="D9D9D9"/>
          </w:tcPr>
          <w:p>
            <w:pPr>
              <w:ind w:left="260"/>
              <w:spacing w:after="0" w:line="176" w:lineRule="exact"/>
              <w:rPr>
                <w:sz w:val="20"/>
                <w:szCs w:val="20"/>
                <w:color w:val="auto"/>
              </w:rPr>
            </w:pPr>
            <w:r>
              <w:rPr>
                <w:rFonts w:ascii="Arial" w:cs="Arial" w:eastAsia="Arial" w:hAnsi="Arial"/>
                <w:sz w:val="12"/>
                <w:szCs w:val="12"/>
                <w:color w:val="auto"/>
              </w:rPr>
              <w:t>Cash Severance Payment</w:t>
            </w:r>
            <w:r>
              <w:rPr>
                <w:rFonts w:ascii="Arial" w:cs="Arial" w:eastAsia="Arial" w:hAnsi="Arial"/>
                <w:sz w:val="20"/>
                <w:szCs w:val="20"/>
                <w:color w:val="auto"/>
                <w:vertAlign w:val="superscript"/>
              </w:rPr>
              <w:t>(2)</w:t>
            </w:r>
          </w:p>
        </w:tc>
        <w:tc>
          <w:tcPr>
            <w:tcW w:w="120" w:type="dxa"/>
            <w:vAlign w:val="bottom"/>
            <w:shd w:val="clear" w:color="auto" w:fill="D9D9D9"/>
          </w:tcPr>
          <w:p>
            <w:pPr>
              <w:spacing w:after="0"/>
              <w:rPr>
                <w:sz w:val="15"/>
                <w:szCs w:val="15"/>
                <w:color w:val="auto"/>
              </w:rPr>
            </w:pPr>
          </w:p>
        </w:tc>
        <w:tc>
          <w:tcPr>
            <w:tcW w:w="10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2,178,000</w:t>
            </w:r>
          </w:p>
        </w:tc>
        <w:tc>
          <w:tcPr>
            <w:tcW w:w="18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shd w:val="clear" w:color="auto" w:fill="D9D9D9"/>
          </w:tcPr>
          <w:p>
            <w:pPr>
              <w:ind w:left="260"/>
              <w:spacing w:after="0" w:line="176" w:lineRule="exact"/>
              <w:rPr>
                <w:sz w:val="20"/>
                <w:szCs w:val="20"/>
                <w:color w:val="auto"/>
              </w:rPr>
            </w:pPr>
            <w:r>
              <w:rPr>
                <w:rFonts w:ascii="Arial" w:cs="Arial" w:eastAsia="Arial" w:hAnsi="Arial"/>
                <w:sz w:val="12"/>
                <w:szCs w:val="12"/>
                <w:color w:val="auto"/>
              </w:rPr>
              <w:t>Unvested &amp; Accelerated Stock Options</w:t>
            </w:r>
            <w:r>
              <w:rPr>
                <w:rFonts w:ascii="Arial" w:cs="Arial" w:eastAsia="Arial" w:hAnsi="Arial"/>
                <w:sz w:val="20"/>
                <w:szCs w:val="20"/>
                <w:color w:val="auto"/>
                <w:vertAlign w:val="superscript"/>
              </w:rPr>
              <w:t>(3)</w:t>
            </w:r>
          </w:p>
        </w:tc>
        <w:tc>
          <w:tcPr>
            <w:tcW w:w="120" w:type="dxa"/>
            <w:vAlign w:val="bottom"/>
            <w:shd w:val="clear" w:color="auto" w:fill="D9D9D9"/>
          </w:tcPr>
          <w:p>
            <w:pPr>
              <w:spacing w:after="0"/>
              <w:rPr>
                <w:sz w:val="15"/>
                <w:szCs w:val="15"/>
                <w:color w:val="auto"/>
              </w:rPr>
            </w:pPr>
          </w:p>
        </w:tc>
        <w:tc>
          <w:tcPr>
            <w:tcW w:w="10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773,002</w:t>
            </w:r>
          </w:p>
        </w:tc>
        <w:tc>
          <w:tcPr>
            <w:tcW w:w="180" w:type="dxa"/>
            <w:vAlign w:val="bottom"/>
            <w:shd w:val="clear" w:color="auto" w:fill="D9D9D9"/>
          </w:tcPr>
          <w:p>
            <w:pPr>
              <w:spacing w:after="0"/>
              <w:rPr>
                <w:sz w:val="15"/>
                <w:szCs w:val="15"/>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773,002</w:t>
            </w:r>
          </w:p>
        </w:tc>
        <w:tc>
          <w:tcPr>
            <w:tcW w:w="180" w:type="dxa"/>
            <w:vAlign w:val="bottom"/>
            <w:shd w:val="clear" w:color="auto" w:fill="D9D9D9"/>
          </w:tcPr>
          <w:p>
            <w:pPr>
              <w:spacing w:after="0"/>
              <w:rPr>
                <w:sz w:val="15"/>
                <w:szCs w:val="15"/>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773,002</w:t>
            </w:r>
          </w:p>
        </w:tc>
        <w:tc>
          <w:tcPr>
            <w:tcW w:w="18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20" w:type="dxa"/>
            <w:vAlign w:val="bottom"/>
            <w:shd w:val="clear" w:color="auto" w:fill="D9D9D9"/>
          </w:tcPr>
          <w:p>
            <w:pPr>
              <w:ind w:left="260"/>
              <w:spacing w:after="0"/>
              <w:rPr>
                <w:sz w:val="20"/>
                <w:szCs w:val="20"/>
                <w:color w:val="auto"/>
              </w:rPr>
            </w:pPr>
            <w:r>
              <w:rPr>
                <w:rFonts w:ascii="Arial" w:cs="Arial" w:eastAsia="Arial" w:hAnsi="Arial"/>
                <w:sz w:val="14"/>
                <w:szCs w:val="14"/>
                <w:color w:val="auto"/>
              </w:rPr>
              <w:t>Performance Share Award Payouts</w:t>
            </w:r>
          </w:p>
        </w:tc>
        <w:tc>
          <w:tcPr>
            <w:tcW w:w="120" w:type="dxa"/>
            <w:vAlign w:val="bottom"/>
            <w:shd w:val="clear" w:color="auto" w:fill="D9D9D9"/>
          </w:tcPr>
          <w:p>
            <w:pPr>
              <w:spacing w:after="0"/>
              <w:rPr>
                <w:sz w:val="15"/>
                <w:szCs w:val="15"/>
                <w:color w:val="auto"/>
              </w:rPr>
            </w:pPr>
          </w:p>
        </w:tc>
        <w:tc>
          <w:tcPr>
            <w:tcW w:w="10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981,132</w:t>
            </w:r>
          </w:p>
        </w:tc>
        <w:tc>
          <w:tcPr>
            <w:tcW w:w="180" w:type="dxa"/>
            <w:vAlign w:val="bottom"/>
            <w:shd w:val="clear" w:color="auto" w:fill="D9D9D9"/>
          </w:tcPr>
          <w:p>
            <w:pPr>
              <w:jc w:val="right"/>
              <w:spacing w:after="0"/>
              <w:rPr>
                <w:sz w:val="20"/>
                <w:szCs w:val="20"/>
                <w:color w:val="auto"/>
              </w:rPr>
            </w:pPr>
            <w:r>
              <w:rPr>
                <w:rFonts w:ascii="Arial" w:cs="Arial" w:eastAsia="Arial" w:hAnsi="Arial"/>
                <w:sz w:val="12"/>
                <w:szCs w:val="12"/>
                <w:color w:val="auto"/>
                <w:w w:val="95"/>
              </w:rPr>
              <w:t>(4)</w:t>
            </w: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981,132</w:t>
            </w:r>
          </w:p>
        </w:tc>
        <w:tc>
          <w:tcPr>
            <w:tcW w:w="180" w:type="dxa"/>
            <w:vAlign w:val="bottom"/>
            <w:shd w:val="clear" w:color="auto" w:fill="D9D9D9"/>
          </w:tcPr>
          <w:p>
            <w:pPr>
              <w:jc w:val="right"/>
              <w:spacing w:after="0"/>
              <w:rPr>
                <w:sz w:val="20"/>
                <w:szCs w:val="20"/>
                <w:color w:val="auto"/>
              </w:rPr>
            </w:pPr>
            <w:r>
              <w:rPr>
                <w:rFonts w:ascii="Arial" w:cs="Arial" w:eastAsia="Arial" w:hAnsi="Arial"/>
                <w:sz w:val="12"/>
                <w:szCs w:val="12"/>
                <w:color w:val="auto"/>
                <w:w w:val="95"/>
              </w:rPr>
              <w:t>(4)</w:t>
            </w:r>
          </w:p>
        </w:tc>
        <w:tc>
          <w:tcPr>
            <w:tcW w:w="10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727,362</w:t>
            </w:r>
          </w:p>
        </w:tc>
        <w:tc>
          <w:tcPr>
            <w:tcW w:w="180" w:type="dxa"/>
            <w:vAlign w:val="bottom"/>
            <w:shd w:val="clear" w:color="auto" w:fill="D9D9D9"/>
          </w:tcPr>
          <w:p>
            <w:pPr>
              <w:jc w:val="right"/>
              <w:spacing w:after="0"/>
              <w:rPr>
                <w:sz w:val="20"/>
                <w:szCs w:val="20"/>
                <w:color w:val="auto"/>
              </w:rPr>
            </w:pPr>
            <w:r>
              <w:rPr>
                <w:rFonts w:ascii="Arial" w:cs="Arial" w:eastAsia="Arial" w:hAnsi="Arial"/>
                <w:sz w:val="12"/>
                <w:szCs w:val="12"/>
                <w:color w:val="auto"/>
                <w:w w:val="81"/>
              </w:rPr>
              <w:t>(5)</w:t>
            </w:r>
          </w:p>
        </w:tc>
        <w:tc>
          <w:tcPr>
            <w:tcW w:w="13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727,362</w:t>
            </w:r>
          </w:p>
        </w:tc>
        <w:tc>
          <w:tcPr>
            <w:tcW w:w="180" w:type="dxa"/>
            <w:vAlign w:val="bottom"/>
            <w:shd w:val="clear" w:color="auto" w:fill="D9D9D9"/>
          </w:tcPr>
          <w:p>
            <w:pPr>
              <w:jc w:val="right"/>
              <w:spacing w:after="0"/>
              <w:rPr>
                <w:sz w:val="20"/>
                <w:szCs w:val="20"/>
                <w:color w:val="auto"/>
              </w:rPr>
            </w:pPr>
            <w:r>
              <w:rPr>
                <w:rFonts w:ascii="Arial" w:cs="Arial" w:eastAsia="Arial" w:hAnsi="Arial"/>
                <w:sz w:val="12"/>
                <w:szCs w:val="12"/>
                <w:color w:val="auto"/>
                <w:w w:val="95"/>
              </w:rPr>
              <w:t>(5)</w:t>
            </w:r>
          </w:p>
        </w:tc>
        <w:tc>
          <w:tcPr>
            <w:tcW w:w="0" w:type="dxa"/>
            <w:vAlign w:val="bottom"/>
          </w:tcPr>
          <w:p>
            <w:pPr>
              <w:spacing w:after="0"/>
              <w:rPr>
                <w:sz w:val="1"/>
                <w:szCs w:val="1"/>
                <w:color w:val="auto"/>
              </w:rPr>
            </w:pPr>
          </w:p>
        </w:tc>
      </w:tr>
      <w:tr>
        <w:trPr>
          <w:trHeight w:val="176"/>
        </w:trPr>
        <w:tc>
          <w:tcPr>
            <w:tcW w:w="3620" w:type="dxa"/>
            <w:vAlign w:val="bottom"/>
            <w:shd w:val="clear" w:color="auto" w:fill="D9D9D9"/>
          </w:tcPr>
          <w:p>
            <w:pPr>
              <w:ind w:left="260"/>
              <w:spacing w:after="0" w:line="176" w:lineRule="exact"/>
              <w:rPr>
                <w:sz w:val="20"/>
                <w:szCs w:val="20"/>
                <w:color w:val="auto"/>
              </w:rPr>
            </w:pPr>
            <w:r>
              <w:rPr>
                <w:rFonts w:ascii="Arial" w:cs="Arial" w:eastAsia="Arial" w:hAnsi="Arial"/>
                <w:sz w:val="12"/>
                <w:szCs w:val="12"/>
                <w:color w:val="auto"/>
              </w:rPr>
              <w:t>Welfare Plan Benefits</w:t>
            </w:r>
            <w:r>
              <w:rPr>
                <w:rFonts w:ascii="Arial" w:cs="Arial" w:eastAsia="Arial" w:hAnsi="Arial"/>
                <w:sz w:val="20"/>
                <w:szCs w:val="20"/>
                <w:color w:val="auto"/>
                <w:vertAlign w:val="superscript"/>
              </w:rPr>
              <w:t>(6)</w:t>
            </w:r>
          </w:p>
        </w:tc>
        <w:tc>
          <w:tcPr>
            <w:tcW w:w="120" w:type="dxa"/>
            <w:vAlign w:val="bottom"/>
            <w:shd w:val="clear" w:color="auto" w:fill="D9D9D9"/>
          </w:tcPr>
          <w:p>
            <w:pPr>
              <w:spacing w:after="0"/>
              <w:rPr>
                <w:sz w:val="15"/>
                <w:szCs w:val="15"/>
                <w:color w:val="auto"/>
              </w:rPr>
            </w:pPr>
          </w:p>
        </w:tc>
        <w:tc>
          <w:tcPr>
            <w:tcW w:w="10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46,638</w:t>
            </w:r>
          </w:p>
        </w:tc>
        <w:tc>
          <w:tcPr>
            <w:tcW w:w="18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20" w:type="dxa"/>
            <w:vAlign w:val="bottom"/>
            <w:shd w:val="clear" w:color="auto" w:fill="D9D9D9"/>
          </w:tcPr>
          <w:p>
            <w:pPr>
              <w:ind w:left="260"/>
              <w:spacing w:after="0" w:line="176" w:lineRule="exact"/>
              <w:rPr>
                <w:sz w:val="20"/>
                <w:szCs w:val="20"/>
                <w:color w:val="auto"/>
              </w:rPr>
            </w:pPr>
            <w:r>
              <w:rPr>
                <w:rFonts w:ascii="Arial" w:cs="Arial" w:eastAsia="Arial" w:hAnsi="Arial"/>
                <w:sz w:val="12"/>
                <w:szCs w:val="12"/>
                <w:color w:val="auto"/>
              </w:rPr>
              <w:t>Outplacement Services</w:t>
            </w:r>
            <w:r>
              <w:rPr>
                <w:rFonts w:ascii="Arial" w:cs="Arial" w:eastAsia="Arial" w:hAnsi="Arial"/>
                <w:sz w:val="20"/>
                <w:szCs w:val="20"/>
                <w:color w:val="auto"/>
                <w:vertAlign w:val="superscript"/>
              </w:rPr>
              <w:t>(7)</w:t>
            </w:r>
          </w:p>
        </w:tc>
        <w:tc>
          <w:tcPr>
            <w:tcW w:w="120" w:type="dxa"/>
            <w:vAlign w:val="bottom"/>
            <w:shd w:val="clear" w:color="auto" w:fill="D9D9D9"/>
          </w:tcPr>
          <w:p>
            <w:pPr>
              <w:spacing w:after="0"/>
              <w:rPr>
                <w:sz w:val="15"/>
                <w:szCs w:val="15"/>
                <w:color w:val="auto"/>
              </w:rPr>
            </w:pPr>
          </w:p>
        </w:tc>
        <w:tc>
          <w:tcPr>
            <w:tcW w:w="10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30,000</w:t>
            </w:r>
          </w:p>
        </w:tc>
        <w:tc>
          <w:tcPr>
            <w:tcW w:w="18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tcBorders>
              <w:bottom w:val="single" w:sz="8" w:color="D9D9D9"/>
            </w:tcBorders>
            <w:shd w:val="clear" w:color="auto" w:fill="D9D9D9"/>
          </w:tcPr>
          <w:p>
            <w:pPr>
              <w:ind w:left="260"/>
              <w:spacing w:after="0" w:line="176" w:lineRule="exact"/>
              <w:rPr>
                <w:sz w:val="20"/>
                <w:szCs w:val="20"/>
                <w:color w:val="auto"/>
              </w:rPr>
            </w:pPr>
            <w:r>
              <w:rPr>
                <w:rFonts w:ascii="Arial" w:cs="Arial" w:eastAsia="Arial" w:hAnsi="Arial"/>
                <w:sz w:val="12"/>
                <w:szCs w:val="12"/>
                <w:color w:val="auto"/>
              </w:rPr>
              <w:t>Perquisites</w:t>
            </w:r>
            <w:r>
              <w:rPr>
                <w:rFonts w:ascii="Arial" w:cs="Arial" w:eastAsia="Arial" w:hAnsi="Arial"/>
                <w:sz w:val="20"/>
                <w:szCs w:val="20"/>
                <w:color w:val="auto"/>
                <w:vertAlign w:val="superscript"/>
              </w:rPr>
              <w:t>(8)</w:t>
            </w:r>
          </w:p>
        </w:tc>
        <w:tc>
          <w:tcPr>
            <w:tcW w:w="120" w:type="dxa"/>
            <w:vAlign w:val="bottom"/>
            <w:tcBorders>
              <w:bottom w:val="single" w:sz="8" w:color="D9D9D9"/>
            </w:tcBorders>
            <w:shd w:val="clear" w:color="auto" w:fill="D9D9D9"/>
          </w:tcPr>
          <w:p>
            <w:pPr>
              <w:spacing w:after="0"/>
              <w:rPr>
                <w:sz w:val="15"/>
                <w:szCs w:val="15"/>
                <w:color w:val="auto"/>
              </w:rPr>
            </w:pPr>
          </w:p>
        </w:tc>
        <w:tc>
          <w:tcPr>
            <w:tcW w:w="10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33,362</w:t>
            </w:r>
          </w:p>
        </w:tc>
        <w:tc>
          <w:tcPr>
            <w:tcW w:w="180" w:type="dxa"/>
            <w:vAlign w:val="bottom"/>
            <w:tcBorders>
              <w:bottom w:val="single" w:sz="8" w:color="D9D9D9"/>
            </w:tcBorders>
            <w:shd w:val="clear" w:color="auto" w:fill="D9D9D9"/>
          </w:tcPr>
          <w:p>
            <w:pPr>
              <w:spacing w:after="0"/>
              <w:rPr>
                <w:sz w:val="15"/>
                <w:szCs w:val="15"/>
                <w:color w:val="auto"/>
              </w:rPr>
            </w:pPr>
          </w:p>
        </w:tc>
        <w:tc>
          <w:tcPr>
            <w:tcW w:w="10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tcBorders>
              <w:bottom w:val="single" w:sz="8" w:color="D9D9D9"/>
            </w:tcBorders>
            <w:shd w:val="clear" w:color="auto" w:fill="D9D9D9"/>
          </w:tcPr>
          <w:p>
            <w:pPr>
              <w:spacing w:after="0"/>
              <w:rPr>
                <w:sz w:val="15"/>
                <w:szCs w:val="15"/>
                <w:color w:val="auto"/>
              </w:rPr>
            </w:pPr>
          </w:p>
        </w:tc>
        <w:tc>
          <w:tcPr>
            <w:tcW w:w="10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D9D9D9"/>
            </w:tcBorders>
            <w:shd w:val="clear" w:color="auto" w:fill="D9D9D9"/>
          </w:tcPr>
          <w:p>
            <w:pPr>
              <w:spacing w:after="0"/>
              <w:rPr>
                <w:sz w:val="15"/>
                <w:szCs w:val="15"/>
                <w:color w:val="auto"/>
              </w:rPr>
            </w:pPr>
          </w:p>
        </w:tc>
        <w:tc>
          <w:tcPr>
            <w:tcW w:w="10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D9D9D9"/>
            </w:tcBorders>
            <w:shd w:val="clear" w:color="auto" w:fill="D9D9D9"/>
          </w:tcPr>
          <w:p>
            <w:pPr>
              <w:spacing w:after="0"/>
              <w:rPr>
                <w:sz w:val="15"/>
                <w:szCs w:val="15"/>
                <w:color w:val="auto"/>
              </w:rPr>
            </w:pPr>
          </w:p>
        </w:tc>
        <w:tc>
          <w:tcPr>
            <w:tcW w:w="10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tcBorders>
              <w:bottom w:val="single" w:sz="8" w:color="D9D9D9"/>
            </w:tcBorders>
            <w:shd w:val="clear" w:color="auto" w:fill="D9D9D9"/>
          </w:tcPr>
          <w:p>
            <w:pPr>
              <w:spacing w:after="0"/>
              <w:rPr>
                <w:sz w:val="15"/>
                <w:szCs w:val="15"/>
                <w:color w:val="auto"/>
              </w:rPr>
            </w:pPr>
          </w:p>
        </w:tc>
        <w:tc>
          <w:tcPr>
            <w:tcW w:w="13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tcBorders>
              <w:bottom w:val="single" w:sz="8" w:color="D9D9D9"/>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20" w:type="dxa"/>
            <w:vAlign w:val="bottom"/>
            <w:shd w:val="clear" w:color="auto" w:fill="D9D9D9"/>
          </w:tcPr>
          <w:p>
            <w:pPr>
              <w:spacing w:after="0"/>
              <w:rPr>
                <w:sz w:val="20"/>
                <w:szCs w:val="20"/>
                <w:color w:val="auto"/>
              </w:rPr>
            </w:pPr>
            <w:r>
              <w:rPr>
                <w:rFonts w:ascii="Arial" w:cs="Arial" w:eastAsia="Arial" w:hAnsi="Arial"/>
                <w:sz w:val="14"/>
                <w:szCs w:val="14"/>
                <w:b w:val="1"/>
                <w:bCs w:val="1"/>
                <w:color w:val="auto"/>
              </w:rPr>
              <w:t>Total</w:t>
            </w:r>
          </w:p>
        </w:tc>
        <w:tc>
          <w:tcPr>
            <w:tcW w:w="120" w:type="dxa"/>
            <w:vAlign w:val="bottom"/>
            <w:shd w:val="clear" w:color="auto" w:fill="D9D9D9"/>
          </w:tcPr>
          <w:p>
            <w:pPr>
              <w:spacing w:after="0"/>
              <w:rPr>
                <w:sz w:val="14"/>
                <w:szCs w:val="14"/>
                <w:color w:val="auto"/>
              </w:rPr>
            </w:pPr>
          </w:p>
        </w:tc>
        <w:tc>
          <w:tcPr>
            <w:tcW w:w="10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1,014,494</w:t>
            </w:r>
          </w:p>
        </w:tc>
        <w:tc>
          <w:tcPr>
            <w:tcW w:w="180" w:type="dxa"/>
            <w:vAlign w:val="bottom"/>
            <w:shd w:val="clear" w:color="auto" w:fill="D9D9D9"/>
          </w:tcPr>
          <w:p>
            <w:pPr>
              <w:spacing w:after="0"/>
              <w:rPr>
                <w:sz w:val="14"/>
                <w:szCs w:val="14"/>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1,754,134</w:t>
            </w:r>
          </w:p>
        </w:tc>
        <w:tc>
          <w:tcPr>
            <w:tcW w:w="180" w:type="dxa"/>
            <w:vAlign w:val="bottom"/>
            <w:shd w:val="clear" w:color="auto" w:fill="D9D9D9"/>
          </w:tcPr>
          <w:p>
            <w:pPr>
              <w:spacing w:after="0"/>
              <w:rPr>
                <w:sz w:val="14"/>
                <w:szCs w:val="14"/>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0</w:t>
            </w:r>
          </w:p>
        </w:tc>
        <w:tc>
          <w:tcPr>
            <w:tcW w:w="1200" w:type="dxa"/>
            <w:vAlign w:val="bottom"/>
            <w:gridSpan w:val="2"/>
            <w:shd w:val="clear" w:color="auto" w:fill="D9D9D9"/>
          </w:tcPr>
          <w:p>
            <w:pPr>
              <w:jc w:val="right"/>
              <w:spacing w:after="0"/>
              <w:rPr>
                <w:sz w:val="20"/>
                <w:szCs w:val="20"/>
                <w:color w:val="auto"/>
              </w:rPr>
            </w:pPr>
            <w:r>
              <w:rPr>
                <w:rFonts w:ascii="Arial" w:cs="Arial" w:eastAsia="Arial" w:hAnsi="Arial"/>
                <w:sz w:val="14"/>
                <w:szCs w:val="14"/>
                <w:b w:val="1"/>
                <w:bCs w:val="1"/>
                <w:color w:val="auto"/>
              </w:rPr>
              <w:t>0</w:t>
            </w:r>
          </w:p>
        </w:tc>
        <w:tc>
          <w:tcPr>
            <w:tcW w:w="120" w:type="dxa"/>
            <w:vAlign w:val="bottom"/>
            <w:shd w:val="clear" w:color="auto" w:fill="D9D9D9"/>
          </w:tcPr>
          <w:p>
            <w:pPr>
              <w:spacing w:after="0"/>
              <w:rPr>
                <w:sz w:val="14"/>
                <w:szCs w:val="14"/>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1,500,364</w:t>
            </w:r>
          </w:p>
        </w:tc>
        <w:tc>
          <w:tcPr>
            <w:tcW w:w="180" w:type="dxa"/>
            <w:vAlign w:val="bottom"/>
            <w:shd w:val="clear" w:color="auto" w:fill="D9D9D9"/>
          </w:tcPr>
          <w:p>
            <w:pPr>
              <w:spacing w:after="0"/>
              <w:rPr>
                <w:sz w:val="14"/>
                <w:szCs w:val="14"/>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3,755,002</w:t>
            </w:r>
          </w:p>
        </w:tc>
        <w:tc>
          <w:tcPr>
            <w:tcW w:w="18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620" w:type="dxa"/>
            <w:vAlign w:val="bottom"/>
          </w:tcPr>
          <w:p>
            <w:pPr>
              <w:spacing w:after="0"/>
              <w:rPr>
                <w:sz w:val="20"/>
                <w:szCs w:val="20"/>
                <w:color w:val="auto"/>
              </w:rPr>
            </w:pPr>
            <w:r>
              <w:rPr>
                <w:rFonts w:ascii="Arial" w:cs="Arial" w:eastAsia="Arial" w:hAnsi="Arial"/>
                <w:sz w:val="14"/>
                <w:szCs w:val="14"/>
                <w:color w:val="auto"/>
              </w:rPr>
              <w:t>Kevin C. Carpenter</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tcPr>
          <w:p>
            <w:pPr>
              <w:ind w:left="260"/>
              <w:spacing w:after="0" w:line="176" w:lineRule="exact"/>
              <w:rPr>
                <w:sz w:val="20"/>
                <w:szCs w:val="20"/>
                <w:color w:val="auto"/>
              </w:rPr>
            </w:pPr>
            <w:r>
              <w:rPr>
                <w:rFonts w:ascii="Arial" w:cs="Arial" w:eastAsia="Arial" w:hAnsi="Arial"/>
                <w:sz w:val="12"/>
                <w:szCs w:val="12"/>
                <w:color w:val="auto"/>
              </w:rPr>
              <w:t>Cash Severance Payment</w:t>
            </w:r>
            <w:r>
              <w:rPr>
                <w:rFonts w:ascii="Arial" w:cs="Arial" w:eastAsia="Arial" w:hAnsi="Arial"/>
                <w:sz w:val="20"/>
                <w:szCs w:val="20"/>
                <w:color w:val="auto"/>
                <w:vertAlign w:val="superscript"/>
              </w:rPr>
              <w:t>(2)</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1,472,000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20" w:type="dxa"/>
            <w:vAlign w:val="bottom"/>
          </w:tcPr>
          <w:p>
            <w:pPr>
              <w:ind w:left="260"/>
              <w:spacing w:after="0" w:line="176" w:lineRule="exact"/>
              <w:rPr>
                <w:sz w:val="20"/>
                <w:szCs w:val="20"/>
                <w:color w:val="auto"/>
              </w:rPr>
            </w:pPr>
            <w:r>
              <w:rPr>
                <w:rFonts w:ascii="Arial" w:cs="Arial" w:eastAsia="Arial" w:hAnsi="Arial"/>
                <w:sz w:val="12"/>
                <w:szCs w:val="12"/>
                <w:color w:val="auto"/>
              </w:rPr>
              <w:t>Unvested &amp; Accelerated Stock Options</w:t>
            </w:r>
            <w:r>
              <w:rPr>
                <w:rFonts w:ascii="Arial" w:cs="Arial" w:eastAsia="Arial" w:hAnsi="Arial"/>
                <w:sz w:val="20"/>
                <w:szCs w:val="20"/>
                <w:color w:val="auto"/>
                <w:vertAlign w:val="superscript"/>
              </w:rPr>
              <w:t>(3)</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62,727</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62,727</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62,727</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620" w:type="dxa"/>
            <w:vAlign w:val="bottom"/>
          </w:tcPr>
          <w:p>
            <w:pPr>
              <w:ind w:left="260"/>
              <w:spacing w:after="0" w:line="181" w:lineRule="exact"/>
              <w:rPr>
                <w:sz w:val="20"/>
                <w:szCs w:val="20"/>
                <w:color w:val="auto"/>
              </w:rPr>
            </w:pPr>
            <w:r>
              <w:rPr>
                <w:rFonts w:ascii="Arial" w:cs="Arial" w:eastAsia="Arial" w:hAnsi="Arial"/>
                <w:sz w:val="12"/>
                <w:szCs w:val="12"/>
                <w:color w:val="auto"/>
              </w:rPr>
              <w:t>Unvested &amp; Accelerated Restricted Stock Units</w:t>
            </w:r>
            <w:r>
              <w:rPr>
                <w:rFonts w:ascii="Arial" w:cs="Arial" w:eastAsia="Arial" w:hAnsi="Arial"/>
                <w:sz w:val="20"/>
                <w:szCs w:val="20"/>
                <w:color w:val="auto"/>
                <w:vertAlign w:val="superscript"/>
              </w:rPr>
              <w:t>(9)</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1,859,363</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1,859,469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620" w:type="dxa"/>
            <w:vAlign w:val="bottom"/>
          </w:tcPr>
          <w:p>
            <w:pPr>
              <w:ind w:left="260"/>
              <w:spacing w:after="0"/>
              <w:rPr>
                <w:sz w:val="20"/>
                <w:szCs w:val="20"/>
                <w:color w:val="auto"/>
              </w:rPr>
            </w:pPr>
            <w:r>
              <w:rPr>
                <w:rFonts w:ascii="Arial" w:cs="Arial" w:eastAsia="Arial" w:hAnsi="Arial"/>
                <w:sz w:val="14"/>
                <w:szCs w:val="14"/>
                <w:color w:val="auto"/>
              </w:rPr>
              <w:t>Performance Share Award Payouts</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81,814</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(4)</w:t>
            </w:r>
          </w:p>
        </w:tc>
        <w:tc>
          <w:tcPr>
            <w:tcW w:w="1020" w:type="dxa"/>
            <w:vAlign w:val="bottom"/>
          </w:tcPr>
          <w:p>
            <w:pPr>
              <w:jc w:val="right"/>
              <w:spacing w:after="0"/>
              <w:rPr>
                <w:sz w:val="20"/>
                <w:szCs w:val="20"/>
                <w:color w:val="auto"/>
              </w:rPr>
            </w:pPr>
            <w:r>
              <w:rPr>
                <w:rFonts w:ascii="Arial" w:cs="Arial" w:eastAsia="Arial" w:hAnsi="Arial"/>
                <w:sz w:val="14"/>
                <w:szCs w:val="14"/>
                <w:color w:val="auto"/>
              </w:rPr>
              <w:t>81,814</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(4)</w:t>
            </w: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84,344</w:t>
            </w:r>
          </w:p>
        </w:tc>
        <w:tc>
          <w:tcPr>
            <w:tcW w:w="180" w:type="dxa"/>
            <w:vAlign w:val="bottom"/>
          </w:tcPr>
          <w:p>
            <w:pPr>
              <w:jc w:val="right"/>
              <w:spacing w:after="0"/>
              <w:rPr>
                <w:sz w:val="20"/>
                <w:szCs w:val="20"/>
                <w:color w:val="auto"/>
              </w:rPr>
            </w:pPr>
            <w:r>
              <w:rPr>
                <w:rFonts w:ascii="Arial" w:cs="Arial" w:eastAsia="Arial" w:hAnsi="Arial"/>
                <w:sz w:val="12"/>
                <w:szCs w:val="12"/>
                <w:color w:val="auto"/>
                <w:w w:val="81"/>
              </w:rPr>
              <w:t>(5)</w:t>
            </w:r>
          </w:p>
        </w:tc>
        <w:tc>
          <w:tcPr>
            <w:tcW w:w="1340" w:type="dxa"/>
            <w:vAlign w:val="bottom"/>
          </w:tcPr>
          <w:p>
            <w:pPr>
              <w:jc w:val="right"/>
              <w:spacing w:after="0"/>
              <w:rPr>
                <w:sz w:val="20"/>
                <w:szCs w:val="20"/>
                <w:color w:val="auto"/>
              </w:rPr>
            </w:pPr>
            <w:r>
              <w:rPr>
                <w:rFonts w:ascii="Arial" w:cs="Arial" w:eastAsia="Arial" w:hAnsi="Arial"/>
                <w:sz w:val="14"/>
                <w:szCs w:val="14"/>
                <w:color w:val="auto"/>
              </w:rPr>
              <w:t>84,344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20" w:type="dxa"/>
            <w:vAlign w:val="bottom"/>
          </w:tcPr>
          <w:p>
            <w:pPr>
              <w:ind w:left="260"/>
              <w:spacing w:after="0" w:line="176" w:lineRule="exact"/>
              <w:rPr>
                <w:sz w:val="20"/>
                <w:szCs w:val="20"/>
                <w:color w:val="auto"/>
              </w:rPr>
            </w:pPr>
            <w:r>
              <w:rPr>
                <w:rFonts w:ascii="Arial" w:cs="Arial" w:eastAsia="Arial" w:hAnsi="Arial"/>
                <w:sz w:val="12"/>
                <w:szCs w:val="12"/>
                <w:color w:val="auto"/>
              </w:rPr>
              <w:t>Welfare Plan Benefits</w:t>
            </w:r>
            <w:r>
              <w:rPr>
                <w:rFonts w:ascii="Arial" w:cs="Arial" w:eastAsia="Arial" w:hAnsi="Arial"/>
                <w:sz w:val="20"/>
                <w:szCs w:val="20"/>
                <w:color w:val="auto"/>
                <w:vertAlign w:val="superscript"/>
              </w:rPr>
              <w:t>(6)</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40,995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tcPr>
          <w:p>
            <w:pPr>
              <w:ind w:left="260"/>
              <w:spacing w:after="0" w:line="176" w:lineRule="exact"/>
              <w:rPr>
                <w:sz w:val="20"/>
                <w:szCs w:val="20"/>
                <w:color w:val="auto"/>
              </w:rPr>
            </w:pPr>
            <w:r>
              <w:rPr>
                <w:rFonts w:ascii="Arial" w:cs="Arial" w:eastAsia="Arial" w:hAnsi="Arial"/>
                <w:sz w:val="12"/>
                <w:szCs w:val="12"/>
                <w:color w:val="auto"/>
              </w:rPr>
              <w:t>Outplacement Services</w:t>
            </w:r>
            <w:r>
              <w:rPr>
                <w:rFonts w:ascii="Arial" w:cs="Arial" w:eastAsia="Arial" w:hAnsi="Arial"/>
                <w:sz w:val="20"/>
                <w:szCs w:val="20"/>
                <w:color w:val="auto"/>
                <w:vertAlign w:val="superscript"/>
              </w:rPr>
              <w:t>(7)</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30,000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620" w:type="dxa"/>
            <w:vAlign w:val="bottom"/>
          </w:tcPr>
          <w:p>
            <w:pPr>
              <w:ind w:left="260"/>
              <w:spacing w:after="0" w:line="177" w:lineRule="exact"/>
              <w:rPr>
                <w:sz w:val="20"/>
                <w:szCs w:val="20"/>
                <w:color w:val="auto"/>
              </w:rPr>
            </w:pPr>
            <w:r>
              <w:rPr>
                <w:rFonts w:ascii="Arial" w:cs="Arial" w:eastAsia="Arial" w:hAnsi="Arial"/>
                <w:sz w:val="12"/>
                <w:szCs w:val="12"/>
                <w:color w:val="auto"/>
              </w:rPr>
              <w:t>Perquisites</w:t>
            </w:r>
            <w:r>
              <w:rPr>
                <w:rFonts w:ascii="Arial" w:cs="Arial" w:eastAsia="Arial" w:hAnsi="Arial"/>
                <w:sz w:val="20"/>
                <w:szCs w:val="20"/>
                <w:color w:val="auto"/>
                <w:vertAlign w:val="superscript"/>
              </w:rPr>
              <w:t>(8)</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27,364</w:t>
            </w:r>
          </w:p>
        </w:tc>
        <w:tc>
          <w:tcPr>
            <w:tcW w:w="18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2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109,178</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144,541</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0</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0</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2,006,434</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3,549,535</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20" w:type="dxa"/>
            <w:vAlign w:val="bottom"/>
            <w:shd w:val="clear" w:color="auto" w:fill="D9D9D9"/>
          </w:tcPr>
          <w:p>
            <w:pPr>
              <w:spacing w:after="0"/>
              <w:rPr>
                <w:sz w:val="20"/>
                <w:szCs w:val="20"/>
                <w:color w:val="auto"/>
              </w:rPr>
            </w:pPr>
            <w:r>
              <w:rPr>
                <w:rFonts w:ascii="Arial" w:cs="Arial" w:eastAsia="Arial" w:hAnsi="Arial"/>
                <w:sz w:val="14"/>
                <w:szCs w:val="14"/>
                <w:color w:val="auto"/>
              </w:rPr>
              <w:t>Richard W. Rodier</w:t>
            </w:r>
          </w:p>
        </w:tc>
        <w:tc>
          <w:tcPr>
            <w:tcW w:w="120" w:type="dxa"/>
            <w:vAlign w:val="bottom"/>
            <w:shd w:val="clear" w:color="auto" w:fill="D9D9D9"/>
          </w:tcPr>
          <w:p>
            <w:pPr>
              <w:spacing w:after="0"/>
              <w:rPr>
                <w:sz w:val="15"/>
                <w:szCs w:val="15"/>
                <w:color w:val="auto"/>
              </w:rPr>
            </w:pPr>
          </w:p>
        </w:tc>
        <w:tc>
          <w:tcPr>
            <w:tcW w:w="1000" w:type="dxa"/>
            <w:vAlign w:val="bottom"/>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c>
          <w:tcPr>
            <w:tcW w:w="1020" w:type="dxa"/>
            <w:vAlign w:val="bottom"/>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c>
          <w:tcPr>
            <w:tcW w:w="1080" w:type="dxa"/>
            <w:vAlign w:val="bottom"/>
            <w:shd w:val="clear" w:color="auto" w:fill="D9D9D9"/>
          </w:tcPr>
          <w:p>
            <w:pPr>
              <w:spacing w:after="0"/>
              <w:rPr>
                <w:sz w:val="15"/>
                <w:szCs w:val="15"/>
                <w:color w:val="auto"/>
              </w:rPr>
            </w:pPr>
          </w:p>
        </w:tc>
        <w:tc>
          <w:tcPr>
            <w:tcW w:w="120" w:type="dxa"/>
            <w:vAlign w:val="bottom"/>
            <w:shd w:val="clear" w:color="auto" w:fill="D9D9D9"/>
          </w:tcPr>
          <w:p>
            <w:pPr>
              <w:spacing w:after="0"/>
              <w:rPr>
                <w:sz w:val="15"/>
                <w:szCs w:val="15"/>
                <w:color w:val="auto"/>
              </w:rPr>
            </w:pPr>
          </w:p>
        </w:tc>
        <w:tc>
          <w:tcPr>
            <w:tcW w:w="1080" w:type="dxa"/>
            <w:vAlign w:val="bottom"/>
            <w:shd w:val="clear" w:color="auto" w:fill="D9D9D9"/>
          </w:tcPr>
          <w:p>
            <w:pPr>
              <w:spacing w:after="0"/>
              <w:rPr>
                <w:sz w:val="15"/>
                <w:szCs w:val="15"/>
                <w:color w:val="auto"/>
              </w:rPr>
            </w:pPr>
          </w:p>
        </w:tc>
        <w:tc>
          <w:tcPr>
            <w:tcW w:w="120" w:type="dxa"/>
            <w:vAlign w:val="bottom"/>
            <w:shd w:val="clear" w:color="auto" w:fill="D9D9D9"/>
          </w:tcPr>
          <w:p>
            <w:pPr>
              <w:spacing w:after="0"/>
              <w:rPr>
                <w:sz w:val="15"/>
                <w:szCs w:val="15"/>
                <w:color w:val="auto"/>
              </w:rPr>
            </w:pPr>
          </w:p>
        </w:tc>
        <w:tc>
          <w:tcPr>
            <w:tcW w:w="1020" w:type="dxa"/>
            <w:vAlign w:val="bottom"/>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c>
          <w:tcPr>
            <w:tcW w:w="1340" w:type="dxa"/>
            <w:vAlign w:val="bottom"/>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shd w:val="clear" w:color="auto" w:fill="D9D9D9"/>
          </w:tcPr>
          <w:p>
            <w:pPr>
              <w:ind w:left="260"/>
              <w:spacing w:after="0" w:line="176" w:lineRule="exact"/>
              <w:rPr>
                <w:sz w:val="20"/>
                <w:szCs w:val="20"/>
                <w:color w:val="auto"/>
              </w:rPr>
            </w:pPr>
            <w:r>
              <w:rPr>
                <w:rFonts w:ascii="Arial" w:cs="Arial" w:eastAsia="Arial" w:hAnsi="Arial"/>
                <w:sz w:val="12"/>
                <w:szCs w:val="12"/>
                <w:color w:val="auto"/>
              </w:rPr>
              <w:t>Cash Severance Payment</w:t>
            </w:r>
            <w:r>
              <w:rPr>
                <w:rFonts w:ascii="Arial" w:cs="Arial" w:eastAsia="Arial" w:hAnsi="Arial"/>
                <w:sz w:val="20"/>
                <w:szCs w:val="20"/>
                <w:color w:val="auto"/>
                <w:vertAlign w:val="superscript"/>
              </w:rPr>
              <w:t>(2)</w:t>
            </w:r>
          </w:p>
        </w:tc>
        <w:tc>
          <w:tcPr>
            <w:tcW w:w="120" w:type="dxa"/>
            <w:vAlign w:val="bottom"/>
            <w:shd w:val="clear" w:color="auto" w:fill="D9D9D9"/>
          </w:tcPr>
          <w:p>
            <w:pPr>
              <w:spacing w:after="0"/>
              <w:rPr>
                <w:sz w:val="15"/>
                <w:szCs w:val="15"/>
                <w:color w:val="auto"/>
              </w:rPr>
            </w:pPr>
          </w:p>
        </w:tc>
        <w:tc>
          <w:tcPr>
            <w:tcW w:w="10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1,846,200</w:t>
            </w:r>
          </w:p>
        </w:tc>
        <w:tc>
          <w:tcPr>
            <w:tcW w:w="18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20" w:type="dxa"/>
            <w:vAlign w:val="bottom"/>
            <w:shd w:val="clear" w:color="auto" w:fill="D9D9D9"/>
          </w:tcPr>
          <w:p>
            <w:pPr>
              <w:ind w:left="260"/>
              <w:spacing w:after="0" w:line="176" w:lineRule="exact"/>
              <w:rPr>
                <w:sz w:val="20"/>
                <w:szCs w:val="20"/>
                <w:color w:val="auto"/>
              </w:rPr>
            </w:pPr>
            <w:r>
              <w:rPr>
                <w:rFonts w:ascii="Arial" w:cs="Arial" w:eastAsia="Arial" w:hAnsi="Arial"/>
                <w:sz w:val="12"/>
                <w:szCs w:val="12"/>
                <w:color w:val="auto"/>
              </w:rPr>
              <w:t>Unvested &amp; Accelerated Stock Options</w:t>
            </w:r>
            <w:r>
              <w:rPr>
                <w:rFonts w:ascii="Arial" w:cs="Arial" w:eastAsia="Arial" w:hAnsi="Arial"/>
                <w:sz w:val="20"/>
                <w:szCs w:val="20"/>
                <w:color w:val="auto"/>
                <w:vertAlign w:val="superscript"/>
              </w:rPr>
              <w:t>(3)</w:t>
            </w:r>
          </w:p>
        </w:tc>
        <w:tc>
          <w:tcPr>
            <w:tcW w:w="120" w:type="dxa"/>
            <w:vAlign w:val="bottom"/>
            <w:shd w:val="clear" w:color="auto" w:fill="D9D9D9"/>
          </w:tcPr>
          <w:p>
            <w:pPr>
              <w:spacing w:after="0"/>
              <w:rPr>
                <w:sz w:val="15"/>
                <w:szCs w:val="15"/>
                <w:color w:val="auto"/>
              </w:rPr>
            </w:pPr>
          </w:p>
        </w:tc>
        <w:tc>
          <w:tcPr>
            <w:tcW w:w="10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874,064</w:t>
            </w:r>
          </w:p>
        </w:tc>
        <w:tc>
          <w:tcPr>
            <w:tcW w:w="180" w:type="dxa"/>
            <w:vAlign w:val="bottom"/>
            <w:shd w:val="clear" w:color="auto" w:fill="D9D9D9"/>
          </w:tcPr>
          <w:p>
            <w:pPr>
              <w:spacing w:after="0"/>
              <w:rPr>
                <w:sz w:val="15"/>
                <w:szCs w:val="15"/>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874,064</w:t>
            </w:r>
          </w:p>
        </w:tc>
        <w:tc>
          <w:tcPr>
            <w:tcW w:w="180" w:type="dxa"/>
            <w:vAlign w:val="bottom"/>
            <w:shd w:val="clear" w:color="auto" w:fill="D9D9D9"/>
          </w:tcPr>
          <w:p>
            <w:pPr>
              <w:spacing w:after="0"/>
              <w:rPr>
                <w:sz w:val="15"/>
                <w:szCs w:val="15"/>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874,064</w:t>
            </w:r>
          </w:p>
        </w:tc>
        <w:tc>
          <w:tcPr>
            <w:tcW w:w="18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20" w:type="dxa"/>
            <w:vAlign w:val="bottom"/>
            <w:shd w:val="clear" w:color="auto" w:fill="D9D9D9"/>
          </w:tcPr>
          <w:p>
            <w:pPr>
              <w:ind w:left="260"/>
              <w:spacing w:after="0" w:line="176" w:lineRule="exact"/>
              <w:rPr>
                <w:sz w:val="20"/>
                <w:szCs w:val="20"/>
                <w:color w:val="auto"/>
              </w:rPr>
            </w:pPr>
            <w:r>
              <w:rPr>
                <w:rFonts w:ascii="Arial" w:cs="Arial" w:eastAsia="Arial" w:hAnsi="Arial"/>
                <w:sz w:val="12"/>
                <w:szCs w:val="12"/>
                <w:color w:val="auto"/>
              </w:rPr>
              <w:t>Unvested &amp; Accelerated Restricted Stock Units</w:t>
            </w:r>
            <w:r>
              <w:rPr>
                <w:rFonts w:ascii="Arial" w:cs="Arial" w:eastAsia="Arial" w:hAnsi="Arial"/>
                <w:sz w:val="20"/>
                <w:szCs w:val="20"/>
                <w:color w:val="auto"/>
                <w:vertAlign w:val="superscript"/>
              </w:rPr>
              <w:t>(9)</w:t>
            </w:r>
          </w:p>
        </w:tc>
        <w:tc>
          <w:tcPr>
            <w:tcW w:w="120" w:type="dxa"/>
            <w:vAlign w:val="bottom"/>
            <w:shd w:val="clear" w:color="auto" w:fill="D9D9D9"/>
          </w:tcPr>
          <w:p>
            <w:pPr>
              <w:spacing w:after="0"/>
              <w:rPr>
                <w:sz w:val="15"/>
                <w:szCs w:val="15"/>
                <w:color w:val="auto"/>
              </w:rPr>
            </w:pPr>
          </w:p>
        </w:tc>
        <w:tc>
          <w:tcPr>
            <w:tcW w:w="10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57,987</w:t>
            </w:r>
          </w:p>
        </w:tc>
        <w:tc>
          <w:tcPr>
            <w:tcW w:w="180" w:type="dxa"/>
            <w:vAlign w:val="bottom"/>
            <w:shd w:val="clear" w:color="auto" w:fill="D9D9D9"/>
          </w:tcPr>
          <w:p>
            <w:pPr>
              <w:spacing w:after="0"/>
              <w:rPr>
                <w:sz w:val="15"/>
                <w:szCs w:val="15"/>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57,987</w:t>
            </w:r>
          </w:p>
        </w:tc>
        <w:tc>
          <w:tcPr>
            <w:tcW w:w="180" w:type="dxa"/>
            <w:vAlign w:val="bottom"/>
            <w:shd w:val="clear" w:color="auto" w:fill="D9D9D9"/>
          </w:tcPr>
          <w:p>
            <w:pPr>
              <w:jc w:val="right"/>
              <w:spacing w:after="0"/>
              <w:rPr>
                <w:sz w:val="20"/>
                <w:szCs w:val="20"/>
                <w:color w:val="auto"/>
              </w:rPr>
            </w:pPr>
            <w:r>
              <w:rPr>
                <w:rFonts w:ascii="Arial" w:cs="Arial" w:eastAsia="Arial" w:hAnsi="Arial"/>
                <w:sz w:val="12"/>
                <w:szCs w:val="12"/>
                <w:color w:val="auto"/>
                <w:w w:val="95"/>
              </w:rPr>
              <w:t>(4)</w:t>
            </w:r>
          </w:p>
        </w:tc>
        <w:tc>
          <w:tcPr>
            <w:tcW w:w="0" w:type="dxa"/>
            <w:vAlign w:val="bottom"/>
          </w:tcPr>
          <w:p>
            <w:pPr>
              <w:spacing w:after="0"/>
              <w:rPr>
                <w:sz w:val="1"/>
                <w:szCs w:val="1"/>
                <w:color w:val="auto"/>
              </w:rPr>
            </w:pPr>
          </w:p>
        </w:tc>
      </w:tr>
      <w:tr>
        <w:trPr>
          <w:trHeight w:val="175"/>
        </w:trPr>
        <w:tc>
          <w:tcPr>
            <w:tcW w:w="3620" w:type="dxa"/>
            <w:vAlign w:val="bottom"/>
            <w:shd w:val="clear" w:color="auto" w:fill="D9D9D9"/>
          </w:tcPr>
          <w:p>
            <w:pPr>
              <w:ind w:left="260"/>
              <w:spacing w:after="0"/>
              <w:rPr>
                <w:sz w:val="20"/>
                <w:szCs w:val="20"/>
                <w:color w:val="auto"/>
              </w:rPr>
            </w:pPr>
            <w:r>
              <w:rPr>
                <w:rFonts w:ascii="Arial" w:cs="Arial" w:eastAsia="Arial" w:hAnsi="Arial"/>
                <w:sz w:val="14"/>
                <w:szCs w:val="14"/>
                <w:color w:val="auto"/>
              </w:rPr>
              <w:t>Performance Share Award Payouts</w:t>
            </w:r>
          </w:p>
        </w:tc>
        <w:tc>
          <w:tcPr>
            <w:tcW w:w="120" w:type="dxa"/>
            <w:vAlign w:val="bottom"/>
            <w:shd w:val="clear" w:color="auto" w:fill="D9D9D9"/>
          </w:tcPr>
          <w:p>
            <w:pPr>
              <w:spacing w:after="0"/>
              <w:rPr>
                <w:sz w:val="15"/>
                <w:szCs w:val="15"/>
                <w:color w:val="auto"/>
              </w:rPr>
            </w:pPr>
          </w:p>
        </w:tc>
        <w:tc>
          <w:tcPr>
            <w:tcW w:w="10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830,367</w:t>
            </w:r>
          </w:p>
        </w:tc>
        <w:tc>
          <w:tcPr>
            <w:tcW w:w="180" w:type="dxa"/>
            <w:vAlign w:val="bottom"/>
            <w:shd w:val="clear" w:color="auto" w:fill="D9D9D9"/>
          </w:tcPr>
          <w:p>
            <w:pPr>
              <w:jc w:val="right"/>
              <w:spacing w:after="0"/>
              <w:rPr>
                <w:sz w:val="20"/>
                <w:szCs w:val="20"/>
                <w:color w:val="auto"/>
              </w:rPr>
            </w:pPr>
            <w:r>
              <w:rPr>
                <w:rFonts w:ascii="Arial" w:cs="Arial" w:eastAsia="Arial" w:hAnsi="Arial"/>
                <w:sz w:val="12"/>
                <w:szCs w:val="12"/>
                <w:color w:val="auto"/>
                <w:w w:val="95"/>
              </w:rPr>
              <w:t>(4)</w:t>
            </w: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830,367</w:t>
            </w:r>
          </w:p>
        </w:tc>
        <w:tc>
          <w:tcPr>
            <w:tcW w:w="180" w:type="dxa"/>
            <w:vAlign w:val="bottom"/>
            <w:shd w:val="clear" w:color="auto" w:fill="D9D9D9"/>
          </w:tcPr>
          <w:p>
            <w:pPr>
              <w:jc w:val="right"/>
              <w:spacing w:after="0"/>
              <w:rPr>
                <w:sz w:val="20"/>
                <w:szCs w:val="20"/>
                <w:color w:val="auto"/>
              </w:rPr>
            </w:pPr>
            <w:r>
              <w:rPr>
                <w:rFonts w:ascii="Arial" w:cs="Arial" w:eastAsia="Arial" w:hAnsi="Arial"/>
                <w:sz w:val="12"/>
                <w:szCs w:val="12"/>
                <w:color w:val="auto"/>
                <w:w w:val="95"/>
              </w:rPr>
              <w:t>(4)</w:t>
            </w:r>
          </w:p>
        </w:tc>
        <w:tc>
          <w:tcPr>
            <w:tcW w:w="10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604,430</w:t>
            </w:r>
          </w:p>
        </w:tc>
        <w:tc>
          <w:tcPr>
            <w:tcW w:w="180" w:type="dxa"/>
            <w:vAlign w:val="bottom"/>
            <w:shd w:val="clear" w:color="auto" w:fill="D9D9D9"/>
          </w:tcPr>
          <w:p>
            <w:pPr>
              <w:jc w:val="right"/>
              <w:spacing w:after="0"/>
              <w:rPr>
                <w:sz w:val="20"/>
                <w:szCs w:val="20"/>
                <w:color w:val="auto"/>
              </w:rPr>
            </w:pPr>
            <w:r>
              <w:rPr>
                <w:rFonts w:ascii="Arial" w:cs="Arial" w:eastAsia="Arial" w:hAnsi="Arial"/>
                <w:sz w:val="12"/>
                <w:szCs w:val="12"/>
                <w:color w:val="auto"/>
                <w:w w:val="81"/>
              </w:rPr>
              <w:t>(5)</w:t>
            </w:r>
          </w:p>
        </w:tc>
        <w:tc>
          <w:tcPr>
            <w:tcW w:w="13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604,430</w:t>
            </w:r>
          </w:p>
        </w:tc>
        <w:tc>
          <w:tcPr>
            <w:tcW w:w="180" w:type="dxa"/>
            <w:vAlign w:val="bottom"/>
            <w:shd w:val="clear" w:color="auto" w:fill="D9D9D9"/>
          </w:tcPr>
          <w:p>
            <w:pPr>
              <w:jc w:val="right"/>
              <w:spacing w:after="0"/>
              <w:rPr>
                <w:sz w:val="20"/>
                <w:szCs w:val="20"/>
                <w:color w:val="auto"/>
              </w:rPr>
            </w:pPr>
            <w:r>
              <w:rPr>
                <w:rFonts w:ascii="Arial" w:cs="Arial" w:eastAsia="Arial" w:hAnsi="Arial"/>
                <w:sz w:val="12"/>
                <w:szCs w:val="12"/>
                <w:color w:val="auto"/>
                <w:w w:val="95"/>
              </w:rPr>
              <w:t>(5)</w:t>
            </w:r>
          </w:p>
        </w:tc>
        <w:tc>
          <w:tcPr>
            <w:tcW w:w="0" w:type="dxa"/>
            <w:vAlign w:val="bottom"/>
          </w:tcPr>
          <w:p>
            <w:pPr>
              <w:spacing w:after="0"/>
              <w:rPr>
                <w:sz w:val="1"/>
                <w:szCs w:val="1"/>
                <w:color w:val="auto"/>
              </w:rPr>
            </w:pPr>
          </w:p>
        </w:tc>
      </w:tr>
      <w:tr>
        <w:trPr>
          <w:trHeight w:val="175"/>
        </w:trPr>
        <w:tc>
          <w:tcPr>
            <w:tcW w:w="3620" w:type="dxa"/>
            <w:vAlign w:val="bottom"/>
            <w:shd w:val="clear" w:color="auto" w:fill="D9D9D9"/>
          </w:tcPr>
          <w:p>
            <w:pPr>
              <w:ind w:left="260"/>
              <w:spacing w:after="0" w:line="176" w:lineRule="exact"/>
              <w:rPr>
                <w:sz w:val="20"/>
                <w:szCs w:val="20"/>
                <w:color w:val="auto"/>
              </w:rPr>
            </w:pPr>
            <w:r>
              <w:rPr>
                <w:rFonts w:ascii="Arial" w:cs="Arial" w:eastAsia="Arial" w:hAnsi="Arial"/>
                <w:sz w:val="12"/>
                <w:szCs w:val="12"/>
                <w:color w:val="auto"/>
              </w:rPr>
              <w:t>Welfare Plan Benefits</w:t>
            </w:r>
            <w:r>
              <w:rPr>
                <w:rFonts w:ascii="Arial" w:cs="Arial" w:eastAsia="Arial" w:hAnsi="Arial"/>
                <w:sz w:val="20"/>
                <w:szCs w:val="20"/>
                <w:color w:val="auto"/>
                <w:vertAlign w:val="superscript"/>
              </w:rPr>
              <w:t>(6)</w:t>
            </w:r>
          </w:p>
        </w:tc>
        <w:tc>
          <w:tcPr>
            <w:tcW w:w="120" w:type="dxa"/>
            <w:vAlign w:val="bottom"/>
            <w:shd w:val="clear" w:color="auto" w:fill="D9D9D9"/>
          </w:tcPr>
          <w:p>
            <w:pPr>
              <w:spacing w:after="0"/>
              <w:rPr>
                <w:sz w:val="15"/>
                <w:szCs w:val="15"/>
                <w:color w:val="auto"/>
              </w:rPr>
            </w:pPr>
          </w:p>
        </w:tc>
        <w:tc>
          <w:tcPr>
            <w:tcW w:w="10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46,392</w:t>
            </w:r>
          </w:p>
        </w:tc>
        <w:tc>
          <w:tcPr>
            <w:tcW w:w="18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20" w:type="dxa"/>
            <w:vAlign w:val="bottom"/>
            <w:shd w:val="clear" w:color="auto" w:fill="D9D9D9"/>
          </w:tcPr>
          <w:p>
            <w:pPr>
              <w:ind w:left="260"/>
              <w:spacing w:after="0" w:line="176" w:lineRule="exact"/>
              <w:rPr>
                <w:sz w:val="20"/>
                <w:szCs w:val="20"/>
                <w:color w:val="auto"/>
              </w:rPr>
            </w:pPr>
            <w:r>
              <w:rPr>
                <w:rFonts w:ascii="Arial" w:cs="Arial" w:eastAsia="Arial" w:hAnsi="Arial"/>
                <w:sz w:val="12"/>
                <w:szCs w:val="12"/>
                <w:color w:val="auto"/>
              </w:rPr>
              <w:t>Outplacement Services</w:t>
            </w:r>
            <w:r>
              <w:rPr>
                <w:rFonts w:ascii="Arial" w:cs="Arial" w:eastAsia="Arial" w:hAnsi="Arial"/>
                <w:sz w:val="20"/>
                <w:szCs w:val="20"/>
                <w:color w:val="auto"/>
                <w:vertAlign w:val="superscript"/>
              </w:rPr>
              <w:t>(7)</w:t>
            </w:r>
          </w:p>
        </w:tc>
        <w:tc>
          <w:tcPr>
            <w:tcW w:w="120" w:type="dxa"/>
            <w:vAlign w:val="bottom"/>
            <w:shd w:val="clear" w:color="auto" w:fill="D9D9D9"/>
          </w:tcPr>
          <w:p>
            <w:pPr>
              <w:spacing w:after="0"/>
              <w:rPr>
                <w:sz w:val="15"/>
                <w:szCs w:val="15"/>
                <w:color w:val="auto"/>
              </w:rPr>
            </w:pPr>
          </w:p>
        </w:tc>
        <w:tc>
          <w:tcPr>
            <w:tcW w:w="10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30,000</w:t>
            </w:r>
          </w:p>
        </w:tc>
        <w:tc>
          <w:tcPr>
            <w:tcW w:w="18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tcBorders>
              <w:bottom w:val="single" w:sz="8" w:color="D9D9D9"/>
            </w:tcBorders>
            <w:shd w:val="clear" w:color="auto" w:fill="D9D9D9"/>
          </w:tcPr>
          <w:p>
            <w:pPr>
              <w:ind w:left="260"/>
              <w:spacing w:after="0" w:line="176" w:lineRule="exact"/>
              <w:rPr>
                <w:sz w:val="20"/>
                <w:szCs w:val="20"/>
                <w:color w:val="auto"/>
              </w:rPr>
            </w:pPr>
            <w:r>
              <w:rPr>
                <w:rFonts w:ascii="Arial" w:cs="Arial" w:eastAsia="Arial" w:hAnsi="Arial"/>
                <w:sz w:val="12"/>
                <w:szCs w:val="12"/>
                <w:color w:val="auto"/>
              </w:rPr>
              <w:t>Perquisites</w:t>
            </w:r>
            <w:r>
              <w:rPr>
                <w:rFonts w:ascii="Arial" w:cs="Arial" w:eastAsia="Arial" w:hAnsi="Arial"/>
                <w:sz w:val="20"/>
                <w:szCs w:val="20"/>
                <w:color w:val="auto"/>
                <w:vertAlign w:val="superscript"/>
              </w:rPr>
              <w:t>(8)</w:t>
            </w:r>
          </w:p>
        </w:tc>
        <w:tc>
          <w:tcPr>
            <w:tcW w:w="120" w:type="dxa"/>
            <w:vAlign w:val="bottom"/>
            <w:tcBorders>
              <w:bottom w:val="single" w:sz="8" w:color="D9D9D9"/>
            </w:tcBorders>
            <w:shd w:val="clear" w:color="auto" w:fill="D9D9D9"/>
          </w:tcPr>
          <w:p>
            <w:pPr>
              <w:spacing w:after="0"/>
              <w:rPr>
                <w:sz w:val="15"/>
                <w:szCs w:val="15"/>
                <w:color w:val="auto"/>
              </w:rPr>
            </w:pPr>
          </w:p>
        </w:tc>
        <w:tc>
          <w:tcPr>
            <w:tcW w:w="10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38,300</w:t>
            </w:r>
          </w:p>
        </w:tc>
        <w:tc>
          <w:tcPr>
            <w:tcW w:w="180" w:type="dxa"/>
            <w:vAlign w:val="bottom"/>
            <w:tcBorders>
              <w:bottom w:val="single" w:sz="8" w:color="D9D9D9"/>
            </w:tcBorders>
            <w:shd w:val="clear" w:color="auto" w:fill="D9D9D9"/>
          </w:tcPr>
          <w:p>
            <w:pPr>
              <w:spacing w:after="0"/>
              <w:rPr>
                <w:sz w:val="15"/>
                <w:szCs w:val="15"/>
                <w:color w:val="auto"/>
              </w:rPr>
            </w:pPr>
          </w:p>
        </w:tc>
        <w:tc>
          <w:tcPr>
            <w:tcW w:w="10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tcBorders>
              <w:bottom w:val="single" w:sz="8" w:color="D9D9D9"/>
            </w:tcBorders>
            <w:shd w:val="clear" w:color="auto" w:fill="D9D9D9"/>
          </w:tcPr>
          <w:p>
            <w:pPr>
              <w:spacing w:after="0"/>
              <w:rPr>
                <w:sz w:val="15"/>
                <w:szCs w:val="15"/>
                <w:color w:val="auto"/>
              </w:rPr>
            </w:pPr>
          </w:p>
        </w:tc>
        <w:tc>
          <w:tcPr>
            <w:tcW w:w="10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D9D9D9"/>
            </w:tcBorders>
            <w:shd w:val="clear" w:color="auto" w:fill="D9D9D9"/>
          </w:tcPr>
          <w:p>
            <w:pPr>
              <w:spacing w:after="0"/>
              <w:rPr>
                <w:sz w:val="15"/>
                <w:szCs w:val="15"/>
                <w:color w:val="auto"/>
              </w:rPr>
            </w:pPr>
          </w:p>
        </w:tc>
        <w:tc>
          <w:tcPr>
            <w:tcW w:w="10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D9D9D9"/>
            </w:tcBorders>
            <w:shd w:val="clear" w:color="auto" w:fill="D9D9D9"/>
          </w:tcPr>
          <w:p>
            <w:pPr>
              <w:spacing w:after="0"/>
              <w:rPr>
                <w:sz w:val="15"/>
                <w:szCs w:val="15"/>
                <w:color w:val="auto"/>
              </w:rPr>
            </w:pPr>
          </w:p>
        </w:tc>
        <w:tc>
          <w:tcPr>
            <w:tcW w:w="10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tcBorders>
              <w:bottom w:val="single" w:sz="8" w:color="D9D9D9"/>
            </w:tcBorders>
            <w:shd w:val="clear" w:color="auto" w:fill="D9D9D9"/>
          </w:tcPr>
          <w:p>
            <w:pPr>
              <w:spacing w:after="0"/>
              <w:rPr>
                <w:sz w:val="15"/>
                <w:szCs w:val="15"/>
                <w:color w:val="auto"/>
              </w:rPr>
            </w:pPr>
          </w:p>
        </w:tc>
        <w:tc>
          <w:tcPr>
            <w:tcW w:w="13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tcBorders>
              <w:bottom w:val="single" w:sz="8" w:color="D9D9D9"/>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20" w:type="dxa"/>
            <w:vAlign w:val="bottom"/>
            <w:shd w:val="clear" w:color="auto" w:fill="D9D9D9"/>
          </w:tcPr>
          <w:p>
            <w:pPr>
              <w:spacing w:after="0"/>
              <w:rPr>
                <w:sz w:val="20"/>
                <w:szCs w:val="20"/>
                <w:color w:val="auto"/>
              </w:rPr>
            </w:pPr>
            <w:r>
              <w:rPr>
                <w:rFonts w:ascii="Arial" w:cs="Arial" w:eastAsia="Arial" w:hAnsi="Arial"/>
                <w:sz w:val="14"/>
                <w:szCs w:val="14"/>
                <w:b w:val="1"/>
                <w:bCs w:val="1"/>
                <w:color w:val="auto"/>
              </w:rPr>
              <w:t>Total</w:t>
            </w:r>
          </w:p>
        </w:tc>
        <w:tc>
          <w:tcPr>
            <w:tcW w:w="120" w:type="dxa"/>
            <w:vAlign w:val="bottom"/>
            <w:shd w:val="clear" w:color="auto" w:fill="D9D9D9"/>
          </w:tcPr>
          <w:p>
            <w:pPr>
              <w:spacing w:after="0"/>
              <w:rPr>
                <w:sz w:val="14"/>
                <w:szCs w:val="14"/>
                <w:color w:val="auto"/>
              </w:rPr>
            </w:pPr>
          </w:p>
        </w:tc>
        <w:tc>
          <w:tcPr>
            <w:tcW w:w="10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868,667</w:t>
            </w:r>
          </w:p>
        </w:tc>
        <w:tc>
          <w:tcPr>
            <w:tcW w:w="180" w:type="dxa"/>
            <w:vAlign w:val="bottom"/>
            <w:shd w:val="clear" w:color="auto" w:fill="D9D9D9"/>
          </w:tcPr>
          <w:p>
            <w:pPr>
              <w:spacing w:after="0"/>
              <w:rPr>
                <w:sz w:val="14"/>
                <w:szCs w:val="14"/>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1,704,431</w:t>
            </w:r>
          </w:p>
        </w:tc>
        <w:tc>
          <w:tcPr>
            <w:tcW w:w="180" w:type="dxa"/>
            <w:vAlign w:val="bottom"/>
            <w:shd w:val="clear" w:color="auto" w:fill="D9D9D9"/>
          </w:tcPr>
          <w:p>
            <w:pPr>
              <w:spacing w:after="0"/>
              <w:rPr>
                <w:sz w:val="14"/>
                <w:szCs w:val="14"/>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0</w:t>
            </w:r>
          </w:p>
        </w:tc>
        <w:tc>
          <w:tcPr>
            <w:tcW w:w="120" w:type="dxa"/>
            <w:vAlign w:val="bottom"/>
            <w:shd w:val="clear" w:color="auto" w:fill="D9D9D9"/>
          </w:tcPr>
          <w:p>
            <w:pPr>
              <w:spacing w:after="0"/>
              <w:rPr>
                <w:sz w:val="14"/>
                <w:szCs w:val="14"/>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0</w:t>
            </w:r>
          </w:p>
        </w:tc>
        <w:tc>
          <w:tcPr>
            <w:tcW w:w="120" w:type="dxa"/>
            <w:vAlign w:val="bottom"/>
            <w:shd w:val="clear" w:color="auto" w:fill="D9D9D9"/>
          </w:tcPr>
          <w:p>
            <w:pPr>
              <w:spacing w:after="0"/>
              <w:rPr>
                <w:sz w:val="14"/>
                <w:szCs w:val="14"/>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1,536,481</w:t>
            </w:r>
          </w:p>
        </w:tc>
        <w:tc>
          <w:tcPr>
            <w:tcW w:w="180" w:type="dxa"/>
            <w:vAlign w:val="bottom"/>
            <w:shd w:val="clear" w:color="auto" w:fill="D9D9D9"/>
          </w:tcPr>
          <w:p>
            <w:pPr>
              <w:spacing w:after="0"/>
              <w:rPr>
                <w:sz w:val="14"/>
                <w:szCs w:val="14"/>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3,459,073</w:t>
            </w:r>
          </w:p>
        </w:tc>
        <w:tc>
          <w:tcPr>
            <w:tcW w:w="18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620" w:type="dxa"/>
            <w:vAlign w:val="bottom"/>
          </w:tcPr>
          <w:p>
            <w:pPr>
              <w:spacing w:after="0"/>
              <w:rPr>
                <w:sz w:val="20"/>
                <w:szCs w:val="20"/>
                <w:color w:val="auto"/>
              </w:rPr>
            </w:pPr>
            <w:r>
              <w:rPr>
                <w:rFonts w:ascii="Arial" w:cs="Arial" w:eastAsia="Arial" w:hAnsi="Arial"/>
                <w:sz w:val="14"/>
                <w:szCs w:val="14"/>
                <w:color w:val="auto"/>
              </w:rPr>
              <w:t>Amy E. Dahl</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20" w:type="dxa"/>
            <w:vAlign w:val="bottom"/>
          </w:tcPr>
          <w:p>
            <w:pPr>
              <w:ind w:left="260"/>
              <w:spacing w:after="0" w:line="210" w:lineRule="exact"/>
              <w:rPr>
                <w:sz w:val="20"/>
                <w:szCs w:val="20"/>
                <w:color w:val="auto"/>
              </w:rPr>
            </w:pPr>
            <w:r>
              <w:rPr>
                <w:rFonts w:ascii="Arial" w:cs="Arial" w:eastAsia="Arial" w:hAnsi="Arial"/>
                <w:sz w:val="14"/>
                <w:szCs w:val="14"/>
                <w:color w:val="auto"/>
              </w:rPr>
              <w:t>Cash Severance Payment</w:t>
            </w:r>
            <w:r>
              <w:rPr>
                <w:rFonts w:ascii="Arial" w:cs="Arial" w:eastAsia="Arial" w:hAnsi="Arial"/>
                <w:sz w:val="24"/>
                <w:szCs w:val="24"/>
                <w:color w:val="auto"/>
                <w:vertAlign w:val="superscript"/>
              </w:rPr>
              <w:t>(2)</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1,683,000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20" w:type="dxa"/>
            <w:vAlign w:val="bottom"/>
          </w:tcPr>
          <w:p>
            <w:pPr>
              <w:ind w:left="260"/>
              <w:spacing w:after="0" w:line="207" w:lineRule="exact"/>
              <w:rPr>
                <w:sz w:val="20"/>
                <w:szCs w:val="20"/>
                <w:color w:val="auto"/>
              </w:rPr>
            </w:pPr>
            <w:r>
              <w:rPr>
                <w:rFonts w:ascii="Arial" w:cs="Arial" w:eastAsia="Arial" w:hAnsi="Arial"/>
                <w:sz w:val="14"/>
                <w:szCs w:val="14"/>
                <w:color w:val="auto"/>
              </w:rPr>
              <w:t>Unvested &amp; Accelerated Stock Options</w:t>
            </w:r>
            <w:r>
              <w:rPr>
                <w:rFonts w:ascii="Arial" w:cs="Arial" w:eastAsia="Arial" w:hAnsi="Arial"/>
                <w:sz w:val="24"/>
                <w:szCs w:val="24"/>
                <w:color w:val="auto"/>
                <w:vertAlign w:val="superscript"/>
              </w:rPr>
              <w:t>(3)</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475,134</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475,134</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475,134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620" w:type="dxa"/>
            <w:vAlign w:val="bottom"/>
          </w:tcPr>
          <w:p>
            <w:pPr>
              <w:ind w:left="260"/>
              <w:spacing w:after="0"/>
              <w:rPr>
                <w:sz w:val="20"/>
                <w:szCs w:val="20"/>
                <w:color w:val="auto"/>
              </w:rPr>
            </w:pPr>
            <w:r>
              <w:rPr>
                <w:rFonts w:ascii="Arial" w:cs="Arial" w:eastAsia="Arial" w:hAnsi="Arial"/>
                <w:sz w:val="14"/>
                <w:szCs w:val="14"/>
                <w:color w:val="auto"/>
              </w:rPr>
              <w:t>Performance Share Award Payouts</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606,117</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(4)</w:t>
            </w:r>
          </w:p>
        </w:tc>
        <w:tc>
          <w:tcPr>
            <w:tcW w:w="1020" w:type="dxa"/>
            <w:vAlign w:val="bottom"/>
          </w:tcPr>
          <w:p>
            <w:pPr>
              <w:jc w:val="right"/>
              <w:spacing w:after="0"/>
              <w:rPr>
                <w:sz w:val="20"/>
                <w:szCs w:val="20"/>
                <w:color w:val="auto"/>
              </w:rPr>
            </w:pPr>
            <w:r>
              <w:rPr>
                <w:rFonts w:ascii="Arial" w:cs="Arial" w:eastAsia="Arial" w:hAnsi="Arial"/>
                <w:sz w:val="14"/>
                <w:szCs w:val="14"/>
                <w:color w:val="auto"/>
              </w:rPr>
              <w:t>606,117</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(4)</w:t>
            </w: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446,285</w:t>
            </w:r>
          </w:p>
        </w:tc>
        <w:tc>
          <w:tcPr>
            <w:tcW w:w="180" w:type="dxa"/>
            <w:vAlign w:val="bottom"/>
          </w:tcPr>
          <w:p>
            <w:pPr>
              <w:jc w:val="right"/>
              <w:spacing w:after="0"/>
              <w:rPr>
                <w:sz w:val="20"/>
                <w:szCs w:val="20"/>
                <w:color w:val="auto"/>
              </w:rPr>
            </w:pPr>
            <w:r>
              <w:rPr>
                <w:rFonts w:ascii="Arial" w:cs="Arial" w:eastAsia="Arial" w:hAnsi="Arial"/>
                <w:sz w:val="12"/>
                <w:szCs w:val="12"/>
                <w:color w:val="auto"/>
                <w:w w:val="81"/>
              </w:rPr>
              <w:t>(5)</w:t>
            </w:r>
          </w:p>
        </w:tc>
        <w:tc>
          <w:tcPr>
            <w:tcW w:w="1340" w:type="dxa"/>
            <w:vAlign w:val="bottom"/>
          </w:tcPr>
          <w:p>
            <w:pPr>
              <w:jc w:val="right"/>
              <w:spacing w:after="0"/>
              <w:rPr>
                <w:sz w:val="20"/>
                <w:szCs w:val="20"/>
                <w:color w:val="auto"/>
              </w:rPr>
            </w:pPr>
            <w:r>
              <w:rPr>
                <w:rFonts w:ascii="Arial" w:cs="Arial" w:eastAsia="Arial" w:hAnsi="Arial"/>
                <w:sz w:val="14"/>
                <w:szCs w:val="14"/>
                <w:color w:val="auto"/>
              </w:rPr>
              <w:t>446,285</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(5)</w:t>
            </w:r>
          </w:p>
        </w:tc>
        <w:tc>
          <w:tcPr>
            <w:tcW w:w="0" w:type="dxa"/>
            <w:vAlign w:val="bottom"/>
          </w:tcPr>
          <w:p>
            <w:pPr>
              <w:spacing w:after="0"/>
              <w:rPr>
                <w:sz w:val="1"/>
                <w:szCs w:val="1"/>
                <w:color w:val="auto"/>
              </w:rPr>
            </w:pPr>
          </w:p>
        </w:tc>
      </w:tr>
      <w:tr>
        <w:trPr>
          <w:trHeight w:val="203"/>
        </w:trPr>
        <w:tc>
          <w:tcPr>
            <w:tcW w:w="3620" w:type="dxa"/>
            <w:vAlign w:val="bottom"/>
          </w:tcPr>
          <w:p>
            <w:pPr>
              <w:ind w:left="260"/>
              <w:spacing w:after="0" w:line="202" w:lineRule="exact"/>
              <w:rPr>
                <w:sz w:val="20"/>
                <w:szCs w:val="20"/>
                <w:color w:val="auto"/>
              </w:rPr>
            </w:pPr>
            <w:r>
              <w:rPr>
                <w:rFonts w:ascii="Arial" w:cs="Arial" w:eastAsia="Arial" w:hAnsi="Arial"/>
                <w:sz w:val="14"/>
                <w:szCs w:val="14"/>
                <w:color w:val="auto"/>
              </w:rPr>
              <w:t>Welfare Plan Benefits</w:t>
            </w:r>
            <w:r>
              <w:rPr>
                <w:rFonts w:ascii="Arial" w:cs="Arial" w:eastAsia="Arial" w:hAnsi="Arial"/>
                <w:sz w:val="23"/>
                <w:szCs w:val="23"/>
                <w:color w:val="auto"/>
                <w:vertAlign w:val="superscript"/>
              </w:rPr>
              <w:t>(6)</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20,862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ind w:left="260"/>
              <w:spacing w:after="0" w:line="202" w:lineRule="exact"/>
              <w:rPr>
                <w:sz w:val="20"/>
                <w:szCs w:val="20"/>
                <w:color w:val="auto"/>
              </w:rPr>
            </w:pPr>
            <w:r>
              <w:rPr>
                <w:rFonts w:ascii="Arial" w:cs="Arial" w:eastAsia="Arial" w:hAnsi="Arial"/>
                <w:sz w:val="14"/>
                <w:szCs w:val="14"/>
                <w:color w:val="auto"/>
              </w:rPr>
              <w:t>Outplacement Services</w:t>
            </w:r>
            <w:r>
              <w:rPr>
                <w:rFonts w:ascii="Arial" w:cs="Arial" w:eastAsia="Arial" w:hAnsi="Arial"/>
                <w:sz w:val="23"/>
                <w:szCs w:val="23"/>
                <w:color w:val="auto"/>
                <w:vertAlign w:val="superscript"/>
              </w:rPr>
              <w:t>(7)</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30,000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620" w:type="dxa"/>
            <w:vAlign w:val="bottom"/>
          </w:tcPr>
          <w:p>
            <w:pPr>
              <w:ind w:left="260"/>
              <w:spacing w:after="0" w:line="203" w:lineRule="exact"/>
              <w:rPr>
                <w:sz w:val="20"/>
                <w:szCs w:val="20"/>
                <w:color w:val="auto"/>
              </w:rPr>
            </w:pPr>
            <w:r>
              <w:rPr>
                <w:rFonts w:ascii="Arial" w:cs="Arial" w:eastAsia="Arial" w:hAnsi="Arial"/>
                <w:sz w:val="14"/>
                <w:szCs w:val="14"/>
                <w:color w:val="auto"/>
              </w:rPr>
              <w:t>Perquisites</w:t>
            </w:r>
            <w:r>
              <w:rPr>
                <w:rFonts w:ascii="Arial" w:cs="Arial" w:eastAsia="Arial" w:hAnsi="Arial"/>
                <w:sz w:val="23"/>
                <w:szCs w:val="23"/>
                <w:color w:val="auto"/>
                <w:vertAlign w:val="superscript"/>
              </w:rPr>
              <w:t>(8)</w:t>
            </w: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40,231</w:t>
            </w:r>
          </w:p>
        </w:tc>
        <w:tc>
          <w:tcPr>
            <w:tcW w:w="18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62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646,348</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1,081,251</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0</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0</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921,419</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2,655,281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-5321300</wp:posOffset>
            </wp:positionV>
            <wp:extent cx="173164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7316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wp:posOffset>
            </wp:positionV>
            <wp:extent cx="2040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58" w:lineRule="exact"/>
        <w:rPr>
          <w:sz w:val="20"/>
          <w:szCs w:val="20"/>
          <w:color w:val="auto"/>
        </w:rPr>
      </w:pPr>
    </w:p>
    <w:p>
      <w:pPr>
        <w:ind w:left="400" w:hanging="392"/>
        <w:spacing w:after="0"/>
        <w:tabs>
          <w:tab w:leader="none" w:pos="4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of Messrs. Olson and Rodier and Ms. Peterson met the retirement criteria on October 31, 2022.</w:t>
      </w:r>
    </w:p>
    <w:p>
      <w:pPr>
        <w:spacing w:after="0" w:line="49" w:lineRule="exact"/>
        <w:rPr>
          <w:rFonts w:ascii="Arial" w:cs="Arial" w:eastAsia="Arial" w:hAnsi="Arial"/>
          <w:sz w:val="18"/>
          <w:szCs w:val="18"/>
          <w:color w:val="auto"/>
        </w:rPr>
      </w:pPr>
    </w:p>
    <w:p>
      <w:pPr>
        <w:ind w:left="400" w:hanging="392"/>
        <w:spacing w:after="0" w:line="266" w:lineRule="auto"/>
        <w:tabs>
          <w:tab w:leader="none" w:pos="4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Amount reported represents two times (three times for Mr. Olson since he was CEO on October 31, 2022) the sum of the NEO’s (a) then current annual base salary and (b) then target annual cash incentive award for fiscal 2022.</w:t>
      </w:r>
    </w:p>
    <w:p>
      <w:pPr>
        <w:ind w:left="400" w:right="120" w:hanging="392"/>
        <w:spacing w:after="0" w:line="271" w:lineRule="auto"/>
        <w:tabs>
          <w:tab w:leader="none" w:pos="4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Amount reported represents the value of the automatic acceleration of vesting of unvested stock options. All amounts are based on the difference between: (a) the market price of our common stock underlying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EE"/>
        </w:rPr>
        <w:t>Table of Contents</w:t>
      </w:r>
    </w:p>
    <w:p>
      <w:pPr>
        <w:spacing w:after="0" w:line="49" w:lineRule="exact"/>
        <w:rPr>
          <w:sz w:val="20"/>
          <w:szCs w:val="20"/>
          <w:color w:val="auto"/>
        </w:rPr>
      </w:pPr>
    </w:p>
    <w:p>
      <w:pPr>
        <w:ind w:left="400" w:right="380"/>
        <w:spacing w:after="0" w:line="247" w:lineRule="auto"/>
        <w:rPr>
          <w:sz w:val="20"/>
          <w:szCs w:val="20"/>
          <w:color w:val="auto"/>
        </w:rPr>
      </w:pPr>
      <w:r>
        <w:rPr>
          <w:rFonts w:ascii="Arial" w:cs="Arial" w:eastAsia="Arial" w:hAnsi="Arial"/>
          <w:sz w:val="18"/>
          <w:szCs w:val="18"/>
          <w:color w:val="auto"/>
        </w:rPr>
        <w:t>unvested stock options as of October 31, 2022, and (b) the exercise price of the stock options. Because each of Messrs. Olson and Rodier and Ms. Peterson met the retirement criteria on October 31, 2022, upon such event any unvested stock options held would continue to vest for four additional years, but such extended vesting is not quantified in the above table, “Voluntary Resignation / Retirement” column.</w:t>
      </w:r>
    </w:p>
    <w:p>
      <w:pPr>
        <w:spacing w:after="0" w:line="12" w:lineRule="exact"/>
        <w:rPr>
          <w:sz w:val="20"/>
          <w:szCs w:val="20"/>
          <w:color w:val="auto"/>
        </w:rPr>
      </w:pPr>
    </w:p>
    <w:p>
      <w:pPr>
        <w:ind w:left="400" w:right="140" w:hanging="392"/>
        <w:spacing w:after="0" w:line="265" w:lineRule="auto"/>
        <w:tabs>
          <w:tab w:leader="none" w:pos="4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Amount reported represents the value of the future payout of two-thirds of the NEO’s fiscal 2021 to fiscal 2023 performance share awards (based on two years of the three-year performance period completed as of October 31, 2021) and one-third of the NEO’s fiscal 2022 to fiscal 2024 performance share awards (based on one year of the three-year performance period completed as of October 31, 2022), assuming that the Compensation &amp; Human Resources Committee approves the payout at financial plan levels of performance.</w:t>
      </w:r>
    </w:p>
    <w:p>
      <w:pPr>
        <w:ind w:left="400" w:right="160" w:hanging="392"/>
        <w:spacing w:after="0" w:line="247" w:lineRule="auto"/>
        <w:tabs>
          <w:tab w:leader="none" w:pos="4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Amount reported represents the value of the immediate payout of the applicable number of shares of our common stock that the NEO would have been entitled to receive as payout for performance share awards for each of the fiscal 2021 to fiscal 2023 performance period and the fiscal 2022 to fiscal 2024 performance period. The value is based on: (a) the number of outstanding performance share awards at target as of October 31, 2022, multiplied by (b) the market price of our common stock on October 31, 2022.</w:t>
      </w:r>
    </w:p>
    <w:p>
      <w:pPr>
        <w:spacing w:after="0" w:line="11" w:lineRule="exact"/>
        <w:rPr>
          <w:rFonts w:ascii="Arial" w:cs="Arial" w:eastAsia="Arial" w:hAnsi="Arial"/>
          <w:sz w:val="18"/>
          <w:szCs w:val="18"/>
          <w:color w:val="auto"/>
        </w:rPr>
      </w:pPr>
    </w:p>
    <w:p>
      <w:pPr>
        <w:ind w:left="400" w:right="380" w:hanging="392"/>
        <w:spacing w:after="0" w:line="266" w:lineRule="auto"/>
        <w:tabs>
          <w:tab w:leader="none" w:pos="4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Amount reported represents the estimated value of the welfare plan benefits for a three-year period based on our premium levels in effect on October 31, 2022.</w:t>
      </w:r>
    </w:p>
    <w:p>
      <w:pPr>
        <w:ind w:left="400" w:right="120" w:hanging="392"/>
        <w:spacing w:after="0" w:line="266" w:lineRule="auto"/>
        <w:tabs>
          <w:tab w:leader="none" w:pos="4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Amount reported is based on the assumption that we would incur a $30,000 one-time cost for outplacement services to be provided for the two-year period.</w:t>
      </w:r>
    </w:p>
    <w:p>
      <w:pPr>
        <w:ind w:left="400" w:hanging="392"/>
        <w:spacing w:after="0"/>
        <w:tabs>
          <w:tab w:leader="none" w:pos="4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Amount reported represents the value of (a) one additional year of financial planning services, (b) one additional executive physical, and</w:t>
      </w:r>
    </w:p>
    <w:p>
      <w:pPr>
        <w:spacing w:after="0" w:line="13"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(c) twelve additional months of automobile lease payments.</w:t>
      </w:r>
    </w:p>
    <w:p>
      <w:pPr>
        <w:spacing w:after="0" w:line="31" w:lineRule="exact"/>
        <w:rPr>
          <w:rFonts w:ascii="Arial" w:cs="Arial" w:eastAsia="Arial" w:hAnsi="Arial"/>
          <w:sz w:val="18"/>
          <w:szCs w:val="18"/>
          <w:color w:val="auto"/>
        </w:rPr>
      </w:pPr>
    </w:p>
    <w:p>
      <w:pPr>
        <w:jc w:val="both"/>
        <w:ind w:left="400" w:hanging="392"/>
        <w:spacing w:after="0" w:line="253" w:lineRule="auto"/>
        <w:tabs>
          <w:tab w:leader="none" w:pos="4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Amount reported represents the value of the automatic acceleration of the vesting of unvested restricted stock units and is based on the number of shares of common stock underlying the unvested restricted stock units multiplied by the market price of our common stock on October 31, 2022.</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Pay Ratio Disclosure</w:t>
      </w:r>
    </w:p>
    <w:p>
      <w:pPr>
        <w:spacing w:after="0" w:line="99" w:lineRule="exact"/>
        <w:rPr>
          <w:sz w:val="20"/>
          <w:szCs w:val="20"/>
          <w:color w:val="auto"/>
        </w:rPr>
      </w:pPr>
    </w:p>
    <w:p>
      <w:pPr>
        <w:ind w:right="720" w:firstLine="401"/>
        <w:spacing w:after="0" w:line="271" w:lineRule="auto"/>
        <w:rPr>
          <w:sz w:val="20"/>
          <w:szCs w:val="20"/>
          <w:color w:val="auto"/>
        </w:rPr>
      </w:pPr>
      <w:r>
        <w:rPr>
          <w:rFonts w:ascii="Arial" w:cs="Arial" w:eastAsia="Arial" w:hAnsi="Arial"/>
          <w:sz w:val="18"/>
          <w:szCs w:val="18"/>
          <w:color w:val="auto"/>
        </w:rPr>
        <w:t>In accordance with Item 402(u) of Regulation S-K, passed as part of the Dodd-Frank Act, we calculated the ratio of annual total compensation of Mr. Olson relative to the annual total compensation of our median employee.</w:t>
      </w:r>
    </w:p>
    <w:p>
      <w:pPr>
        <w:spacing w:after="0" w:line="46" w:lineRule="exact"/>
        <w:rPr>
          <w:sz w:val="20"/>
          <w:szCs w:val="20"/>
          <w:color w:val="auto"/>
        </w:rPr>
      </w:pPr>
    </w:p>
    <w:p>
      <w:pPr>
        <w:ind w:right="300" w:firstLine="401"/>
        <w:spacing w:after="0" w:line="247" w:lineRule="auto"/>
        <w:rPr>
          <w:sz w:val="20"/>
          <w:szCs w:val="20"/>
          <w:color w:val="auto"/>
        </w:rPr>
      </w:pPr>
      <w:r>
        <w:rPr>
          <w:rFonts w:ascii="Arial" w:cs="Arial" w:eastAsia="Arial" w:hAnsi="Arial"/>
          <w:sz w:val="18"/>
          <w:szCs w:val="18"/>
          <w:color w:val="auto"/>
        </w:rPr>
        <w:t>Under SEC rules, the median employee is only required to be identified once every three years if there has been no change in our employee population or compensation arrangements or in the median employee’s circumstances that we reasonably believe would significantly affect our pay ratio disclosure. Because there were no such changes, we did not re-identify a new median employee for fiscal 2022, but rather used the same median employee from fiscal 2020.</w:t>
      </w:r>
    </w:p>
    <w:p>
      <w:pPr>
        <w:spacing w:after="0" w:line="66" w:lineRule="exact"/>
        <w:rPr>
          <w:sz w:val="20"/>
          <w:szCs w:val="20"/>
          <w:color w:val="auto"/>
        </w:rPr>
      </w:pPr>
    </w:p>
    <w:p>
      <w:pPr>
        <w:ind w:right="220" w:firstLine="401"/>
        <w:spacing w:after="0" w:line="253" w:lineRule="auto"/>
        <w:rPr>
          <w:sz w:val="20"/>
          <w:szCs w:val="20"/>
          <w:color w:val="auto"/>
        </w:rPr>
      </w:pPr>
      <w:r>
        <w:rPr>
          <w:rFonts w:ascii="Arial" w:cs="Arial" w:eastAsia="Arial" w:hAnsi="Arial"/>
          <w:sz w:val="18"/>
          <w:szCs w:val="18"/>
          <w:color w:val="auto"/>
        </w:rPr>
        <w:t>To determine the median employee, we identified that, as of October 31, 2020, our total employee population was 10,103, which included employees from all our subsidiaries. We identified our median employee from this population (excluding Mr. Olson) by using base salary as our consistently applied compensation measure.</w:t>
      </w:r>
    </w:p>
    <w:p>
      <w:pPr>
        <w:spacing w:after="0" w:line="61" w:lineRule="exact"/>
        <w:rPr>
          <w:sz w:val="20"/>
          <w:szCs w:val="20"/>
          <w:color w:val="auto"/>
        </w:rPr>
      </w:pPr>
    </w:p>
    <w:p>
      <w:pPr>
        <w:ind w:right="120" w:firstLine="401"/>
        <w:spacing w:after="0" w:line="244" w:lineRule="auto"/>
        <w:rPr>
          <w:sz w:val="20"/>
          <w:szCs w:val="20"/>
          <w:color w:val="auto"/>
        </w:rPr>
      </w:pPr>
      <w:r>
        <w:rPr>
          <w:rFonts w:ascii="Arial" w:cs="Arial" w:eastAsia="Arial" w:hAnsi="Arial"/>
          <w:sz w:val="18"/>
          <w:szCs w:val="18"/>
          <w:color w:val="auto"/>
        </w:rPr>
        <w:t>We calculated the annual total compensation of our median employee for fiscal 2022 using the same methodology that we used to calculate the annual total compensation of our NEOs, including Mr. Olson, for fiscal 2022, as set forth in the Summary Compensation Table. Mr. Olson’s annual total compensation for fiscal 2022, as set forth in the Summary Compensation Table, was $ 7,311,953. Annual total compensation for our median employee for fiscal 2022 was $44,122. The ratio of annual total compensation of Mr. Olson to the annual total compensation of our median employee for fiscal 2022 is 166:1.</w:t>
      </w:r>
    </w:p>
    <w:p>
      <w:pPr>
        <w:spacing w:after="0" w:line="68" w:lineRule="exact"/>
        <w:rPr>
          <w:sz w:val="20"/>
          <w:szCs w:val="20"/>
          <w:color w:val="auto"/>
        </w:rPr>
      </w:pPr>
    </w:p>
    <w:p>
      <w:pPr>
        <w:ind w:right="60" w:firstLine="401"/>
        <w:spacing w:after="0" w:line="244" w:lineRule="auto"/>
        <w:rPr>
          <w:sz w:val="20"/>
          <w:szCs w:val="20"/>
          <w:color w:val="auto"/>
        </w:rPr>
      </w:pPr>
      <w:r>
        <w:rPr>
          <w:rFonts w:ascii="Arial" w:cs="Arial" w:eastAsia="Arial" w:hAnsi="Arial"/>
          <w:sz w:val="18"/>
          <w:szCs w:val="18"/>
          <w:color w:val="auto"/>
        </w:rPr>
        <w:t>We believe the pay ratio presented above is a reasonable estimate calculated in a manner consistent with applicable SEC rules.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above.</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C00000"/>
        </w:rPr>
        <w:t>Compensation &amp; Human Resources Committee Interlocks and Insider Participation</w:t>
      </w:r>
    </w:p>
    <w:p>
      <w:pPr>
        <w:spacing w:after="0" w:line="99" w:lineRule="exact"/>
        <w:rPr>
          <w:sz w:val="20"/>
          <w:szCs w:val="20"/>
          <w:color w:val="auto"/>
        </w:rPr>
      </w:pPr>
    </w:p>
    <w:p>
      <w:pPr>
        <w:ind w:right="140" w:firstLine="401"/>
        <w:spacing w:after="0" w:line="247" w:lineRule="auto"/>
        <w:rPr>
          <w:sz w:val="20"/>
          <w:szCs w:val="20"/>
          <w:color w:val="auto"/>
        </w:rPr>
      </w:pPr>
      <w:r>
        <w:rPr>
          <w:rFonts w:ascii="Arial" w:cs="Arial" w:eastAsia="Arial" w:hAnsi="Arial"/>
          <w:sz w:val="18"/>
          <w:szCs w:val="18"/>
          <w:color w:val="auto"/>
        </w:rPr>
        <w:t>No member of the Compensation &amp; Human Resources Committee was an officer or employee of TTC during fiscal year 2022 or in any prior year, and no member of the Compensation &amp; Human Resources Committee had a relationship that would require disclosure under Item 404(a) of Regulation S-K. There were no compensation committee interlocks as described in Item 407(e)(4) of Regulation S-K during fiscal 2022 or in any prior year.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2057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STOCK OWNERSHIP</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Significant Beneficial Owners</w:t>
      </w:r>
    </w:p>
    <w:p>
      <w:pPr>
        <w:spacing w:after="0" w:line="99" w:lineRule="exact"/>
        <w:rPr>
          <w:sz w:val="20"/>
          <w:szCs w:val="20"/>
          <w:color w:val="auto"/>
        </w:rPr>
      </w:pPr>
    </w:p>
    <w:p>
      <w:pPr>
        <w:ind w:right="520" w:firstLine="401"/>
        <w:spacing w:after="0" w:line="253" w:lineRule="auto"/>
        <w:rPr>
          <w:sz w:val="20"/>
          <w:szCs w:val="20"/>
          <w:color w:val="auto"/>
        </w:rPr>
      </w:pPr>
      <w:r>
        <w:rPr>
          <w:rFonts w:ascii="Arial" w:cs="Arial" w:eastAsia="Arial" w:hAnsi="Arial"/>
          <w:sz w:val="18"/>
          <w:szCs w:val="18"/>
          <w:color w:val="auto"/>
        </w:rPr>
        <w:t>The following table sets forth information known to us as of January 20, 2023, as to entities that have reported to the SEC or have otherwise advised us that they are a beneficial owner, as defined by the SEC’s rules and regulations, of more than five percent of our outstanding common stock.</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shd w:val="clear" w:color="auto" w:fill="C00000"/>
          </w:tcPr>
          <w:p>
            <w:pPr>
              <w:spacing w:after="0"/>
              <w:rPr>
                <w:sz w:val="14"/>
                <w:szCs w:val="14"/>
                <w:color w:val="auto"/>
              </w:rPr>
            </w:pPr>
          </w:p>
        </w:tc>
        <w:tc>
          <w:tcPr>
            <w:tcW w:w="4360" w:type="dxa"/>
            <w:vAlign w:val="bottom"/>
            <w:shd w:val="clear" w:color="auto" w:fill="C00000"/>
          </w:tcPr>
          <w:p>
            <w:pPr>
              <w:ind w:left="920"/>
              <w:spacing w:after="0"/>
              <w:rPr>
                <w:sz w:val="20"/>
                <w:szCs w:val="20"/>
                <w:color w:val="auto"/>
              </w:rPr>
            </w:pPr>
            <w:r>
              <w:rPr>
                <w:rFonts w:ascii="Arial" w:cs="Arial" w:eastAsia="Arial" w:hAnsi="Arial"/>
                <w:sz w:val="14"/>
                <w:szCs w:val="14"/>
                <w:b w:val="1"/>
                <w:bCs w:val="1"/>
                <w:color w:val="FFFFFF"/>
              </w:rPr>
              <w:t>Name and Address</w:t>
            </w:r>
          </w:p>
        </w:tc>
        <w:tc>
          <w:tcPr>
            <w:tcW w:w="3560" w:type="dxa"/>
            <w:vAlign w:val="bottom"/>
            <w:shd w:val="clear" w:color="auto" w:fill="C00000"/>
          </w:tcPr>
          <w:p>
            <w:pPr>
              <w:jc w:val="center"/>
              <w:ind w:left="1191"/>
              <w:spacing w:after="0"/>
              <w:rPr>
                <w:sz w:val="20"/>
                <w:szCs w:val="20"/>
                <w:color w:val="auto"/>
              </w:rPr>
            </w:pPr>
            <w:r>
              <w:rPr>
                <w:rFonts w:ascii="Arial" w:cs="Arial" w:eastAsia="Arial" w:hAnsi="Arial"/>
                <w:sz w:val="14"/>
                <w:szCs w:val="14"/>
                <w:b w:val="1"/>
                <w:bCs w:val="1"/>
                <w:color w:val="FFFFFF"/>
              </w:rPr>
              <w:t>Amount and Nature</w:t>
            </w:r>
          </w:p>
        </w:tc>
        <w:tc>
          <w:tcPr>
            <w:tcW w:w="13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Percent</w:t>
            </w:r>
          </w:p>
        </w:tc>
      </w:tr>
      <w:tr>
        <w:trPr>
          <w:trHeight w:val="177"/>
        </w:trPr>
        <w:tc>
          <w:tcPr>
            <w:tcW w:w="202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Title of Class</w:t>
            </w:r>
          </w:p>
        </w:tc>
        <w:tc>
          <w:tcPr>
            <w:tcW w:w="4360" w:type="dxa"/>
            <w:vAlign w:val="bottom"/>
            <w:shd w:val="clear" w:color="auto" w:fill="C00000"/>
          </w:tcPr>
          <w:p>
            <w:pPr>
              <w:ind w:left="920"/>
              <w:spacing w:after="0"/>
              <w:rPr>
                <w:sz w:val="20"/>
                <w:szCs w:val="20"/>
                <w:color w:val="auto"/>
              </w:rPr>
            </w:pPr>
            <w:r>
              <w:rPr>
                <w:rFonts w:ascii="Arial" w:cs="Arial" w:eastAsia="Arial" w:hAnsi="Arial"/>
                <w:sz w:val="14"/>
                <w:szCs w:val="14"/>
                <w:b w:val="1"/>
                <w:bCs w:val="1"/>
                <w:color w:val="FFFFFF"/>
              </w:rPr>
              <w:t>of Beneficial Owner</w:t>
            </w:r>
          </w:p>
        </w:tc>
        <w:tc>
          <w:tcPr>
            <w:tcW w:w="3560" w:type="dxa"/>
            <w:vAlign w:val="bottom"/>
            <w:shd w:val="clear" w:color="auto" w:fill="C00000"/>
          </w:tcPr>
          <w:p>
            <w:pPr>
              <w:jc w:val="center"/>
              <w:ind w:left="1211"/>
              <w:spacing w:after="0"/>
              <w:rPr>
                <w:sz w:val="20"/>
                <w:szCs w:val="20"/>
                <w:color w:val="auto"/>
              </w:rPr>
            </w:pPr>
            <w:r>
              <w:rPr>
                <w:rFonts w:ascii="Arial" w:cs="Arial" w:eastAsia="Arial" w:hAnsi="Arial"/>
                <w:sz w:val="14"/>
                <w:szCs w:val="14"/>
                <w:b w:val="1"/>
                <w:bCs w:val="1"/>
                <w:color w:val="FFFFFF"/>
              </w:rPr>
              <w:t>of Beneficial Ownership</w:t>
            </w:r>
          </w:p>
        </w:tc>
        <w:tc>
          <w:tcPr>
            <w:tcW w:w="1300" w:type="dxa"/>
            <w:vAlign w:val="bottom"/>
            <w:shd w:val="clear" w:color="auto" w:fill="C00000"/>
          </w:tcPr>
          <w:p>
            <w:pPr>
              <w:jc w:val="center"/>
              <w:spacing w:after="0" w:line="177" w:lineRule="exact"/>
              <w:rPr>
                <w:sz w:val="20"/>
                <w:szCs w:val="20"/>
                <w:color w:val="auto"/>
              </w:rPr>
            </w:pPr>
            <w:r>
              <w:rPr>
                <w:rFonts w:ascii="Arial" w:cs="Arial" w:eastAsia="Arial" w:hAnsi="Arial"/>
                <w:sz w:val="12"/>
                <w:szCs w:val="12"/>
                <w:b w:val="1"/>
                <w:bCs w:val="1"/>
                <w:color w:val="FFFFFF"/>
              </w:rPr>
              <w:t>of Class</w:t>
            </w:r>
            <w:r>
              <w:rPr>
                <w:rFonts w:ascii="Arial" w:cs="Arial" w:eastAsia="Arial" w:hAnsi="Arial"/>
                <w:sz w:val="20"/>
                <w:szCs w:val="20"/>
                <w:b w:val="1"/>
                <w:bCs w:val="1"/>
                <w:color w:val="FFFFFF"/>
                <w:vertAlign w:val="superscript"/>
              </w:rPr>
              <w:t>(1)</w:t>
            </w:r>
          </w:p>
        </w:tc>
      </w:tr>
      <w:tr>
        <w:trPr>
          <w:trHeight w:val="188"/>
        </w:trPr>
        <w:tc>
          <w:tcPr>
            <w:tcW w:w="2020" w:type="dxa"/>
            <w:vAlign w:val="bottom"/>
          </w:tcPr>
          <w:p>
            <w:pPr>
              <w:spacing w:after="0"/>
              <w:rPr>
                <w:sz w:val="20"/>
                <w:szCs w:val="20"/>
                <w:color w:val="auto"/>
              </w:rPr>
            </w:pPr>
            <w:r>
              <w:rPr>
                <w:rFonts w:ascii="Arial" w:cs="Arial" w:eastAsia="Arial" w:hAnsi="Arial"/>
                <w:sz w:val="16"/>
                <w:szCs w:val="16"/>
                <w:color w:val="auto"/>
              </w:rPr>
              <w:t>Common Stock</w:t>
            </w:r>
          </w:p>
        </w:tc>
        <w:tc>
          <w:tcPr>
            <w:tcW w:w="4360" w:type="dxa"/>
            <w:vAlign w:val="bottom"/>
          </w:tcPr>
          <w:p>
            <w:pPr>
              <w:ind w:left="920"/>
              <w:spacing w:after="0"/>
              <w:rPr>
                <w:sz w:val="20"/>
                <w:szCs w:val="20"/>
                <w:color w:val="auto"/>
              </w:rPr>
            </w:pPr>
            <w:r>
              <w:rPr>
                <w:rFonts w:ascii="Arial" w:cs="Arial" w:eastAsia="Arial" w:hAnsi="Arial"/>
                <w:sz w:val="16"/>
                <w:szCs w:val="16"/>
                <w:color w:val="auto"/>
              </w:rPr>
              <w:t>The Vanguard Group, Inc.</w:t>
            </w:r>
          </w:p>
        </w:tc>
        <w:tc>
          <w:tcPr>
            <w:tcW w:w="3560" w:type="dxa"/>
            <w:vAlign w:val="bottom"/>
          </w:tcPr>
          <w:p>
            <w:pPr>
              <w:jc w:val="center"/>
              <w:ind w:left="1191"/>
              <w:spacing w:after="0" w:line="189" w:lineRule="exact"/>
              <w:rPr>
                <w:sz w:val="20"/>
                <w:szCs w:val="20"/>
                <w:color w:val="auto"/>
              </w:rPr>
            </w:pPr>
            <w:r>
              <w:rPr>
                <w:rFonts w:ascii="Arial" w:cs="Arial" w:eastAsia="Arial" w:hAnsi="Arial"/>
                <w:sz w:val="13"/>
                <w:szCs w:val="13"/>
                <w:color w:val="auto"/>
              </w:rPr>
              <w:t>10,324,741</w:t>
            </w:r>
            <w:r>
              <w:rPr>
                <w:rFonts w:ascii="Arial" w:cs="Arial" w:eastAsia="Arial" w:hAnsi="Arial"/>
                <w:sz w:val="21"/>
                <w:szCs w:val="21"/>
                <w:color w:val="auto"/>
                <w:vertAlign w:val="superscript"/>
              </w:rPr>
              <w:t>(2)</w:t>
            </w:r>
          </w:p>
        </w:tc>
        <w:tc>
          <w:tcPr>
            <w:tcW w:w="1300" w:type="dxa"/>
            <w:vAlign w:val="bottom"/>
          </w:tcPr>
          <w:p>
            <w:pPr>
              <w:jc w:val="center"/>
              <w:spacing w:after="0"/>
              <w:rPr>
                <w:sz w:val="20"/>
                <w:szCs w:val="20"/>
                <w:color w:val="auto"/>
              </w:rPr>
            </w:pPr>
            <w:r>
              <w:rPr>
                <w:rFonts w:ascii="Arial" w:cs="Arial" w:eastAsia="Arial" w:hAnsi="Arial"/>
                <w:sz w:val="16"/>
                <w:szCs w:val="16"/>
                <w:color w:val="auto"/>
              </w:rPr>
              <w:t>9.86%</w:t>
            </w:r>
          </w:p>
        </w:tc>
      </w:tr>
      <w:tr>
        <w:trPr>
          <w:trHeight w:val="189"/>
        </w:trPr>
        <w:tc>
          <w:tcPr>
            <w:tcW w:w="2020" w:type="dxa"/>
            <w:vAlign w:val="bottom"/>
          </w:tcPr>
          <w:p>
            <w:pPr>
              <w:spacing w:after="0"/>
              <w:rPr>
                <w:sz w:val="16"/>
                <w:szCs w:val="16"/>
                <w:color w:val="auto"/>
              </w:rPr>
            </w:pPr>
          </w:p>
        </w:tc>
        <w:tc>
          <w:tcPr>
            <w:tcW w:w="4360" w:type="dxa"/>
            <w:vAlign w:val="bottom"/>
          </w:tcPr>
          <w:p>
            <w:pPr>
              <w:ind w:left="920"/>
              <w:spacing w:after="0"/>
              <w:rPr>
                <w:sz w:val="20"/>
                <w:szCs w:val="20"/>
                <w:color w:val="auto"/>
              </w:rPr>
            </w:pPr>
            <w:r>
              <w:rPr>
                <w:rFonts w:ascii="Arial" w:cs="Arial" w:eastAsia="Arial" w:hAnsi="Arial"/>
                <w:sz w:val="16"/>
                <w:szCs w:val="16"/>
                <w:color w:val="auto"/>
              </w:rPr>
              <w:t>100 Vanguard Blvd.</w:t>
            </w:r>
          </w:p>
        </w:tc>
        <w:tc>
          <w:tcPr>
            <w:tcW w:w="35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3"/>
        </w:trPr>
        <w:tc>
          <w:tcPr>
            <w:tcW w:w="2020" w:type="dxa"/>
            <w:vAlign w:val="bottom"/>
          </w:tcPr>
          <w:p>
            <w:pPr>
              <w:spacing w:after="0"/>
              <w:rPr>
                <w:sz w:val="17"/>
                <w:szCs w:val="17"/>
                <w:color w:val="auto"/>
              </w:rPr>
            </w:pPr>
          </w:p>
        </w:tc>
        <w:tc>
          <w:tcPr>
            <w:tcW w:w="4360" w:type="dxa"/>
            <w:vAlign w:val="bottom"/>
          </w:tcPr>
          <w:p>
            <w:pPr>
              <w:ind w:left="920"/>
              <w:spacing w:after="0"/>
              <w:rPr>
                <w:sz w:val="20"/>
                <w:szCs w:val="20"/>
                <w:color w:val="auto"/>
              </w:rPr>
            </w:pPr>
            <w:r>
              <w:rPr>
                <w:rFonts w:ascii="Arial" w:cs="Arial" w:eastAsia="Arial" w:hAnsi="Arial"/>
                <w:sz w:val="16"/>
                <w:szCs w:val="16"/>
                <w:color w:val="auto"/>
              </w:rPr>
              <w:t>Malvern, PA 19355</w:t>
            </w:r>
          </w:p>
        </w:tc>
        <w:tc>
          <w:tcPr>
            <w:tcW w:w="35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88"/>
        </w:trPr>
        <w:tc>
          <w:tcPr>
            <w:tcW w:w="2020" w:type="dxa"/>
            <w:vAlign w:val="bottom"/>
            <w:shd w:val="clear" w:color="auto" w:fill="D9D9D9"/>
          </w:tcPr>
          <w:p>
            <w:pPr>
              <w:spacing w:after="0"/>
              <w:rPr>
                <w:sz w:val="20"/>
                <w:szCs w:val="20"/>
                <w:color w:val="auto"/>
              </w:rPr>
            </w:pPr>
            <w:r>
              <w:rPr>
                <w:rFonts w:ascii="Arial" w:cs="Arial" w:eastAsia="Arial" w:hAnsi="Arial"/>
                <w:sz w:val="16"/>
                <w:szCs w:val="16"/>
                <w:color w:val="auto"/>
              </w:rPr>
              <w:t>Common Stock</w:t>
            </w:r>
          </w:p>
        </w:tc>
        <w:tc>
          <w:tcPr>
            <w:tcW w:w="4360" w:type="dxa"/>
            <w:vAlign w:val="bottom"/>
            <w:shd w:val="clear" w:color="auto" w:fill="D9D9D9"/>
          </w:tcPr>
          <w:p>
            <w:pPr>
              <w:ind w:left="920"/>
              <w:spacing w:after="0"/>
              <w:rPr>
                <w:sz w:val="20"/>
                <w:szCs w:val="20"/>
                <w:color w:val="auto"/>
              </w:rPr>
            </w:pPr>
            <w:r>
              <w:rPr>
                <w:rFonts w:ascii="Arial" w:cs="Arial" w:eastAsia="Arial" w:hAnsi="Arial"/>
                <w:sz w:val="16"/>
                <w:szCs w:val="16"/>
                <w:color w:val="auto"/>
              </w:rPr>
              <w:t>BlackRock, Inc.</w:t>
            </w:r>
          </w:p>
        </w:tc>
        <w:tc>
          <w:tcPr>
            <w:tcW w:w="3560" w:type="dxa"/>
            <w:vAlign w:val="bottom"/>
            <w:shd w:val="clear" w:color="auto" w:fill="D9D9D9"/>
          </w:tcPr>
          <w:p>
            <w:pPr>
              <w:jc w:val="center"/>
              <w:ind w:left="1211"/>
              <w:spacing w:after="0" w:line="189" w:lineRule="exact"/>
              <w:rPr>
                <w:sz w:val="20"/>
                <w:szCs w:val="20"/>
                <w:color w:val="auto"/>
              </w:rPr>
            </w:pPr>
            <w:r>
              <w:rPr>
                <w:rFonts w:ascii="Arial" w:cs="Arial" w:eastAsia="Arial" w:hAnsi="Arial"/>
                <w:sz w:val="13"/>
                <w:szCs w:val="13"/>
                <w:color w:val="auto"/>
              </w:rPr>
              <w:t>9,331,589</w:t>
            </w:r>
            <w:r>
              <w:rPr>
                <w:rFonts w:ascii="Arial" w:cs="Arial" w:eastAsia="Arial" w:hAnsi="Arial"/>
                <w:sz w:val="21"/>
                <w:szCs w:val="21"/>
                <w:color w:val="auto"/>
                <w:vertAlign w:val="superscript"/>
              </w:rPr>
              <w:t>(3)</w:t>
            </w:r>
          </w:p>
        </w:tc>
        <w:tc>
          <w:tcPr>
            <w:tcW w:w="130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8.91%</w:t>
            </w:r>
          </w:p>
        </w:tc>
      </w:tr>
      <w:tr>
        <w:trPr>
          <w:trHeight w:val="189"/>
        </w:trPr>
        <w:tc>
          <w:tcPr>
            <w:tcW w:w="2020" w:type="dxa"/>
            <w:vAlign w:val="bottom"/>
            <w:shd w:val="clear" w:color="auto" w:fill="D9D9D9"/>
          </w:tcPr>
          <w:p>
            <w:pPr>
              <w:spacing w:after="0"/>
              <w:rPr>
                <w:sz w:val="16"/>
                <w:szCs w:val="16"/>
                <w:color w:val="auto"/>
              </w:rPr>
            </w:pPr>
          </w:p>
        </w:tc>
        <w:tc>
          <w:tcPr>
            <w:tcW w:w="4360" w:type="dxa"/>
            <w:vAlign w:val="bottom"/>
            <w:shd w:val="clear" w:color="auto" w:fill="D9D9D9"/>
          </w:tcPr>
          <w:p>
            <w:pPr>
              <w:ind w:left="920"/>
              <w:spacing w:after="0"/>
              <w:rPr>
                <w:sz w:val="20"/>
                <w:szCs w:val="20"/>
                <w:color w:val="auto"/>
              </w:rPr>
            </w:pPr>
            <w:r>
              <w:rPr>
                <w:rFonts w:ascii="Arial" w:cs="Arial" w:eastAsia="Arial" w:hAnsi="Arial"/>
                <w:sz w:val="16"/>
                <w:szCs w:val="16"/>
                <w:color w:val="auto"/>
              </w:rPr>
              <w:t>55 East 52nd St.</w:t>
            </w:r>
          </w:p>
        </w:tc>
        <w:tc>
          <w:tcPr>
            <w:tcW w:w="3560" w:type="dxa"/>
            <w:vAlign w:val="bottom"/>
            <w:shd w:val="clear" w:color="auto" w:fill="D9D9D9"/>
          </w:tcPr>
          <w:p>
            <w:pPr>
              <w:spacing w:after="0"/>
              <w:rPr>
                <w:sz w:val="16"/>
                <w:szCs w:val="16"/>
                <w:color w:val="auto"/>
              </w:rPr>
            </w:pPr>
          </w:p>
        </w:tc>
        <w:tc>
          <w:tcPr>
            <w:tcW w:w="1300" w:type="dxa"/>
            <w:vAlign w:val="bottom"/>
            <w:shd w:val="clear" w:color="auto" w:fill="D9D9D9"/>
          </w:tcPr>
          <w:p>
            <w:pPr>
              <w:spacing w:after="0"/>
              <w:rPr>
                <w:sz w:val="16"/>
                <w:szCs w:val="16"/>
                <w:color w:val="auto"/>
              </w:rPr>
            </w:pPr>
          </w:p>
        </w:tc>
      </w:tr>
      <w:tr>
        <w:trPr>
          <w:trHeight w:val="203"/>
        </w:trPr>
        <w:tc>
          <w:tcPr>
            <w:tcW w:w="2020" w:type="dxa"/>
            <w:vAlign w:val="bottom"/>
            <w:shd w:val="clear" w:color="auto" w:fill="D9D9D9"/>
          </w:tcPr>
          <w:p>
            <w:pPr>
              <w:spacing w:after="0"/>
              <w:rPr>
                <w:sz w:val="17"/>
                <w:szCs w:val="17"/>
                <w:color w:val="auto"/>
              </w:rPr>
            </w:pPr>
          </w:p>
        </w:tc>
        <w:tc>
          <w:tcPr>
            <w:tcW w:w="4360" w:type="dxa"/>
            <w:vAlign w:val="bottom"/>
            <w:shd w:val="clear" w:color="auto" w:fill="D9D9D9"/>
          </w:tcPr>
          <w:p>
            <w:pPr>
              <w:ind w:left="920"/>
              <w:spacing w:after="0"/>
              <w:rPr>
                <w:sz w:val="20"/>
                <w:szCs w:val="20"/>
                <w:color w:val="auto"/>
              </w:rPr>
            </w:pPr>
            <w:r>
              <w:rPr>
                <w:rFonts w:ascii="Arial" w:cs="Arial" w:eastAsia="Arial" w:hAnsi="Arial"/>
                <w:sz w:val="16"/>
                <w:szCs w:val="16"/>
                <w:color w:val="auto"/>
              </w:rPr>
              <w:t>New York, NY 10055</w:t>
            </w:r>
          </w:p>
        </w:tc>
        <w:tc>
          <w:tcPr>
            <w:tcW w:w="3560" w:type="dxa"/>
            <w:vAlign w:val="bottom"/>
            <w:shd w:val="clear" w:color="auto" w:fill="D9D9D9"/>
          </w:tcPr>
          <w:p>
            <w:pPr>
              <w:spacing w:after="0"/>
              <w:rPr>
                <w:sz w:val="17"/>
                <w:szCs w:val="17"/>
                <w:color w:val="auto"/>
              </w:rPr>
            </w:pPr>
          </w:p>
        </w:tc>
        <w:tc>
          <w:tcPr>
            <w:tcW w:w="1300" w:type="dxa"/>
            <w:vAlign w:val="bottom"/>
            <w:shd w:val="clear" w:color="auto" w:fill="D9D9D9"/>
          </w:tcPr>
          <w:p>
            <w:pPr>
              <w:spacing w:after="0"/>
              <w:rPr>
                <w:sz w:val="17"/>
                <w:szCs w:val="17"/>
                <w:color w:val="auto"/>
              </w:rPr>
            </w:pPr>
          </w:p>
        </w:tc>
      </w:tr>
      <w:tr>
        <w:trPr>
          <w:trHeight w:val="188"/>
        </w:trPr>
        <w:tc>
          <w:tcPr>
            <w:tcW w:w="2020" w:type="dxa"/>
            <w:vAlign w:val="bottom"/>
          </w:tcPr>
          <w:p>
            <w:pPr>
              <w:spacing w:after="0"/>
              <w:rPr>
                <w:sz w:val="20"/>
                <w:szCs w:val="20"/>
                <w:color w:val="auto"/>
              </w:rPr>
            </w:pPr>
            <w:r>
              <w:rPr>
                <w:rFonts w:ascii="Arial" w:cs="Arial" w:eastAsia="Arial" w:hAnsi="Arial"/>
                <w:sz w:val="16"/>
                <w:szCs w:val="16"/>
                <w:color w:val="auto"/>
              </w:rPr>
              <w:t>Common Stock</w:t>
            </w:r>
          </w:p>
        </w:tc>
        <w:tc>
          <w:tcPr>
            <w:tcW w:w="4360" w:type="dxa"/>
            <w:vAlign w:val="bottom"/>
          </w:tcPr>
          <w:p>
            <w:pPr>
              <w:ind w:left="920"/>
              <w:spacing w:after="0"/>
              <w:rPr>
                <w:sz w:val="20"/>
                <w:szCs w:val="20"/>
                <w:color w:val="auto"/>
              </w:rPr>
            </w:pPr>
            <w:r>
              <w:rPr>
                <w:rFonts w:ascii="Arial" w:cs="Arial" w:eastAsia="Arial" w:hAnsi="Arial"/>
                <w:sz w:val="16"/>
                <w:szCs w:val="16"/>
                <w:color w:val="auto"/>
              </w:rPr>
              <w:t>Select Equity Group, L.P.</w:t>
            </w:r>
          </w:p>
        </w:tc>
        <w:tc>
          <w:tcPr>
            <w:tcW w:w="3560" w:type="dxa"/>
            <w:vAlign w:val="bottom"/>
          </w:tcPr>
          <w:p>
            <w:pPr>
              <w:jc w:val="center"/>
              <w:ind w:left="1211"/>
              <w:spacing w:after="0" w:line="189" w:lineRule="exact"/>
              <w:rPr>
                <w:sz w:val="20"/>
                <w:szCs w:val="20"/>
                <w:color w:val="auto"/>
              </w:rPr>
            </w:pPr>
            <w:r>
              <w:rPr>
                <w:rFonts w:ascii="Arial" w:cs="Arial" w:eastAsia="Arial" w:hAnsi="Arial"/>
                <w:sz w:val="13"/>
                <w:szCs w:val="13"/>
                <w:color w:val="auto"/>
              </w:rPr>
              <w:t>5,942,003</w:t>
            </w:r>
            <w:r>
              <w:rPr>
                <w:rFonts w:ascii="Arial" w:cs="Arial" w:eastAsia="Arial" w:hAnsi="Arial"/>
                <w:sz w:val="21"/>
                <w:szCs w:val="21"/>
                <w:color w:val="auto"/>
                <w:vertAlign w:val="superscript"/>
              </w:rPr>
              <w:t>(4)</w:t>
            </w:r>
          </w:p>
        </w:tc>
        <w:tc>
          <w:tcPr>
            <w:tcW w:w="1300" w:type="dxa"/>
            <w:vAlign w:val="bottom"/>
          </w:tcPr>
          <w:p>
            <w:pPr>
              <w:jc w:val="center"/>
              <w:spacing w:after="0"/>
              <w:rPr>
                <w:sz w:val="20"/>
                <w:szCs w:val="20"/>
                <w:color w:val="auto"/>
              </w:rPr>
            </w:pPr>
            <w:r>
              <w:rPr>
                <w:rFonts w:ascii="Arial" w:cs="Arial" w:eastAsia="Arial" w:hAnsi="Arial"/>
                <w:sz w:val="16"/>
                <w:szCs w:val="16"/>
                <w:color w:val="auto"/>
              </w:rPr>
              <w:t>5.68%</w:t>
            </w:r>
          </w:p>
        </w:tc>
      </w:tr>
      <w:tr>
        <w:trPr>
          <w:trHeight w:val="189"/>
        </w:trPr>
        <w:tc>
          <w:tcPr>
            <w:tcW w:w="2020" w:type="dxa"/>
            <w:vAlign w:val="bottom"/>
          </w:tcPr>
          <w:p>
            <w:pPr>
              <w:spacing w:after="0"/>
              <w:rPr>
                <w:sz w:val="16"/>
                <w:szCs w:val="16"/>
                <w:color w:val="auto"/>
              </w:rPr>
            </w:pPr>
          </w:p>
        </w:tc>
        <w:tc>
          <w:tcPr>
            <w:tcW w:w="4360" w:type="dxa"/>
            <w:vAlign w:val="bottom"/>
          </w:tcPr>
          <w:p>
            <w:pPr>
              <w:ind w:left="920"/>
              <w:spacing w:after="0"/>
              <w:rPr>
                <w:sz w:val="20"/>
                <w:szCs w:val="20"/>
                <w:color w:val="auto"/>
              </w:rPr>
            </w:pPr>
            <w:r>
              <w:rPr>
                <w:rFonts w:ascii="Arial" w:cs="Arial" w:eastAsia="Arial" w:hAnsi="Arial"/>
                <w:sz w:val="16"/>
                <w:szCs w:val="16"/>
                <w:color w:val="auto"/>
              </w:rPr>
              <w:t>380 Lafayette St.</w:t>
            </w:r>
          </w:p>
        </w:tc>
        <w:tc>
          <w:tcPr>
            <w:tcW w:w="35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5"/>
        </w:trPr>
        <w:tc>
          <w:tcPr>
            <w:tcW w:w="2020" w:type="dxa"/>
            <w:vAlign w:val="bottom"/>
          </w:tcPr>
          <w:p>
            <w:pPr>
              <w:spacing w:after="0"/>
              <w:rPr>
                <w:sz w:val="18"/>
                <w:szCs w:val="18"/>
                <w:color w:val="auto"/>
              </w:rPr>
            </w:pPr>
          </w:p>
        </w:tc>
        <w:tc>
          <w:tcPr>
            <w:tcW w:w="4360" w:type="dxa"/>
            <w:vAlign w:val="bottom"/>
          </w:tcPr>
          <w:p>
            <w:pPr>
              <w:ind w:left="920"/>
              <w:spacing w:after="0"/>
              <w:rPr>
                <w:sz w:val="20"/>
                <w:szCs w:val="20"/>
                <w:color w:val="auto"/>
              </w:rPr>
            </w:pPr>
            <w:r>
              <w:rPr>
                <w:rFonts w:ascii="Arial" w:cs="Arial" w:eastAsia="Arial" w:hAnsi="Arial"/>
                <w:sz w:val="16"/>
                <w:szCs w:val="16"/>
                <w:color w:val="auto"/>
              </w:rPr>
              <w:t>New York, NY 10003</w:t>
            </w:r>
          </w:p>
        </w:tc>
        <w:tc>
          <w:tcPr>
            <w:tcW w:w="3560" w:type="dxa"/>
            <w:vAlign w:val="bottom"/>
          </w:tcPr>
          <w:p>
            <w:pPr>
              <w:spacing w:after="0"/>
              <w:rPr>
                <w:sz w:val="18"/>
                <w:szCs w:val="18"/>
                <w:color w:val="auto"/>
              </w:rPr>
            </w:pPr>
          </w:p>
        </w:tc>
        <w:tc>
          <w:tcPr>
            <w:tcW w:w="13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204025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125" w:lineRule="exact"/>
        <w:rPr>
          <w:sz w:val="20"/>
          <w:szCs w:val="20"/>
          <w:color w:val="auto"/>
        </w:rPr>
      </w:pPr>
    </w:p>
    <w:p>
      <w:pPr>
        <w:ind w:left="400" w:hanging="392"/>
        <w:spacing w:after="0"/>
        <w:tabs>
          <w:tab w:leader="none" w:pos="4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Percent of class is based on 104,678,026 shares outstanding as of January 20, 2023.</w:t>
      </w:r>
    </w:p>
    <w:p>
      <w:pPr>
        <w:spacing w:after="0" w:line="49" w:lineRule="exact"/>
        <w:rPr>
          <w:rFonts w:ascii="Arial" w:cs="Arial" w:eastAsia="Arial" w:hAnsi="Arial"/>
          <w:sz w:val="18"/>
          <w:szCs w:val="18"/>
          <w:color w:val="auto"/>
        </w:rPr>
      </w:pPr>
    </w:p>
    <w:p>
      <w:pPr>
        <w:ind w:left="400" w:right="60" w:hanging="392"/>
        <w:spacing w:after="0" w:line="244" w:lineRule="auto"/>
        <w:tabs>
          <w:tab w:leader="none" w:pos="4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solely on information contained in the most recently filed Schedule 13F of The Vanguard Group, Inc., an investment adviser, filed with the SEC on November 14, 2022, reflecting beneficial ownership as of September 30, 2022, with sole investment discretion but no voting authority with respect to 10,178,547 shares, shared investment discretion and shared voting authority with respect to 46,093 shares, and shared investment discretion but no voting authority with respect to 100,101 shares. The Vanguard Group, Inc. does not have sole voting authority over any of the shares.</w:t>
      </w:r>
    </w:p>
    <w:p>
      <w:pPr>
        <w:spacing w:after="0" w:line="14" w:lineRule="exact"/>
        <w:rPr>
          <w:rFonts w:ascii="Arial" w:cs="Arial" w:eastAsia="Arial" w:hAnsi="Arial"/>
          <w:sz w:val="18"/>
          <w:szCs w:val="18"/>
          <w:color w:val="auto"/>
        </w:rPr>
      </w:pPr>
    </w:p>
    <w:p>
      <w:pPr>
        <w:ind w:left="400" w:hanging="392"/>
        <w:spacing w:after="0" w:line="241" w:lineRule="auto"/>
        <w:tabs>
          <w:tab w:leader="none" w:pos="4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solely on information contained in the most recently filed Schedule 13G/A of BlackRock, Inc., a parent holding company, filed with the SEC on January 25, 2023, reflecting beneficial ownership as of December 31 30, 2022, with sole investment discretion with respect to all such shares, sole voting authority with respect to 9,124,702 shares, and no voting authority with respect 206,887 shares.</w:t>
      </w:r>
    </w:p>
    <w:p>
      <w:pPr>
        <w:spacing w:after="0" w:line="1"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BlackRock, Inc. does not have shared voting authority over any of the shares.</w:t>
      </w:r>
    </w:p>
    <w:p>
      <w:pPr>
        <w:spacing w:after="0" w:line="31" w:lineRule="exact"/>
        <w:rPr>
          <w:rFonts w:ascii="Arial" w:cs="Arial" w:eastAsia="Arial" w:hAnsi="Arial"/>
          <w:sz w:val="18"/>
          <w:szCs w:val="18"/>
          <w:color w:val="auto"/>
        </w:rPr>
      </w:pPr>
    </w:p>
    <w:p>
      <w:pPr>
        <w:ind w:left="400" w:right="100" w:hanging="392"/>
        <w:spacing w:after="0" w:line="247" w:lineRule="auto"/>
        <w:tabs>
          <w:tab w:leader="none" w:pos="4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solely on information contained in the most recently filed Schedule 13F of Select Equity Group, L.P., an investment adviser and parent holding company, filed with the SEC on November 14, 2022, reflecting beneficial ownership as of September 30, 2022, with sole investment discretion with respect to all such shares, sole voting authority with respect to 5,751,317 shares and no voting authority with respect to 190,686 shares.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EE"/>
        </w:rPr>
        <w:t>Table of Contents</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Directors and Executive Officers</w:t>
      </w:r>
    </w:p>
    <w:p>
      <w:pPr>
        <w:spacing w:after="0" w:line="99" w:lineRule="exact"/>
        <w:rPr>
          <w:sz w:val="20"/>
          <w:szCs w:val="20"/>
          <w:color w:val="auto"/>
        </w:rPr>
      </w:pPr>
    </w:p>
    <w:p>
      <w:pPr>
        <w:jc w:val="both"/>
        <w:ind w:right="140" w:firstLine="401"/>
        <w:spacing w:after="0" w:line="247" w:lineRule="auto"/>
        <w:rPr>
          <w:sz w:val="20"/>
          <w:szCs w:val="20"/>
          <w:color w:val="auto"/>
        </w:rPr>
      </w:pPr>
      <w:r>
        <w:rPr>
          <w:rFonts w:ascii="Arial" w:cs="Arial" w:eastAsia="Arial" w:hAnsi="Arial"/>
          <w:sz w:val="18"/>
          <w:szCs w:val="18"/>
          <w:color w:val="auto"/>
        </w:rPr>
        <w:t>The following table sets forth information known to us regarding the beneficial ownership of our common stock as of January 20, 2023, by (i) each of our current non-employee directors, (ii) individuals who served as our “principal executive officer” or “principal financial officer” during fiscal 2022 and the next three most highly compensated executive officers named in the “Summary Compensation Table,” and (iii) all current non-employee directors and executive officers as a group.</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680" w:type="dxa"/>
            <w:vAlign w:val="bottom"/>
            <w:shd w:val="clear" w:color="auto" w:fill="C00000"/>
          </w:tcPr>
          <w:p>
            <w:pPr>
              <w:spacing w:after="0"/>
              <w:rPr>
                <w:sz w:val="14"/>
                <w:szCs w:val="14"/>
                <w:color w:val="auto"/>
              </w:rPr>
            </w:pPr>
          </w:p>
        </w:tc>
        <w:tc>
          <w:tcPr>
            <w:tcW w:w="4280" w:type="dxa"/>
            <w:vAlign w:val="bottom"/>
            <w:shd w:val="clear" w:color="auto" w:fill="C00000"/>
          </w:tcPr>
          <w:p>
            <w:pPr>
              <w:spacing w:after="0"/>
              <w:rPr>
                <w:sz w:val="14"/>
                <w:szCs w:val="14"/>
                <w:color w:val="auto"/>
              </w:rPr>
            </w:pPr>
          </w:p>
        </w:tc>
        <w:tc>
          <w:tcPr>
            <w:tcW w:w="3720" w:type="dxa"/>
            <w:vAlign w:val="bottom"/>
            <w:shd w:val="clear" w:color="auto" w:fill="C00000"/>
          </w:tcPr>
          <w:p>
            <w:pPr>
              <w:jc w:val="center"/>
              <w:ind w:left="981"/>
              <w:spacing w:after="0"/>
              <w:rPr>
                <w:sz w:val="20"/>
                <w:szCs w:val="20"/>
                <w:color w:val="auto"/>
              </w:rPr>
            </w:pPr>
            <w:r>
              <w:rPr>
                <w:rFonts w:ascii="Arial" w:cs="Arial" w:eastAsia="Arial" w:hAnsi="Arial"/>
                <w:sz w:val="14"/>
                <w:szCs w:val="14"/>
                <w:b w:val="1"/>
                <w:bCs w:val="1"/>
                <w:color w:val="FFFFFF"/>
              </w:rPr>
              <w:t>Amount and Nature of</w:t>
            </w:r>
          </w:p>
        </w:tc>
        <w:tc>
          <w:tcPr>
            <w:tcW w:w="1560" w:type="dxa"/>
            <w:vAlign w:val="bottom"/>
            <w:vMerge w:val="restart"/>
            <w:shd w:val="clear" w:color="auto" w:fill="C00000"/>
          </w:tcPr>
          <w:p>
            <w:pPr>
              <w:jc w:val="center"/>
              <w:ind w:right="100"/>
              <w:spacing w:after="0"/>
              <w:rPr>
                <w:sz w:val="20"/>
                <w:szCs w:val="20"/>
                <w:color w:val="auto"/>
              </w:rPr>
            </w:pPr>
            <w:r>
              <w:rPr>
                <w:rFonts w:ascii="Arial" w:cs="Arial" w:eastAsia="Arial" w:hAnsi="Arial"/>
                <w:sz w:val="14"/>
                <w:szCs w:val="14"/>
                <w:b w:val="1"/>
                <w:bCs w:val="1"/>
                <w:color w:val="FFFFFF"/>
              </w:rPr>
              <w:t>Percent of</w:t>
            </w:r>
          </w:p>
        </w:tc>
        <w:tc>
          <w:tcPr>
            <w:tcW w:w="0" w:type="dxa"/>
            <w:vAlign w:val="bottom"/>
          </w:tcPr>
          <w:p>
            <w:pPr>
              <w:spacing w:after="0"/>
              <w:rPr>
                <w:sz w:val="1"/>
                <w:szCs w:val="1"/>
                <w:color w:val="auto"/>
              </w:rPr>
            </w:pPr>
          </w:p>
        </w:tc>
      </w:tr>
      <w:tr>
        <w:trPr>
          <w:trHeight w:val="144"/>
        </w:trPr>
        <w:tc>
          <w:tcPr>
            <w:tcW w:w="1680" w:type="dxa"/>
            <w:vAlign w:val="bottom"/>
            <w:vMerge w:val="restart"/>
            <w:shd w:val="clear" w:color="auto" w:fill="C00000"/>
          </w:tcPr>
          <w:p>
            <w:pPr>
              <w:spacing w:after="0"/>
              <w:rPr>
                <w:sz w:val="20"/>
                <w:szCs w:val="20"/>
                <w:color w:val="auto"/>
              </w:rPr>
            </w:pPr>
            <w:r>
              <w:rPr>
                <w:rFonts w:ascii="Arial" w:cs="Arial" w:eastAsia="Arial" w:hAnsi="Arial"/>
                <w:sz w:val="14"/>
                <w:szCs w:val="14"/>
                <w:b w:val="1"/>
                <w:bCs w:val="1"/>
                <w:color w:val="FFFFFF"/>
              </w:rPr>
              <w:t>Title of Class</w:t>
            </w:r>
          </w:p>
        </w:tc>
        <w:tc>
          <w:tcPr>
            <w:tcW w:w="4280" w:type="dxa"/>
            <w:vAlign w:val="bottom"/>
            <w:vMerge w:val="restart"/>
            <w:shd w:val="clear" w:color="auto" w:fill="C00000"/>
          </w:tcPr>
          <w:p>
            <w:pPr>
              <w:ind w:left="580"/>
              <w:spacing w:after="0"/>
              <w:rPr>
                <w:sz w:val="20"/>
                <w:szCs w:val="20"/>
                <w:color w:val="auto"/>
              </w:rPr>
            </w:pPr>
            <w:r>
              <w:rPr>
                <w:rFonts w:ascii="Arial" w:cs="Arial" w:eastAsia="Arial" w:hAnsi="Arial"/>
                <w:sz w:val="14"/>
                <w:szCs w:val="14"/>
                <w:b w:val="1"/>
                <w:bCs w:val="1"/>
                <w:color w:val="FFFFFF"/>
              </w:rPr>
              <w:t>Name of Beneficial Owner</w:t>
            </w:r>
          </w:p>
        </w:tc>
        <w:tc>
          <w:tcPr>
            <w:tcW w:w="3720" w:type="dxa"/>
            <w:vAlign w:val="bottom"/>
            <w:shd w:val="clear" w:color="auto" w:fill="C00000"/>
          </w:tcPr>
          <w:p>
            <w:pPr>
              <w:jc w:val="center"/>
              <w:ind w:left="981"/>
              <w:spacing w:after="0" w:line="145" w:lineRule="exact"/>
              <w:rPr>
                <w:sz w:val="20"/>
                <w:szCs w:val="20"/>
                <w:color w:val="auto"/>
              </w:rPr>
            </w:pPr>
            <w:r>
              <w:rPr>
                <w:rFonts w:ascii="Arial" w:cs="Arial" w:eastAsia="Arial" w:hAnsi="Arial"/>
                <w:sz w:val="14"/>
                <w:szCs w:val="14"/>
                <w:b w:val="1"/>
                <w:bCs w:val="1"/>
                <w:color w:val="FFFFFF"/>
              </w:rPr>
              <w:t>Beneficial Ownership</w:t>
            </w:r>
          </w:p>
        </w:tc>
        <w:tc>
          <w:tcPr>
            <w:tcW w:w="1560" w:type="dxa"/>
            <w:vAlign w:val="bottom"/>
            <w:vMerge w:val="continue"/>
            <w:shd w:val="clear" w:color="auto" w:fill="C00000"/>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680" w:type="dxa"/>
            <w:vAlign w:val="bottom"/>
            <w:vMerge w:val="continue"/>
            <w:shd w:val="clear" w:color="auto" w:fill="C00000"/>
          </w:tcPr>
          <w:p>
            <w:pPr>
              <w:spacing w:after="0"/>
              <w:rPr>
                <w:sz w:val="15"/>
                <w:szCs w:val="15"/>
                <w:color w:val="auto"/>
              </w:rPr>
            </w:pPr>
          </w:p>
        </w:tc>
        <w:tc>
          <w:tcPr>
            <w:tcW w:w="4280" w:type="dxa"/>
            <w:vAlign w:val="bottom"/>
            <w:vMerge w:val="continue"/>
            <w:shd w:val="clear" w:color="auto" w:fill="C00000"/>
          </w:tcPr>
          <w:p>
            <w:pPr>
              <w:spacing w:after="0"/>
              <w:rPr>
                <w:sz w:val="15"/>
                <w:szCs w:val="15"/>
                <w:color w:val="auto"/>
              </w:rPr>
            </w:pPr>
          </w:p>
        </w:tc>
        <w:tc>
          <w:tcPr>
            <w:tcW w:w="3720" w:type="dxa"/>
            <w:vAlign w:val="bottom"/>
            <w:shd w:val="clear" w:color="auto" w:fill="C00000"/>
          </w:tcPr>
          <w:p>
            <w:pPr>
              <w:jc w:val="center"/>
              <w:ind w:left="981"/>
              <w:spacing w:after="0"/>
              <w:rPr>
                <w:sz w:val="20"/>
                <w:szCs w:val="20"/>
                <w:color w:val="auto"/>
              </w:rPr>
            </w:pPr>
            <w:r>
              <w:rPr>
                <w:rFonts w:ascii="Arial" w:cs="Arial" w:eastAsia="Arial" w:hAnsi="Arial"/>
                <w:sz w:val="12"/>
                <w:szCs w:val="12"/>
                <w:b w:val="1"/>
                <w:bCs w:val="1"/>
                <w:color w:val="FFFFFF"/>
                <w:w w:val="98"/>
              </w:rPr>
              <w:t>(1)(2)(3)(4)</w:t>
            </w:r>
          </w:p>
        </w:tc>
        <w:tc>
          <w:tcPr>
            <w:tcW w:w="1560" w:type="dxa"/>
            <w:vAlign w:val="bottom"/>
            <w:shd w:val="clear" w:color="auto" w:fill="C00000"/>
          </w:tcPr>
          <w:p>
            <w:pPr>
              <w:jc w:val="center"/>
              <w:ind w:right="100"/>
              <w:spacing w:after="0" w:line="176" w:lineRule="exact"/>
              <w:rPr>
                <w:sz w:val="20"/>
                <w:szCs w:val="20"/>
                <w:color w:val="auto"/>
              </w:rPr>
            </w:pPr>
            <w:r>
              <w:rPr>
                <w:rFonts w:ascii="Arial" w:cs="Arial" w:eastAsia="Arial" w:hAnsi="Arial"/>
                <w:sz w:val="12"/>
                <w:szCs w:val="12"/>
                <w:b w:val="1"/>
                <w:bCs w:val="1"/>
                <w:color w:val="FFFFFF"/>
              </w:rPr>
              <w:t>Class</w:t>
            </w:r>
            <w:r>
              <w:rPr>
                <w:rFonts w:ascii="Arial" w:cs="Arial" w:eastAsia="Arial" w:hAnsi="Arial"/>
                <w:sz w:val="20"/>
                <w:szCs w:val="20"/>
                <w:b w:val="1"/>
                <w:bCs w:val="1"/>
                <w:color w:val="FFFFFF"/>
                <w:vertAlign w:val="superscript"/>
              </w:rPr>
              <w:t>(5)</w:t>
            </w:r>
          </w:p>
        </w:tc>
        <w:tc>
          <w:tcPr>
            <w:tcW w:w="0" w:type="dxa"/>
            <w:vAlign w:val="bottom"/>
          </w:tcPr>
          <w:p>
            <w:pPr>
              <w:spacing w:after="0"/>
              <w:rPr>
                <w:sz w:val="1"/>
                <w:szCs w:val="1"/>
                <w:color w:val="auto"/>
              </w:rPr>
            </w:pPr>
          </w:p>
        </w:tc>
      </w:tr>
      <w:tr>
        <w:trPr>
          <w:trHeight w:val="203"/>
        </w:trPr>
        <w:tc>
          <w:tcPr>
            <w:tcW w:w="1680" w:type="dxa"/>
            <w:vAlign w:val="bottom"/>
          </w:tcPr>
          <w:p>
            <w:pPr>
              <w:spacing w:after="0"/>
              <w:rPr>
                <w:sz w:val="17"/>
                <w:szCs w:val="17"/>
                <w:color w:val="auto"/>
              </w:rPr>
            </w:pPr>
          </w:p>
        </w:tc>
        <w:tc>
          <w:tcPr>
            <w:tcW w:w="4280" w:type="dxa"/>
            <w:vAlign w:val="bottom"/>
          </w:tcPr>
          <w:p>
            <w:pPr>
              <w:ind w:left="580"/>
              <w:spacing w:after="0"/>
              <w:rPr>
                <w:sz w:val="20"/>
                <w:szCs w:val="20"/>
                <w:color w:val="auto"/>
              </w:rPr>
            </w:pPr>
            <w:r>
              <w:rPr>
                <w:rFonts w:ascii="Arial" w:cs="Arial" w:eastAsia="Arial" w:hAnsi="Arial"/>
                <w:sz w:val="16"/>
                <w:szCs w:val="16"/>
                <w:color w:val="auto"/>
              </w:rPr>
              <w:t>Non-Employee Directors:</w:t>
            </w:r>
          </w:p>
        </w:tc>
        <w:tc>
          <w:tcPr>
            <w:tcW w:w="37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shd w:val="clear" w:color="auto" w:fill="D9D9D9"/>
          </w:tcPr>
          <w:p>
            <w:pPr>
              <w:spacing w:after="0"/>
              <w:rPr>
                <w:sz w:val="20"/>
                <w:szCs w:val="20"/>
                <w:color w:val="auto"/>
              </w:rPr>
            </w:pPr>
            <w:r>
              <w:rPr>
                <w:rFonts w:ascii="Arial" w:cs="Arial" w:eastAsia="Arial" w:hAnsi="Arial"/>
                <w:sz w:val="16"/>
                <w:szCs w:val="16"/>
                <w:color w:val="auto"/>
              </w:rPr>
              <w:t>Common Stock</w:t>
            </w:r>
          </w:p>
        </w:tc>
        <w:tc>
          <w:tcPr>
            <w:tcW w:w="4280" w:type="dxa"/>
            <w:vAlign w:val="bottom"/>
            <w:shd w:val="clear" w:color="auto" w:fill="D9D9D9"/>
          </w:tcPr>
          <w:p>
            <w:pPr>
              <w:ind w:left="820"/>
              <w:spacing w:after="0"/>
              <w:rPr>
                <w:sz w:val="20"/>
                <w:szCs w:val="20"/>
                <w:color w:val="auto"/>
              </w:rPr>
            </w:pPr>
            <w:r>
              <w:rPr>
                <w:rFonts w:ascii="Arial" w:cs="Arial" w:eastAsia="Arial" w:hAnsi="Arial"/>
                <w:sz w:val="16"/>
                <w:szCs w:val="16"/>
                <w:color w:val="auto"/>
              </w:rPr>
              <w:t>Janet K. Cooper</w:t>
            </w:r>
          </w:p>
        </w:tc>
        <w:tc>
          <w:tcPr>
            <w:tcW w:w="3720" w:type="dxa"/>
            <w:vAlign w:val="bottom"/>
            <w:shd w:val="clear" w:color="auto" w:fill="D9D9D9"/>
          </w:tcPr>
          <w:p>
            <w:pPr>
              <w:jc w:val="right"/>
              <w:ind w:right="261"/>
              <w:spacing w:after="0"/>
              <w:rPr>
                <w:sz w:val="20"/>
                <w:szCs w:val="20"/>
                <w:color w:val="auto"/>
              </w:rPr>
            </w:pPr>
            <w:r>
              <w:rPr>
                <w:rFonts w:ascii="Arial" w:cs="Arial" w:eastAsia="Arial" w:hAnsi="Arial"/>
                <w:sz w:val="16"/>
                <w:szCs w:val="16"/>
                <w:color w:val="auto"/>
              </w:rPr>
              <w:t>93,968</w:t>
            </w:r>
          </w:p>
        </w:tc>
        <w:tc>
          <w:tcPr>
            <w:tcW w:w="1560" w:type="dxa"/>
            <w:vAlign w:val="bottom"/>
            <w:shd w:val="clear" w:color="auto" w:fill="D9D9D9"/>
          </w:tcPr>
          <w:p>
            <w:pPr>
              <w:jc w:val="center"/>
              <w:ind w:right="100"/>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03"/>
        </w:trPr>
        <w:tc>
          <w:tcPr>
            <w:tcW w:w="1680" w:type="dxa"/>
            <w:vAlign w:val="bottom"/>
          </w:tcPr>
          <w:p>
            <w:pPr>
              <w:spacing w:after="0"/>
              <w:rPr>
                <w:sz w:val="20"/>
                <w:szCs w:val="20"/>
                <w:color w:val="auto"/>
              </w:rPr>
            </w:pPr>
            <w:r>
              <w:rPr>
                <w:rFonts w:ascii="Arial" w:cs="Arial" w:eastAsia="Arial" w:hAnsi="Arial"/>
                <w:sz w:val="16"/>
                <w:szCs w:val="16"/>
                <w:color w:val="auto"/>
              </w:rPr>
              <w:t>Common Stock</w:t>
            </w:r>
          </w:p>
        </w:tc>
        <w:tc>
          <w:tcPr>
            <w:tcW w:w="4280" w:type="dxa"/>
            <w:vAlign w:val="bottom"/>
          </w:tcPr>
          <w:p>
            <w:pPr>
              <w:ind w:left="820"/>
              <w:spacing w:after="0"/>
              <w:rPr>
                <w:sz w:val="20"/>
                <w:szCs w:val="20"/>
                <w:color w:val="auto"/>
              </w:rPr>
            </w:pPr>
            <w:r>
              <w:rPr>
                <w:rFonts w:ascii="Arial" w:cs="Arial" w:eastAsia="Arial" w:hAnsi="Arial"/>
                <w:sz w:val="16"/>
                <w:szCs w:val="16"/>
                <w:color w:val="auto"/>
              </w:rPr>
              <w:t>Gary L. Ellis</w:t>
            </w:r>
          </w:p>
        </w:tc>
        <w:tc>
          <w:tcPr>
            <w:tcW w:w="3720" w:type="dxa"/>
            <w:vAlign w:val="bottom"/>
          </w:tcPr>
          <w:p>
            <w:pPr>
              <w:jc w:val="right"/>
              <w:ind w:right="261"/>
              <w:spacing w:after="0"/>
              <w:rPr>
                <w:sz w:val="20"/>
                <w:szCs w:val="20"/>
                <w:color w:val="auto"/>
              </w:rPr>
            </w:pPr>
            <w:r>
              <w:rPr>
                <w:rFonts w:ascii="Arial" w:cs="Arial" w:eastAsia="Arial" w:hAnsi="Arial"/>
                <w:sz w:val="16"/>
                <w:szCs w:val="16"/>
                <w:color w:val="auto"/>
              </w:rPr>
              <w:t>71,153</w:t>
            </w:r>
          </w:p>
        </w:tc>
        <w:tc>
          <w:tcPr>
            <w:tcW w:w="1560" w:type="dxa"/>
            <w:vAlign w:val="bottom"/>
          </w:tcPr>
          <w:p>
            <w:pPr>
              <w:jc w:val="center"/>
              <w:ind w:right="100"/>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03"/>
        </w:trPr>
        <w:tc>
          <w:tcPr>
            <w:tcW w:w="1680" w:type="dxa"/>
            <w:vAlign w:val="bottom"/>
            <w:shd w:val="clear" w:color="auto" w:fill="D9D9D9"/>
          </w:tcPr>
          <w:p>
            <w:pPr>
              <w:spacing w:after="0"/>
              <w:rPr>
                <w:sz w:val="20"/>
                <w:szCs w:val="20"/>
                <w:color w:val="auto"/>
              </w:rPr>
            </w:pPr>
            <w:r>
              <w:rPr>
                <w:rFonts w:ascii="Arial" w:cs="Arial" w:eastAsia="Arial" w:hAnsi="Arial"/>
                <w:sz w:val="16"/>
                <w:szCs w:val="16"/>
                <w:color w:val="auto"/>
              </w:rPr>
              <w:t>Common Stock</w:t>
            </w:r>
          </w:p>
        </w:tc>
        <w:tc>
          <w:tcPr>
            <w:tcW w:w="4280" w:type="dxa"/>
            <w:vAlign w:val="bottom"/>
            <w:shd w:val="clear" w:color="auto" w:fill="D9D9D9"/>
          </w:tcPr>
          <w:p>
            <w:pPr>
              <w:ind w:left="820"/>
              <w:spacing w:after="0"/>
              <w:rPr>
                <w:sz w:val="20"/>
                <w:szCs w:val="20"/>
                <w:color w:val="auto"/>
              </w:rPr>
            </w:pPr>
            <w:r>
              <w:rPr>
                <w:rFonts w:ascii="Arial" w:cs="Arial" w:eastAsia="Arial" w:hAnsi="Arial"/>
                <w:sz w:val="16"/>
                <w:szCs w:val="16"/>
                <w:color w:val="auto"/>
              </w:rPr>
              <w:t>Jeffrey M. Ettinger</w:t>
            </w:r>
          </w:p>
        </w:tc>
        <w:tc>
          <w:tcPr>
            <w:tcW w:w="3720" w:type="dxa"/>
            <w:vAlign w:val="bottom"/>
            <w:shd w:val="clear" w:color="auto" w:fill="D9D9D9"/>
          </w:tcPr>
          <w:p>
            <w:pPr>
              <w:jc w:val="right"/>
              <w:ind w:right="261"/>
              <w:spacing w:after="0"/>
              <w:rPr>
                <w:sz w:val="20"/>
                <w:szCs w:val="20"/>
                <w:color w:val="auto"/>
              </w:rPr>
            </w:pPr>
            <w:r>
              <w:rPr>
                <w:rFonts w:ascii="Arial" w:cs="Arial" w:eastAsia="Arial" w:hAnsi="Arial"/>
                <w:sz w:val="16"/>
                <w:szCs w:val="16"/>
                <w:color w:val="auto"/>
              </w:rPr>
              <w:t>102,965</w:t>
            </w:r>
          </w:p>
        </w:tc>
        <w:tc>
          <w:tcPr>
            <w:tcW w:w="1560" w:type="dxa"/>
            <w:vAlign w:val="bottom"/>
            <w:shd w:val="clear" w:color="auto" w:fill="D9D9D9"/>
          </w:tcPr>
          <w:p>
            <w:pPr>
              <w:jc w:val="center"/>
              <w:ind w:right="100"/>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03"/>
        </w:trPr>
        <w:tc>
          <w:tcPr>
            <w:tcW w:w="1680" w:type="dxa"/>
            <w:vAlign w:val="bottom"/>
          </w:tcPr>
          <w:p>
            <w:pPr>
              <w:spacing w:after="0"/>
              <w:rPr>
                <w:sz w:val="20"/>
                <w:szCs w:val="20"/>
                <w:color w:val="auto"/>
              </w:rPr>
            </w:pPr>
            <w:r>
              <w:rPr>
                <w:rFonts w:ascii="Arial" w:cs="Arial" w:eastAsia="Arial" w:hAnsi="Arial"/>
                <w:sz w:val="16"/>
                <w:szCs w:val="16"/>
                <w:color w:val="auto"/>
              </w:rPr>
              <w:t>Common Stock</w:t>
            </w:r>
          </w:p>
        </w:tc>
        <w:tc>
          <w:tcPr>
            <w:tcW w:w="4280" w:type="dxa"/>
            <w:vAlign w:val="bottom"/>
          </w:tcPr>
          <w:p>
            <w:pPr>
              <w:ind w:left="820"/>
              <w:spacing w:after="0"/>
              <w:rPr>
                <w:sz w:val="20"/>
                <w:szCs w:val="20"/>
                <w:color w:val="auto"/>
              </w:rPr>
            </w:pPr>
            <w:r>
              <w:rPr>
                <w:rFonts w:ascii="Arial" w:cs="Arial" w:eastAsia="Arial" w:hAnsi="Arial"/>
                <w:sz w:val="16"/>
                <w:szCs w:val="16"/>
                <w:color w:val="auto"/>
              </w:rPr>
              <w:t>Eric P. Hansotia</w:t>
            </w:r>
          </w:p>
        </w:tc>
        <w:tc>
          <w:tcPr>
            <w:tcW w:w="3720" w:type="dxa"/>
            <w:vAlign w:val="bottom"/>
          </w:tcPr>
          <w:p>
            <w:pPr>
              <w:jc w:val="right"/>
              <w:ind w:right="261"/>
              <w:spacing w:after="0"/>
              <w:rPr>
                <w:sz w:val="20"/>
                <w:szCs w:val="20"/>
                <w:color w:val="auto"/>
              </w:rPr>
            </w:pPr>
            <w:r>
              <w:rPr>
                <w:rFonts w:ascii="Arial" w:cs="Arial" w:eastAsia="Arial" w:hAnsi="Arial"/>
                <w:sz w:val="16"/>
                <w:szCs w:val="16"/>
                <w:color w:val="auto"/>
              </w:rPr>
              <w:t>939</w:t>
            </w:r>
          </w:p>
        </w:tc>
        <w:tc>
          <w:tcPr>
            <w:tcW w:w="1560" w:type="dxa"/>
            <w:vAlign w:val="bottom"/>
          </w:tcPr>
          <w:p>
            <w:pPr>
              <w:jc w:val="center"/>
              <w:ind w:right="100"/>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03"/>
        </w:trPr>
        <w:tc>
          <w:tcPr>
            <w:tcW w:w="1680" w:type="dxa"/>
            <w:vAlign w:val="bottom"/>
            <w:shd w:val="clear" w:color="auto" w:fill="D9D9D9"/>
          </w:tcPr>
          <w:p>
            <w:pPr>
              <w:spacing w:after="0"/>
              <w:rPr>
                <w:sz w:val="20"/>
                <w:szCs w:val="20"/>
                <w:color w:val="auto"/>
              </w:rPr>
            </w:pPr>
            <w:r>
              <w:rPr>
                <w:rFonts w:ascii="Arial" w:cs="Arial" w:eastAsia="Arial" w:hAnsi="Arial"/>
                <w:sz w:val="16"/>
                <w:szCs w:val="16"/>
                <w:color w:val="auto"/>
              </w:rPr>
              <w:t>Common Stock</w:t>
            </w:r>
          </w:p>
        </w:tc>
        <w:tc>
          <w:tcPr>
            <w:tcW w:w="4280" w:type="dxa"/>
            <w:vAlign w:val="bottom"/>
            <w:shd w:val="clear" w:color="auto" w:fill="D9D9D9"/>
          </w:tcPr>
          <w:p>
            <w:pPr>
              <w:ind w:left="820"/>
              <w:spacing w:after="0"/>
              <w:rPr>
                <w:sz w:val="20"/>
                <w:szCs w:val="20"/>
                <w:color w:val="auto"/>
              </w:rPr>
            </w:pPr>
            <w:r>
              <w:rPr>
                <w:rFonts w:ascii="Arial" w:cs="Arial" w:eastAsia="Arial" w:hAnsi="Arial"/>
                <w:sz w:val="16"/>
                <w:szCs w:val="16"/>
                <w:color w:val="auto"/>
              </w:rPr>
              <w:t>Katherine J. Harless</w:t>
            </w:r>
          </w:p>
        </w:tc>
        <w:tc>
          <w:tcPr>
            <w:tcW w:w="3720" w:type="dxa"/>
            <w:vAlign w:val="bottom"/>
            <w:shd w:val="clear" w:color="auto" w:fill="D9D9D9"/>
          </w:tcPr>
          <w:p>
            <w:pPr>
              <w:jc w:val="right"/>
              <w:ind w:right="261"/>
              <w:spacing w:after="0"/>
              <w:rPr>
                <w:sz w:val="20"/>
                <w:szCs w:val="20"/>
                <w:color w:val="auto"/>
              </w:rPr>
            </w:pPr>
            <w:r>
              <w:rPr>
                <w:rFonts w:ascii="Arial" w:cs="Arial" w:eastAsia="Arial" w:hAnsi="Arial"/>
                <w:sz w:val="16"/>
                <w:szCs w:val="16"/>
                <w:color w:val="auto"/>
              </w:rPr>
              <w:t>87,831</w:t>
            </w:r>
          </w:p>
        </w:tc>
        <w:tc>
          <w:tcPr>
            <w:tcW w:w="1560" w:type="dxa"/>
            <w:vAlign w:val="bottom"/>
            <w:shd w:val="clear" w:color="auto" w:fill="D9D9D9"/>
          </w:tcPr>
          <w:p>
            <w:pPr>
              <w:jc w:val="center"/>
              <w:ind w:right="100"/>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03"/>
        </w:trPr>
        <w:tc>
          <w:tcPr>
            <w:tcW w:w="1680" w:type="dxa"/>
            <w:vAlign w:val="bottom"/>
          </w:tcPr>
          <w:p>
            <w:pPr>
              <w:spacing w:after="0"/>
              <w:rPr>
                <w:sz w:val="20"/>
                <w:szCs w:val="20"/>
                <w:color w:val="auto"/>
              </w:rPr>
            </w:pPr>
            <w:r>
              <w:rPr>
                <w:rFonts w:ascii="Arial" w:cs="Arial" w:eastAsia="Arial" w:hAnsi="Arial"/>
                <w:sz w:val="16"/>
                <w:szCs w:val="16"/>
                <w:color w:val="auto"/>
              </w:rPr>
              <w:t>Common Stock</w:t>
            </w:r>
          </w:p>
        </w:tc>
        <w:tc>
          <w:tcPr>
            <w:tcW w:w="4280" w:type="dxa"/>
            <w:vAlign w:val="bottom"/>
          </w:tcPr>
          <w:p>
            <w:pPr>
              <w:ind w:left="820"/>
              <w:spacing w:after="0"/>
              <w:rPr>
                <w:sz w:val="20"/>
                <w:szCs w:val="20"/>
                <w:color w:val="auto"/>
              </w:rPr>
            </w:pPr>
            <w:r>
              <w:rPr>
                <w:rFonts w:ascii="Arial" w:cs="Arial" w:eastAsia="Arial" w:hAnsi="Arial"/>
                <w:sz w:val="16"/>
                <w:szCs w:val="16"/>
                <w:color w:val="auto"/>
              </w:rPr>
              <w:t>Jeffrey L. Harmening</w:t>
            </w:r>
          </w:p>
        </w:tc>
        <w:tc>
          <w:tcPr>
            <w:tcW w:w="3720" w:type="dxa"/>
            <w:vAlign w:val="bottom"/>
          </w:tcPr>
          <w:p>
            <w:pPr>
              <w:jc w:val="right"/>
              <w:ind w:right="261"/>
              <w:spacing w:after="0"/>
              <w:rPr>
                <w:sz w:val="20"/>
                <w:szCs w:val="20"/>
                <w:color w:val="auto"/>
              </w:rPr>
            </w:pPr>
            <w:r>
              <w:rPr>
                <w:rFonts w:ascii="Arial" w:cs="Arial" w:eastAsia="Arial" w:hAnsi="Arial"/>
                <w:sz w:val="16"/>
                <w:szCs w:val="16"/>
                <w:color w:val="auto"/>
              </w:rPr>
              <w:t>12,535</w:t>
            </w:r>
          </w:p>
        </w:tc>
        <w:tc>
          <w:tcPr>
            <w:tcW w:w="1560" w:type="dxa"/>
            <w:vAlign w:val="bottom"/>
          </w:tcPr>
          <w:p>
            <w:pPr>
              <w:jc w:val="center"/>
              <w:ind w:right="100"/>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03"/>
        </w:trPr>
        <w:tc>
          <w:tcPr>
            <w:tcW w:w="1680" w:type="dxa"/>
            <w:vAlign w:val="bottom"/>
            <w:shd w:val="clear" w:color="auto" w:fill="D9D9D9"/>
          </w:tcPr>
          <w:p>
            <w:pPr>
              <w:spacing w:after="0"/>
              <w:rPr>
                <w:sz w:val="20"/>
                <w:szCs w:val="20"/>
                <w:color w:val="auto"/>
              </w:rPr>
            </w:pPr>
            <w:r>
              <w:rPr>
                <w:rFonts w:ascii="Arial" w:cs="Arial" w:eastAsia="Arial" w:hAnsi="Arial"/>
                <w:sz w:val="16"/>
                <w:szCs w:val="16"/>
                <w:color w:val="auto"/>
              </w:rPr>
              <w:t>Common Stock</w:t>
            </w:r>
          </w:p>
        </w:tc>
        <w:tc>
          <w:tcPr>
            <w:tcW w:w="4280" w:type="dxa"/>
            <w:vAlign w:val="bottom"/>
            <w:shd w:val="clear" w:color="auto" w:fill="D9D9D9"/>
          </w:tcPr>
          <w:p>
            <w:pPr>
              <w:ind w:left="820"/>
              <w:spacing w:after="0"/>
              <w:rPr>
                <w:sz w:val="20"/>
                <w:szCs w:val="20"/>
                <w:color w:val="auto"/>
              </w:rPr>
            </w:pPr>
            <w:r>
              <w:rPr>
                <w:rFonts w:ascii="Arial" w:cs="Arial" w:eastAsia="Arial" w:hAnsi="Arial"/>
                <w:sz w:val="16"/>
                <w:szCs w:val="16"/>
                <w:color w:val="auto"/>
              </w:rPr>
              <w:t>D. Christian Koch</w:t>
            </w:r>
          </w:p>
        </w:tc>
        <w:tc>
          <w:tcPr>
            <w:tcW w:w="3720" w:type="dxa"/>
            <w:vAlign w:val="bottom"/>
            <w:shd w:val="clear" w:color="auto" w:fill="D9D9D9"/>
          </w:tcPr>
          <w:p>
            <w:pPr>
              <w:jc w:val="right"/>
              <w:ind w:right="261"/>
              <w:spacing w:after="0"/>
              <w:rPr>
                <w:sz w:val="20"/>
                <w:szCs w:val="20"/>
                <w:color w:val="auto"/>
              </w:rPr>
            </w:pPr>
            <w:r>
              <w:rPr>
                <w:rFonts w:ascii="Arial" w:cs="Arial" w:eastAsia="Arial" w:hAnsi="Arial"/>
                <w:sz w:val="16"/>
                <w:szCs w:val="16"/>
                <w:color w:val="auto"/>
              </w:rPr>
              <w:t>28,207</w:t>
            </w:r>
          </w:p>
        </w:tc>
        <w:tc>
          <w:tcPr>
            <w:tcW w:w="1560" w:type="dxa"/>
            <w:vAlign w:val="bottom"/>
            <w:shd w:val="clear" w:color="auto" w:fill="D9D9D9"/>
          </w:tcPr>
          <w:p>
            <w:pPr>
              <w:jc w:val="center"/>
              <w:ind w:right="100"/>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03"/>
        </w:trPr>
        <w:tc>
          <w:tcPr>
            <w:tcW w:w="1680" w:type="dxa"/>
            <w:vAlign w:val="bottom"/>
          </w:tcPr>
          <w:p>
            <w:pPr>
              <w:spacing w:after="0"/>
              <w:rPr>
                <w:sz w:val="20"/>
                <w:szCs w:val="20"/>
                <w:color w:val="auto"/>
              </w:rPr>
            </w:pPr>
            <w:r>
              <w:rPr>
                <w:rFonts w:ascii="Arial" w:cs="Arial" w:eastAsia="Arial" w:hAnsi="Arial"/>
                <w:sz w:val="16"/>
                <w:szCs w:val="16"/>
                <w:color w:val="auto"/>
              </w:rPr>
              <w:t>Common Stock</w:t>
            </w:r>
          </w:p>
        </w:tc>
        <w:tc>
          <w:tcPr>
            <w:tcW w:w="4280" w:type="dxa"/>
            <w:vAlign w:val="bottom"/>
          </w:tcPr>
          <w:p>
            <w:pPr>
              <w:ind w:left="820"/>
              <w:spacing w:after="0"/>
              <w:rPr>
                <w:sz w:val="20"/>
                <w:szCs w:val="20"/>
                <w:color w:val="auto"/>
              </w:rPr>
            </w:pPr>
            <w:r>
              <w:rPr>
                <w:rFonts w:ascii="Arial" w:cs="Arial" w:eastAsia="Arial" w:hAnsi="Arial"/>
                <w:sz w:val="16"/>
                <w:szCs w:val="16"/>
                <w:color w:val="auto"/>
              </w:rPr>
              <w:t>Joyce A. Mullen</w:t>
            </w:r>
          </w:p>
        </w:tc>
        <w:tc>
          <w:tcPr>
            <w:tcW w:w="3720" w:type="dxa"/>
            <w:vAlign w:val="bottom"/>
          </w:tcPr>
          <w:p>
            <w:pPr>
              <w:jc w:val="right"/>
              <w:ind w:right="261"/>
              <w:spacing w:after="0"/>
              <w:rPr>
                <w:sz w:val="20"/>
                <w:szCs w:val="20"/>
                <w:color w:val="auto"/>
              </w:rPr>
            </w:pPr>
            <w:r>
              <w:rPr>
                <w:rFonts w:ascii="Arial" w:cs="Arial" w:eastAsia="Arial" w:hAnsi="Arial"/>
                <w:sz w:val="16"/>
                <w:szCs w:val="16"/>
                <w:color w:val="auto"/>
              </w:rPr>
              <w:t>9,894</w:t>
            </w:r>
          </w:p>
        </w:tc>
        <w:tc>
          <w:tcPr>
            <w:tcW w:w="1560" w:type="dxa"/>
            <w:vAlign w:val="bottom"/>
          </w:tcPr>
          <w:p>
            <w:pPr>
              <w:jc w:val="center"/>
              <w:ind w:right="100"/>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03"/>
        </w:trPr>
        <w:tc>
          <w:tcPr>
            <w:tcW w:w="1680" w:type="dxa"/>
            <w:vAlign w:val="bottom"/>
            <w:shd w:val="clear" w:color="auto" w:fill="D9D9D9"/>
          </w:tcPr>
          <w:p>
            <w:pPr>
              <w:spacing w:after="0"/>
              <w:rPr>
                <w:sz w:val="20"/>
                <w:szCs w:val="20"/>
                <w:color w:val="auto"/>
              </w:rPr>
            </w:pPr>
            <w:r>
              <w:rPr>
                <w:rFonts w:ascii="Arial" w:cs="Arial" w:eastAsia="Arial" w:hAnsi="Arial"/>
                <w:sz w:val="16"/>
                <w:szCs w:val="16"/>
                <w:color w:val="auto"/>
              </w:rPr>
              <w:t>Common Stock</w:t>
            </w:r>
          </w:p>
        </w:tc>
        <w:tc>
          <w:tcPr>
            <w:tcW w:w="4280" w:type="dxa"/>
            <w:vAlign w:val="bottom"/>
            <w:shd w:val="clear" w:color="auto" w:fill="D9D9D9"/>
          </w:tcPr>
          <w:p>
            <w:pPr>
              <w:ind w:left="820"/>
              <w:spacing w:after="0"/>
              <w:rPr>
                <w:sz w:val="20"/>
                <w:szCs w:val="20"/>
                <w:color w:val="auto"/>
              </w:rPr>
            </w:pPr>
            <w:r>
              <w:rPr>
                <w:rFonts w:ascii="Arial" w:cs="Arial" w:eastAsia="Arial" w:hAnsi="Arial"/>
                <w:sz w:val="16"/>
                <w:szCs w:val="16"/>
                <w:color w:val="auto"/>
              </w:rPr>
              <w:t>James C. O’Rourke</w:t>
            </w:r>
          </w:p>
        </w:tc>
        <w:tc>
          <w:tcPr>
            <w:tcW w:w="3720" w:type="dxa"/>
            <w:vAlign w:val="bottom"/>
            <w:shd w:val="clear" w:color="auto" w:fill="D9D9D9"/>
          </w:tcPr>
          <w:p>
            <w:pPr>
              <w:jc w:val="right"/>
              <w:ind w:right="261"/>
              <w:spacing w:after="0"/>
              <w:rPr>
                <w:sz w:val="20"/>
                <w:szCs w:val="20"/>
                <w:color w:val="auto"/>
              </w:rPr>
            </w:pPr>
            <w:r>
              <w:rPr>
                <w:rFonts w:ascii="Arial" w:cs="Arial" w:eastAsia="Arial" w:hAnsi="Arial"/>
                <w:sz w:val="16"/>
                <w:szCs w:val="16"/>
                <w:color w:val="auto"/>
              </w:rPr>
              <w:t>37,756</w:t>
            </w:r>
          </w:p>
        </w:tc>
        <w:tc>
          <w:tcPr>
            <w:tcW w:w="1560" w:type="dxa"/>
            <w:vAlign w:val="bottom"/>
            <w:shd w:val="clear" w:color="auto" w:fill="D9D9D9"/>
          </w:tcPr>
          <w:p>
            <w:pPr>
              <w:jc w:val="center"/>
              <w:ind w:right="100"/>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03"/>
        </w:trPr>
        <w:tc>
          <w:tcPr>
            <w:tcW w:w="1680" w:type="dxa"/>
            <w:vAlign w:val="bottom"/>
          </w:tcPr>
          <w:p>
            <w:pPr>
              <w:spacing w:after="0"/>
              <w:rPr>
                <w:sz w:val="20"/>
                <w:szCs w:val="20"/>
                <w:color w:val="auto"/>
              </w:rPr>
            </w:pPr>
            <w:r>
              <w:rPr>
                <w:rFonts w:ascii="Arial" w:cs="Arial" w:eastAsia="Arial" w:hAnsi="Arial"/>
                <w:sz w:val="16"/>
                <w:szCs w:val="16"/>
                <w:color w:val="auto"/>
              </w:rPr>
              <w:t>Common Stock</w:t>
            </w:r>
          </w:p>
        </w:tc>
        <w:tc>
          <w:tcPr>
            <w:tcW w:w="4280" w:type="dxa"/>
            <w:vAlign w:val="bottom"/>
          </w:tcPr>
          <w:p>
            <w:pPr>
              <w:ind w:left="820"/>
              <w:spacing w:after="0"/>
              <w:rPr>
                <w:sz w:val="20"/>
                <w:szCs w:val="20"/>
                <w:color w:val="auto"/>
              </w:rPr>
            </w:pPr>
            <w:r>
              <w:rPr>
                <w:rFonts w:ascii="Arial" w:cs="Arial" w:eastAsia="Arial" w:hAnsi="Arial"/>
                <w:sz w:val="16"/>
                <w:szCs w:val="16"/>
                <w:color w:val="auto"/>
              </w:rPr>
              <w:t>Jill M. Pemberton</w:t>
            </w:r>
          </w:p>
        </w:tc>
        <w:tc>
          <w:tcPr>
            <w:tcW w:w="3720" w:type="dxa"/>
            <w:vAlign w:val="bottom"/>
          </w:tcPr>
          <w:p>
            <w:pPr>
              <w:jc w:val="right"/>
              <w:ind w:right="261"/>
              <w:spacing w:after="0"/>
              <w:rPr>
                <w:sz w:val="20"/>
                <w:szCs w:val="20"/>
                <w:color w:val="auto"/>
              </w:rPr>
            </w:pPr>
            <w:r>
              <w:rPr>
                <w:rFonts w:ascii="Arial" w:cs="Arial" w:eastAsia="Arial" w:hAnsi="Arial"/>
                <w:sz w:val="16"/>
                <w:szCs w:val="16"/>
                <w:color w:val="auto"/>
              </w:rPr>
              <w:t>942</w:t>
            </w:r>
          </w:p>
        </w:tc>
        <w:tc>
          <w:tcPr>
            <w:tcW w:w="1560" w:type="dxa"/>
            <w:vAlign w:val="bottom"/>
          </w:tcPr>
          <w:p>
            <w:pPr>
              <w:jc w:val="center"/>
              <w:ind w:right="100"/>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03"/>
        </w:trPr>
        <w:tc>
          <w:tcPr>
            <w:tcW w:w="1680" w:type="dxa"/>
            <w:vAlign w:val="bottom"/>
            <w:shd w:val="clear" w:color="auto" w:fill="D9D9D9"/>
          </w:tcPr>
          <w:p>
            <w:pPr>
              <w:spacing w:after="0"/>
              <w:rPr>
                <w:sz w:val="20"/>
                <w:szCs w:val="20"/>
                <w:color w:val="auto"/>
              </w:rPr>
            </w:pPr>
            <w:r>
              <w:rPr>
                <w:rFonts w:ascii="Arial" w:cs="Arial" w:eastAsia="Arial" w:hAnsi="Arial"/>
                <w:sz w:val="16"/>
                <w:szCs w:val="16"/>
                <w:color w:val="auto"/>
              </w:rPr>
              <w:t>Common Stock</w:t>
            </w:r>
          </w:p>
        </w:tc>
        <w:tc>
          <w:tcPr>
            <w:tcW w:w="4280" w:type="dxa"/>
            <w:vAlign w:val="bottom"/>
            <w:shd w:val="clear" w:color="auto" w:fill="D9D9D9"/>
          </w:tcPr>
          <w:p>
            <w:pPr>
              <w:ind w:left="820"/>
              <w:spacing w:after="0"/>
              <w:rPr>
                <w:sz w:val="20"/>
                <w:szCs w:val="20"/>
                <w:color w:val="auto"/>
              </w:rPr>
            </w:pPr>
            <w:r>
              <w:rPr>
                <w:rFonts w:ascii="Arial" w:cs="Arial" w:eastAsia="Arial" w:hAnsi="Arial"/>
                <w:sz w:val="16"/>
                <w:szCs w:val="16"/>
                <w:color w:val="auto"/>
              </w:rPr>
              <w:t>Michael G. Vale</w:t>
            </w:r>
          </w:p>
        </w:tc>
        <w:tc>
          <w:tcPr>
            <w:tcW w:w="3720" w:type="dxa"/>
            <w:vAlign w:val="bottom"/>
            <w:shd w:val="clear" w:color="auto" w:fill="D9D9D9"/>
          </w:tcPr>
          <w:p>
            <w:pPr>
              <w:jc w:val="right"/>
              <w:ind w:right="261"/>
              <w:spacing w:after="0"/>
              <w:rPr>
                <w:sz w:val="20"/>
                <w:szCs w:val="20"/>
                <w:color w:val="auto"/>
              </w:rPr>
            </w:pPr>
            <w:r>
              <w:rPr>
                <w:rFonts w:ascii="Arial" w:cs="Arial" w:eastAsia="Arial" w:hAnsi="Arial"/>
                <w:sz w:val="16"/>
                <w:szCs w:val="16"/>
                <w:color w:val="auto"/>
              </w:rPr>
              <w:t>15,440</w:t>
            </w:r>
          </w:p>
        </w:tc>
        <w:tc>
          <w:tcPr>
            <w:tcW w:w="1560" w:type="dxa"/>
            <w:vAlign w:val="bottom"/>
            <w:shd w:val="clear" w:color="auto" w:fill="D9D9D9"/>
          </w:tcPr>
          <w:p>
            <w:pPr>
              <w:jc w:val="center"/>
              <w:ind w:right="100"/>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03"/>
        </w:trPr>
        <w:tc>
          <w:tcPr>
            <w:tcW w:w="1680" w:type="dxa"/>
            <w:vAlign w:val="bottom"/>
          </w:tcPr>
          <w:p>
            <w:pPr>
              <w:spacing w:after="0"/>
              <w:rPr>
                <w:sz w:val="17"/>
                <w:szCs w:val="17"/>
                <w:color w:val="auto"/>
              </w:rPr>
            </w:pPr>
          </w:p>
        </w:tc>
        <w:tc>
          <w:tcPr>
            <w:tcW w:w="4280" w:type="dxa"/>
            <w:vAlign w:val="bottom"/>
          </w:tcPr>
          <w:p>
            <w:pPr>
              <w:ind w:left="580"/>
              <w:spacing w:after="0"/>
              <w:rPr>
                <w:sz w:val="20"/>
                <w:szCs w:val="20"/>
                <w:color w:val="auto"/>
              </w:rPr>
            </w:pPr>
            <w:r>
              <w:rPr>
                <w:rFonts w:ascii="Arial" w:cs="Arial" w:eastAsia="Arial" w:hAnsi="Arial"/>
                <w:sz w:val="16"/>
                <w:szCs w:val="16"/>
                <w:color w:val="auto"/>
              </w:rPr>
              <w:t>Named Executive Officers:</w:t>
            </w:r>
          </w:p>
        </w:tc>
        <w:tc>
          <w:tcPr>
            <w:tcW w:w="37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shd w:val="clear" w:color="auto" w:fill="D9D9D9"/>
          </w:tcPr>
          <w:p>
            <w:pPr>
              <w:spacing w:after="0"/>
              <w:rPr>
                <w:sz w:val="20"/>
                <w:szCs w:val="20"/>
                <w:color w:val="auto"/>
              </w:rPr>
            </w:pPr>
            <w:r>
              <w:rPr>
                <w:rFonts w:ascii="Arial" w:cs="Arial" w:eastAsia="Arial" w:hAnsi="Arial"/>
                <w:sz w:val="16"/>
                <w:szCs w:val="16"/>
                <w:color w:val="auto"/>
              </w:rPr>
              <w:t>Common Stock</w:t>
            </w:r>
          </w:p>
        </w:tc>
        <w:tc>
          <w:tcPr>
            <w:tcW w:w="4280" w:type="dxa"/>
            <w:vAlign w:val="bottom"/>
            <w:shd w:val="clear" w:color="auto" w:fill="D9D9D9"/>
          </w:tcPr>
          <w:p>
            <w:pPr>
              <w:ind w:left="820"/>
              <w:spacing w:after="0"/>
              <w:rPr>
                <w:sz w:val="20"/>
                <w:szCs w:val="20"/>
                <w:color w:val="auto"/>
              </w:rPr>
            </w:pPr>
            <w:r>
              <w:rPr>
                <w:rFonts w:ascii="Arial" w:cs="Arial" w:eastAsia="Arial" w:hAnsi="Arial"/>
                <w:sz w:val="16"/>
                <w:szCs w:val="16"/>
                <w:color w:val="auto"/>
              </w:rPr>
              <w:t>Richard M. Olson</w:t>
            </w:r>
          </w:p>
        </w:tc>
        <w:tc>
          <w:tcPr>
            <w:tcW w:w="3720" w:type="dxa"/>
            <w:vAlign w:val="bottom"/>
            <w:shd w:val="clear" w:color="auto" w:fill="D9D9D9"/>
          </w:tcPr>
          <w:p>
            <w:pPr>
              <w:jc w:val="right"/>
              <w:ind w:right="261"/>
              <w:spacing w:after="0"/>
              <w:rPr>
                <w:sz w:val="20"/>
                <w:szCs w:val="20"/>
                <w:color w:val="auto"/>
              </w:rPr>
            </w:pPr>
            <w:r>
              <w:rPr>
                <w:rFonts w:ascii="Arial" w:cs="Arial" w:eastAsia="Arial" w:hAnsi="Arial"/>
                <w:sz w:val="16"/>
                <w:szCs w:val="16"/>
                <w:color w:val="auto"/>
              </w:rPr>
              <w:t>875,014</w:t>
            </w:r>
          </w:p>
        </w:tc>
        <w:tc>
          <w:tcPr>
            <w:tcW w:w="1560" w:type="dxa"/>
            <w:vAlign w:val="bottom"/>
            <w:shd w:val="clear" w:color="auto" w:fill="D9D9D9"/>
          </w:tcPr>
          <w:p>
            <w:pPr>
              <w:jc w:val="center"/>
              <w:ind w:right="100"/>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03"/>
        </w:trPr>
        <w:tc>
          <w:tcPr>
            <w:tcW w:w="1680" w:type="dxa"/>
            <w:vAlign w:val="bottom"/>
          </w:tcPr>
          <w:p>
            <w:pPr>
              <w:spacing w:after="0"/>
              <w:rPr>
                <w:sz w:val="20"/>
                <w:szCs w:val="20"/>
                <w:color w:val="auto"/>
              </w:rPr>
            </w:pPr>
            <w:r>
              <w:rPr>
                <w:rFonts w:ascii="Arial" w:cs="Arial" w:eastAsia="Arial" w:hAnsi="Arial"/>
                <w:sz w:val="16"/>
                <w:szCs w:val="16"/>
                <w:color w:val="auto"/>
              </w:rPr>
              <w:t>Common Stock</w:t>
            </w:r>
          </w:p>
        </w:tc>
        <w:tc>
          <w:tcPr>
            <w:tcW w:w="4280" w:type="dxa"/>
            <w:vAlign w:val="bottom"/>
          </w:tcPr>
          <w:p>
            <w:pPr>
              <w:ind w:left="820"/>
              <w:spacing w:after="0"/>
              <w:rPr>
                <w:sz w:val="20"/>
                <w:szCs w:val="20"/>
                <w:color w:val="auto"/>
              </w:rPr>
            </w:pPr>
            <w:r>
              <w:rPr>
                <w:rFonts w:ascii="Arial" w:cs="Arial" w:eastAsia="Arial" w:hAnsi="Arial"/>
                <w:sz w:val="16"/>
                <w:szCs w:val="16"/>
                <w:color w:val="auto"/>
              </w:rPr>
              <w:t>Renee J. Peterson</w:t>
            </w:r>
          </w:p>
        </w:tc>
        <w:tc>
          <w:tcPr>
            <w:tcW w:w="3720" w:type="dxa"/>
            <w:vAlign w:val="bottom"/>
          </w:tcPr>
          <w:p>
            <w:pPr>
              <w:jc w:val="right"/>
              <w:ind w:right="261"/>
              <w:spacing w:after="0"/>
              <w:rPr>
                <w:sz w:val="20"/>
                <w:szCs w:val="20"/>
                <w:color w:val="auto"/>
              </w:rPr>
            </w:pPr>
            <w:r>
              <w:rPr>
                <w:rFonts w:ascii="Arial" w:cs="Arial" w:eastAsia="Arial" w:hAnsi="Arial"/>
                <w:sz w:val="16"/>
                <w:szCs w:val="16"/>
                <w:color w:val="auto"/>
              </w:rPr>
              <w:t>320,654</w:t>
            </w:r>
          </w:p>
        </w:tc>
        <w:tc>
          <w:tcPr>
            <w:tcW w:w="1560" w:type="dxa"/>
            <w:vAlign w:val="bottom"/>
          </w:tcPr>
          <w:p>
            <w:pPr>
              <w:jc w:val="center"/>
              <w:ind w:right="100"/>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03"/>
        </w:trPr>
        <w:tc>
          <w:tcPr>
            <w:tcW w:w="1680" w:type="dxa"/>
            <w:vAlign w:val="bottom"/>
            <w:shd w:val="clear" w:color="auto" w:fill="D9D9D9"/>
          </w:tcPr>
          <w:p>
            <w:pPr>
              <w:spacing w:after="0"/>
              <w:rPr>
                <w:sz w:val="20"/>
                <w:szCs w:val="20"/>
                <w:color w:val="auto"/>
              </w:rPr>
            </w:pPr>
            <w:r>
              <w:rPr>
                <w:rFonts w:ascii="Arial" w:cs="Arial" w:eastAsia="Arial" w:hAnsi="Arial"/>
                <w:sz w:val="16"/>
                <w:szCs w:val="16"/>
                <w:color w:val="auto"/>
              </w:rPr>
              <w:t>Common Stock</w:t>
            </w:r>
          </w:p>
        </w:tc>
        <w:tc>
          <w:tcPr>
            <w:tcW w:w="4280" w:type="dxa"/>
            <w:vAlign w:val="bottom"/>
            <w:shd w:val="clear" w:color="auto" w:fill="D9D9D9"/>
          </w:tcPr>
          <w:p>
            <w:pPr>
              <w:ind w:left="820"/>
              <w:spacing w:after="0"/>
              <w:rPr>
                <w:sz w:val="20"/>
                <w:szCs w:val="20"/>
                <w:color w:val="auto"/>
              </w:rPr>
            </w:pPr>
            <w:r>
              <w:rPr>
                <w:rFonts w:ascii="Arial" w:cs="Arial" w:eastAsia="Arial" w:hAnsi="Arial"/>
                <w:sz w:val="16"/>
                <w:szCs w:val="16"/>
                <w:color w:val="auto"/>
              </w:rPr>
              <w:t>Kevin N. Carpenter</w:t>
            </w:r>
          </w:p>
        </w:tc>
        <w:tc>
          <w:tcPr>
            <w:tcW w:w="3720" w:type="dxa"/>
            <w:vAlign w:val="bottom"/>
            <w:shd w:val="clear" w:color="auto" w:fill="D9D9D9"/>
          </w:tcPr>
          <w:p>
            <w:pPr>
              <w:jc w:val="right"/>
              <w:ind w:right="261"/>
              <w:spacing w:after="0"/>
              <w:rPr>
                <w:sz w:val="20"/>
                <w:szCs w:val="20"/>
                <w:color w:val="auto"/>
              </w:rPr>
            </w:pPr>
            <w:r>
              <w:rPr>
                <w:rFonts w:ascii="Arial" w:cs="Arial" w:eastAsia="Arial" w:hAnsi="Arial"/>
                <w:sz w:val="16"/>
                <w:szCs w:val="16"/>
                <w:color w:val="auto"/>
              </w:rPr>
              <w:t>5,213</w:t>
            </w:r>
          </w:p>
        </w:tc>
        <w:tc>
          <w:tcPr>
            <w:tcW w:w="1560" w:type="dxa"/>
            <w:vAlign w:val="bottom"/>
            <w:shd w:val="clear" w:color="auto" w:fill="D9D9D9"/>
          </w:tcPr>
          <w:p>
            <w:pPr>
              <w:jc w:val="center"/>
              <w:ind w:right="100"/>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03"/>
        </w:trPr>
        <w:tc>
          <w:tcPr>
            <w:tcW w:w="1680" w:type="dxa"/>
            <w:vAlign w:val="bottom"/>
          </w:tcPr>
          <w:p>
            <w:pPr>
              <w:spacing w:after="0"/>
              <w:rPr>
                <w:sz w:val="20"/>
                <w:szCs w:val="20"/>
                <w:color w:val="auto"/>
              </w:rPr>
            </w:pPr>
            <w:r>
              <w:rPr>
                <w:rFonts w:ascii="Arial" w:cs="Arial" w:eastAsia="Arial" w:hAnsi="Arial"/>
                <w:sz w:val="16"/>
                <w:szCs w:val="16"/>
                <w:color w:val="auto"/>
              </w:rPr>
              <w:t>Common Stock</w:t>
            </w:r>
          </w:p>
        </w:tc>
        <w:tc>
          <w:tcPr>
            <w:tcW w:w="4280" w:type="dxa"/>
            <w:vAlign w:val="bottom"/>
          </w:tcPr>
          <w:p>
            <w:pPr>
              <w:ind w:left="820"/>
              <w:spacing w:after="0"/>
              <w:rPr>
                <w:sz w:val="20"/>
                <w:szCs w:val="20"/>
                <w:color w:val="auto"/>
              </w:rPr>
            </w:pPr>
            <w:r>
              <w:rPr>
                <w:rFonts w:ascii="Arial" w:cs="Arial" w:eastAsia="Arial" w:hAnsi="Arial"/>
                <w:sz w:val="16"/>
                <w:szCs w:val="16"/>
                <w:color w:val="auto"/>
              </w:rPr>
              <w:t>Richard W. Rodier</w:t>
            </w:r>
          </w:p>
        </w:tc>
        <w:tc>
          <w:tcPr>
            <w:tcW w:w="3720" w:type="dxa"/>
            <w:vAlign w:val="bottom"/>
          </w:tcPr>
          <w:p>
            <w:pPr>
              <w:jc w:val="right"/>
              <w:ind w:right="261"/>
              <w:spacing w:after="0"/>
              <w:rPr>
                <w:sz w:val="20"/>
                <w:szCs w:val="20"/>
                <w:color w:val="auto"/>
              </w:rPr>
            </w:pPr>
            <w:r>
              <w:rPr>
                <w:rFonts w:ascii="Arial" w:cs="Arial" w:eastAsia="Arial" w:hAnsi="Arial"/>
                <w:sz w:val="16"/>
                <w:szCs w:val="16"/>
                <w:color w:val="auto"/>
              </w:rPr>
              <w:t>125,193</w:t>
            </w:r>
          </w:p>
        </w:tc>
        <w:tc>
          <w:tcPr>
            <w:tcW w:w="1560" w:type="dxa"/>
            <w:vAlign w:val="bottom"/>
          </w:tcPr>
          <w:p>
            <w:pPr>
              <w:jc w:val="center"/>
              <w:ind w:right="100"/>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03"/>
        </w:trPr>
        <w:tc>
          <w:tcPr>
            <w:tcW w:w="1680" w:type="dxa"/>
            <w:vAlign w:val="bottom"/>
            <w:shd w:val="clear" w:color="auto" w:fill="D9D9D9"/>
          </w:tcPr>
          <w:p>
            <w:pPr>
              <w:spacing w:after="0"/>
              <w:rPr>
                <w:sz w:val="20"/>
                <w:szCs w:val="20"/>
                <w:color w:val="auto"/>
              </w:rPr>
            </w:pPr>
            <w:r>
              <w:rPr>
                <w:rFonts w:ascii="Arial" w:cs="Arial" w:eastAsia="Arial" w:hAnsi="Arial"/>
                <w:sz w:val="16"/>
                <w:szCs w:val="16"/>
                <w:color w:val="auto"/>
              </w:rPr>
              <w:t>Common Stock</w:t>
            </w:r>
          </w:p>
        </w:tc>
        <w:tc>
          <w:tcPr>
            <w:tcW w:w="4280" w:type="dxa"/>
            <w:vAlign w:val="bottom"/>
            <w:shd w:val="clear" w:color="auto" w:fill="D9D9D9"/>
          </w:tcPr>
          <w:p>
            <w:pPr>
              <w:ind w:left="820"/>
              <w:spacing w:after="0"/>
              <w:rPr>
                <w:sz w:val="20"/>
                <w:szCs w:val="20"/>
                <w:color w:val="auto"/>
              </w:rPr>
            </w:pPr>
            <w:r>
              <w:rPr>
                <w:rFonts w:ascii="Arial" w:cs="Arial" w:eastAsia="Arial" w:hAnsi="Arial"/>
                <w:sz w:val="16"/>
                <w:szCs w:val="16"/>
                <w:color w:val="auto"/>
              </w:rPr>
              <w:t>Amy E. Dahl</w:t>
            </w:r>
          </w:p>
        </w:tc>
        <w:tc>
          <w:tcPr>
            <w:tcW w:w="3720" w:type="dxa"/>
            <w:vAlign w:val="bottom"/>
            <w:shd w:val="clear" w:color="auto" w:fill="D9D9D9"/>
          </w:tcPr>
          <w:p>
            <w:pPr>
              <w:jc w:val="right"/>
              <w:ind w:right="261"/>
              <w:spacing w:after="0"/>
              <w:rPr>
                <w:sz w:val="20"/>
                <w:szCs w:val="20"/>
                <w:color w:val="auto"/>
              </w:rPr>
            </w:pPr>
            <w:r>
              <w:rPr>
                <w:rFonts w:ascii="Arial" w:cs="Arial" w:eastAsia="Arial" w:hAnsi="Arial"/>
                <w:sz w:val="16"/>
                <w:szCs w:val="16"/>
                <w:color w:val="auto"/>
              </w:rPr>
              <w:t>141,048</w:t>
            </w:r>
          </w:p>
        </w:tc>
        <w:tc>
          <w:tcPr>
            <w:tcW w:w="1560" w:type="dxa"/>
            <w:vAlign w:val="bottom"/>
            <w:shd w:val="clear" w:color="auto" w:fill="D9D9D9"/>
          </w:tcPr>
          <w:p>
            <w:pPr>
              <w:jc w:val="center"/>
              <w:ind w:right="100"/>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5"/>
        </w:trPr>
        <w:tc>
          <w:tcPr>
            <w:tcW w:w="5960" w:type="dxa"/>
            <w:vAlign w:val="bottom"/>
            <w:gridSpan w:val="2"/>
          </w:tcPr>
          <w:p>
            <w:pPr>
              <w:spacing w:after="0"/>
              <w:rPr>
                <w:sz w:val="20"/>
                <w:szCs w:val="20"/>
                <w:color w:val="auto"/>
              </w:rPr>
            </w:pPr>
            <w:r>
              <w:rPr>
                <w:rFonts w:ascii="Arial" w:cs="Arial" w:eastAsia="Arial" w:hAnsi="Arial"/>
                <w:sz w:val="16"/>
                <w:szCs w:val="16"/>
                <w:color w:val="auto"/>
              </w:rPr>
              <w:t>All Current Directors and Executive Officers as a Group (27)</w:t>
            </w:r>
          </w:p>
        </w:tc>
        <w:tc>
          <w:tcPr>
            <w:tcW w:w="3720" w:type="dxa"/>
            <w:vAlign w:val="bottom"/>
          </w:tcPr>
          <w:p>
            <w:pPr>
              <w:jc w:val="right"/>
              <w:ind w:right="261"/>
              <w:spacing w:after="0"/>
              <w:rPr>
                <w:sz w:val="20"/>
                <w:szCs w:val="20"/>
                <w:color w:val="auto"/>
              </w:rPr>
            </w:pPr>
            <w:r>
              <w:rPr>
                <w:rFonts w:ascii="Arial" w:cs="Arial" w:eastAsia="Arial" w:hAnsi="Arial"/>
                <w:sz w:val="16"/>
                <w:szCs w:val="16"/>
                <w:color w:val="auto"/>
              </w:rPr>
              <w:t>2,363,529</w:t>
            </w:r>
          </w:p>
        </w:tc>
        <w:tc>
          <w:tcPr>
            <w:tcW w:w="1560" w:type="dxa"/>
            <w:vAlign w:val="bottom"/>
          </w:tcPr>
          <w:p>
            <w:pPr>
              <w:jc w:val="center"/>
              <w:ind w:right="100"/>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204025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125" w:lineRule="exact"/>
        <w:rPr>
          <w:sz w:val="20"/>
          <w:szCs w:val="20"/>
          <w:color w:val="auto"/>
        </w:rPr>
      </w:pPr>
    </w:p>
    <w:p>
      <w:pPr>
        <w:ind w:left="400" w:hanging="392"/>
        <w:spacing w:after="0"/>
        <w:tabs>
          <w:tab w:leader="none" w:pos="4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Less than one percent of the outstanding shares of our common stock.</w:t>
      </w:r>
    </w:p>
    <w:p>
      <w:pPr>
        <w:spacing w:after="0" w:line="50" w:lineRule="exact"/>
        <w:rPr>
          <w:sz w:val="20"/>
          <w:szCs w:val="20"/>
          <w:color w:val="auto"/>
        </w:rPr>
      </w:pPr>
    </w:p>
    <w:p>
      <w:pPr>
        <w:ind w:left="400" w:right="20" w:hanging="392"/>
        <w:spacing w:after="0" w:line="247" w:lineRule="auto"/>
        <w:tabs>
          <w:tab w:leader="none" w:pos="4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Shares are deemed to be “beneficially owned” by a person if such person, directly or indirectly, has or shares: (a) the power to vote or direct the voting of such shares, or (b) the power to dispose or direct the disposition of such shares. Except as otherwise indicated in the footnotes to this table, the persons in this table have sole voting and investment power with respect to all shares of our common stock shown as beneficially owned by them, subject to community property laws, where applicable.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EE"/>
        </w:rPr>
        <w:t>Table of Contents</w:t>
      </w:r>
    </w:p>
    <w:p>
      <w:pPr>
        <w:spacing w:after="0" w:line="103" w:lineRule="exact"/>
        <w:rPr>
          <w:sz w:val="20"/>
          <w:szCs w:val="20"/>
          <w:color w:val="auto"/>
        </w:rPr>
      </w:pPr>
    </w:p>
    <w:p>
      <w:pPr>
        <w:ind w:left="400" w:right="60" w:hanging="392"/>
        <w:spacing w:after="0" w:line="244" w:lineRule="auto"/>
        <w:tabs>
          <w:tab w:leader="none" w:pos="4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“Beneficial ownership” also includes: (a) shares that a person has the right to acquire within 60 days of January 20, 2023, and, as such, includes shares that may be acquired upon exercise of stock options within 60 days of January 20, 2023; (b) shares allocated to executive officers under the Retirement Plan; and (c) common stock units and performance share units, collectively referred to as units, credited under the Deferred Plan for Directors and Deferred Plan for Officers. The following table reflects the beneficial ownership by type of security held by our non-employee directors, NEOs, and all current directors and executive officers as a group:</w:t>
      </w:r>
    </w:p>
    <w:p>
      <w:pPr>
        <w:spacing w:after="0" w:line="33" w:lineRule="exact"/>
        <w:rPr>
          <w:sz w:val="20"/>
          <w:szCs w:val="20"/>
          <w:color w:val="auto"/>
        </w:rPr>
      </w:pPr>
    </w:p>
    <w:tbl>
      <w:tblPr>
        <w:tblLayout w:type="fixed"/>
        <w:tblInd w:w="40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940" w:type="dxa"/>
            <w:vAlign w:val="bottom"/>
            <w:shd w:val="clear" w:color="auto" w:fill="C00000"/>
          </w:tcPr>
          <w:p>
            <w:pPr>
              <w:spacing w:after="0"/>
              <w:rPr>
                <w:sz w:val="14"/>
                <w:szCs w:val="14"/>
                <w:color w:val="auto"/>
              </w:rPr>
            </w:pPr>
          </w:p>
        </w:tc>
        <w:tc>
          <w:tcPr>
            <w:tcW w:w="1540" w:type="dxa"/>
            <w:vAlign w:val="bottom"/>
            <w:shd w:val="clear" w:color="auto" w:fill="C00000"/>
          </w:tcPr>
          <w:p>
            <w:pPr>
              <w:spacing w:after="0"/>
              <w:rPr>
                <w:sz w:val="14"/>
                <w:szCs w:val="14"/>
                <w:color w:val="auto"/>
              </w:rPr>
            </w:pPr>
          </w:p>
        </w:tc>
        <w:tc>
          <w:tcPr>
            <w:tcW w:w="1140" w:type="dxa"/>
            <w:vAlign w:val="bottom"/>
            <w:shd w:val="clear" w:color="auto" w:fill="C00000"/>
          </w:tcPr>
          <w:p>
            <w:pPr>
              <w:spacing w:after="0"/>
              <w:rPr>
                <w:sz w:val="14"/>
                <w:szCs w:val="14"/>
                <w:color w:val="auto"/>
              </w:rPr>
            </w:pPr>
          </w:p>
        </w:tc>
        <w:tc>
          <w:tcPr>
            <w:tcW w:w="1360" w:type="dxa"/>
            <w:vAlign w:val="bottom"/>
            <w:shd w:val="clear" w:color="auto" w:fill="C00000"/>
          </w:tcPr>
          <w:p>
            <w:pPr>
              <w:jc w:val="center"/>
              <w:ind w:right="20"/>
              <w:spacing w:after="0"/>
              <w:rPr>
                <w:sz w:val="20"/>
                <w:szCs w:val="20"/>
                <w:color w:val="auto"/>
              </w:rPr>
            </w:pPr>
            <w:r>
              <w:rPr>
                <w:rFonts w:ascii="Arial" w:cs="Arial" w:eastAsia="Arial" w:hAnsi="Arial"/>
                <w:sz w:val="14"/>
                <w:szCs w:val="14"/>
                <w:b w:val="1"/>
                <w:bCs w:val="1"/>
                <w:color w:val="FFFFFF"/>
              </w:rPr>
              <w:t>Units under the</w:t>
            </w:r>
          </w:p>
        </w:tc>
        <w:tc>
          <w:tcPr>
            <w:tcW w:w="1400" w:type="dxa"/>
            <w:vAlign w:val="bottom"/>
            <w:shd w:val="clear" w:color="auto" w:fill="C00000"/>
          </w:tcPr>
          <w:p>
            <w:pPr>
              <w:jc w:val="center"/>
              <w:ind w:right="40"/>
              <w:spacing w:after="0"/>
              <w:rPr>
                <w:sz w:val="20"/>
                <w:szCs w:val="20"/>
                <w:color w:val="auto"/>
              </w:rPr>
            </w:pPr>
            <w:r>
              <w:rPr>
                <w:rFonts w:ascii="Arial" w:cs="Arial" w:eastAsia="Arial" w:hAnsi="Arial"/>
                <w:sz w:val="14"/>
                <w:szCs w:val="14"/>
                <w:b w:val="1"/>
                <w:bCs w:val="1"/>
                <w:color w:val="FFFFFF"/>
              </w:rPr>
              <w:t>Units under the</w:t>
            </w:r>
          </w:p>
        </w:tc>
      </w:tr>
      <w:tr>
        <w:trPr>
          <w:trHeight w:val="162"/>
        </w:trPr>
        <w:tc>
          <w:tcPr>
            <w:tcW w:w="20" w:type="dxa"/>
            <w:vAlign w:val="bottom"/>
          </w:tcPr>
          <w:p>
            <w:pPr>
              <w:spacing w:after="0"/>
              <w:rPr>
                <w:sz w:val="14"/>
                <w:szCs w:val="14"/>
                <w:color w:val="auto"/>
              </w:rPr>
            </w:pPr>
          </w:p>
        </w:tc>
        <w:tc>
          <w:tcPr>
            <w:tcW w:w="4940" w:type="dxa"/>
            <w:vAlign w:val="bottom"/>
            <w:shd w:val="clear" w:color="auto" w:fill="C00000"/>
          </w:tcPr>
          <w:p>
            <w:pPr>
              <w:spacing w:after="0"/>
              <w:rPr>
                <w:sz w:val="14"/>
                <w:szCs w:val="14"/>
                <w:color w:val="auto"/>
              </w:rPr>
            </w:pPr>
          </w:p>
        </w:tc>
        <w:tc>
          <w:tcPr>
            <w:tcW w:w="1540" w:type="dxa"/>
            <w:vAlign w:val="bottom"/>
            <w:shd w:val="clear" w:color="auto" w:fill="C00000"/>
          </w:tcPr>
          <w:p>
            <w:pPr>
              <w:jc w:val="right"/>
              <w:ind w:right="340"/>
              <w:spacing w:after="0"/>
              <w:rPr>
                <w:sz w:val="20"/>
                <w:szCs w:val="20"/>
                <w:color w:val="auto"/>
              </w:rPr>
            </w:pPr>
            <w:r>
              <w:rPr>
                <w:rFonts w:ascii="Arial" w:cs="Arial" w:eastAsia="Arial" w:hAnsi="Arial"/>
                <w:sz w:val="14"/>
                <w:szCs w:val="14"/>
                <w:b w:val="1"/>
                <w:bCs w:val="1"/>
                <w:color w:val="FFFFFF"/>
              </w:rPr>
              <w:t>Stock</w:t>
            </w:r>
          </w:p>
        </w:tc>
        <w:tc>
          <w:tcPr>
            <w:tcW w:w="1140" w:type="dxa"/>
            <w:vAlign w:val="bottom"/>
            <w:shd w:val="clear" w:color="auto" w:fill="C00000"/>
          </w:tcPr>
          <w:p>
            <w:pPr>
              <w:jc w:val="center"/>
              <w:ind w:right="60"/>
              <w:spacing w:after="0"/>
              <w:rPr>
                <w:sz w:val="20"/>
                <w:szCs w:val="20"/>
                <w:color w:val="auto"/>
              </w:rPr>
            </w:pPr>
            <w:r>
              <w:rPr>
                <w:rFonts w:ascii="Arial" w:cs="Arial" w:eastAsia="Arial" w:hAnsi="Arial"/>
                <w:sz w:val="14"/>
                <w:szCs w:val="14"/>
                <w:b w:val="1"/>
                <w:bCs w:val="1"/>
                <w:color w:val="FFFFFF"/>
              </w:rPr>
              <w:t>Retirement</w:t>
            </w:r>
          </w:p>
        </w:tc>
        <w:tc>
          <w:tcPr>
            <w:tcW w:w="1360" w:type="dxa"/>
            <w:vAlign w:val="bottom"/>
            <w:shd w:val="clear" w:color="auto" w:fill="C00000"/>
          </w:tcPr>
          <w:p>
            <w:pPr>
              <w:jc w:val="center"/>
              <w:ind w:right="20"/>
              <w:spacing w:after="0"/>
              <w:rPr>
                <w:sz w:val="20"/>
                <w:szCs w:val="20"/>
                <w:color w:val="auto"/>
              </w:rPr>
            </w:pPr>
            <w:r>
              <w:rPr>
                <w:rFonts w:ascii="Arial" w:cs="Arial" w:eastAsia="Arial" w:hAnsi="Arial"/>
                <w:sz w:val="14"/>
                <w:szCs w:val="14"/>
                <w:b w:val="1"/>
                <w:bCs w:val="1"/>
                <w:color w:val="FFFFFF"/>
              </w:rPr>
              <w:t>Deferred Plan</w:t>
            </w:r>
          </w:p>
        </w:tc>
        <w:tc>
          <w:tcPr>
            <w:tcW w:w="1400" w:type="dxa"/>
            <w:vAlign w:val="bottom"/>
            <w:shd w:val="clear" w:color="auto" w:fill="C00000"/>
          </w:tcPr>
          <w:p>
            <w:pPr>
              <w:jc w:val="center"/>
              <w:ind w:right="40"/>
              <w:spacing w:after="0"/>
              <w:rPr>
                <w:sz w:val="20"/>
                <w:szCs w:val="20"/>
                <w:color w:val="auto"/>
              </w:rPr>
            </w:pPr>
            <w:r>
              <w:rPr>
                <w:rFonts w:ascii="Arial" w:cs="Arial" w:eastAsia="Arial" w:hAnsi="Arial"/>
                <w:sz w:val="14"/>
                <w:szCs w:val="14"/>
                <w:b w:val="1"/>
                <w:bCs w:val="1"/>
                <w:color w:val="FFFFFF"/>
              </w:rPr>
              <w:t>Deferred Plan</w:t>
            </w:r>
          </w:p>
        </w:tc>
      </w:tr>
      <w:tr>
        <w:trPr>
          <w:trHeight w:val="171"/>
        </w:trPr>
        <w:tc>
          <w:tcPr>
            <w:tcW w:w="20" w:type="dxa"/>
            <w:vAlign w:val="bottom"/>
          </w:tcPr>
          <w:p>
            <w:pPr>
              <w:spacing w:after="0"/>
              <w:rPr>
                <w:sz w:val="14"/>
                <w:szCs w:val="14"/>
                <w:color w:val="auto"/>
              </w:rPr>
            </w:pPr>
          </w:p>
        </w:tc>
        <w:tc>
          <w:tcPr>
            <w:tcW w:w="494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Name</w:t>
            </w:r>
          </w:p>
        </w:tc>
        <w:tc>
          <w:tcPr>
            <w:tcW w:w="1540" w:type="dxa"/>
            <w:vAlign w:val="bottom"/>
            <w:shd w:val="clear" w:color="auto" w:fill="C00000"/>
          </w:tcPr>
          <w:p>
            <w:pPr>
              <w:jc w:val="right"/>
              <w:ind w:right="280"/>
              <w:spacing w:after="0"/>
              <w:rPr>
                <w:sz w:val="20"/>
                <w:szCs w:val="20"/>
                <w:color w:val="auto"/>
              </w:rPr>
            </w:pPr>
            <w:r>
              <w:rPr>
                <w:rFonts w:ascii="Arial" w:cs="Arial" w:eastAsia="Arial" w:hAnsi="Arial"/>
                <w:sz w:val="14"/>
                <w:szCs w:val="14"/>
                <w:b w:val="1"/>
                <w:bCs w:val="1"/>
                <w:color w:val="FFFFFF"/>
              </w:rPr>
              <w:t>Options</w:t>
            </w:r>
          </w:p>
        </w:tc>
        <w:tc>
          <w:tcPr>
            <w:tcW w:w="1140" w:type="dxa"/>
            <w:vAlign w:val="bottom"/>
            <w:shd w:val="clear" w:color="auto" w:fill="C00000"/>
          </w:tcPr>
          <w:p>
            <w:pPr>
              <w:jc w:val="center"/>
              <w:ind w:right="80"/>
              <w:spacing w:after="0"/>
              <w:rPr>
                <w:sz w:val="20"/>
                <w:szCs w:val="20"/>
                <w:color w:val="auto"/>
              </w:rPr>
            </w:pPr>
            <w:r>
              <w:rPr>
                <w:rFonts w:ascii="Arial" w:cs="Arial" w:eastAsia="Arial" w:hAnsi="Arial"/>
                <w:sz w:val="14"/>
                <w:szCs w:val="14"/>
                <w:b w:val="1"/>
                <w:bCs w:val="1"/>
                <w:color w:val="FFFFFF"/>
              </w:rPr>
              <w:t>Plan</w:t>
            </w:r>
          </w:p>
        </w:tc>
        <w:tc>
          <w:tcPr>
            <w:tcW w:w="1360" w:type="dxa"/>
            <w:vAlign w:val="bottom"/>
            <w:shd w:val="clear" w:color="auto" w:fill="C00000"/>
          </w:tcPr>
          <w:p>
            <w:pPr>
              <w:jc w:val="center"/>
              <w:ind w:right="20"/>
              <w:spacing w:after="0"/>
              <w:rPr>
                <w:sz w:val="20"/>
                <w:szCs w:val="20"/>
                <w:color w:val="auto"/>
              </w:rPr>
            </w:pPr>
            <w:r>
              <w:rPr>
                <w:rFonts w:ascii="Arial" w:cs="Arial" w:eastAsia="Arial" w:hAnsi="Arial"/>
                <w:sz w:val="14"/>
                <w:szCs w:val="14"/>
                <w:b w:val="1"/>
                <w:bCs w:val="1"/>
                <w:color w:val="FFFFFF"/>
              </w:rPr>
              <w:t>for Directors</w:t>
            </w:r>
          </w:p>
        </w:tc>
        <w:tc>
          <w:tcPr>
            <w:tcW w:w="1400" w:type="dxa"/>
            <w:vAlign w:val="bottom"/>
            <w:shd w:val="clear" w:color="auto" w:fill="C00000"/>
          </w:tcPr>
          <w:p>
            <w:pPr>
              <w:jc w:val="center"/>
              <w:ind w:right="40"/>
              <w:spacing w:after="0"/>
              <w:rPr>
                <w:sz w:val="20"/>
                <w:szCs w:val="20"/>
                <w:color w:val="auto"/>
              </w:rPr>
            </w:pPr>
            <w:r>
              <w:rPr>
                <w:rFonts w:ascii="Arial" w:cs="Arial" w:eastAsia="Arial" w:hAnsi="Arial"/>
                <w:sz w:val="14"/>
                <w:szCs w:val="14"/>
                <w:b w:val="1"/>
                <w:bCs w:val="1"/>
                <w:color w:val="FFFFFF"/>
              </w:rPr>
              <w:t>for Officers</w:t>
            </w:r>
          </w:p>
        </w:tc>
      </w:tr>
      <w:tr>
        <w:trPr>
          <w:trHeight w:val="215"/>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6"/>
                <w:szCs w:val="16"/>
                <w:color w:val="auto"/>
              </w:rPr>
              <w:t>Non-Employee Directors:</w:t>
            </w: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D9D9D9"/>
          </w:tcPr>
          <w:p>
            <w:pPr>
              <w:ind w:left="240"/>
              <w:spacing w:after="0"/>
              <w:rPr>
                <w:sz w:val="20"/>
                <w:szCs w:val="20"/>
                <w:color w:val="auto"/>
              </w:rPr>
            </w:pPr>
            <w:r>
              <w:rPr>
                <w:rFonts w:ascii="Arial" w:cs="Arial" w:eastAsia="Arial" w:hAnsi="Arial"/>
                <w:sz w:val="16"/>
                <w:szCs w:val="16"/>
                <w:color w:val="auto"/>
              </w:rPr>
              <w:t>Janet K. Cooper</w:t>
            </w:r>
          </w:p>
        </w:tc>
        <w:tc>
          <w:tcPr>
            <w:tcW w:w="1540" w:type="dxa"/>
            <w:vAlign w:val="bottom"/>
            <w:shd w:val="clear" w:color="auto" w:fill="D9D9D9"/>
          </w:tcPr>
          <w:p>
            <w:pPr>
              <w:jc w:val="right"/>
              <w:ind w:right="40"/>
              <w:spacing w:after="0"/>
              <w:rPr>
                <w:sz w:val="20"/>
                <w:szCs w:val="20"/>
                <w:color w:val="auto"/>
              </w:rPr>
            </w:pPr>
            <w:r>
              <w:rPr>
                <w:rFonts w:ascii="Arial" w:cs="Arial" w:eastAsia="Arial" w:hAnsi="Arial"/>
                <w:sz w:val="16"/>
                <w:szCs w:val="16"/>
                <w:color w:val="auto"/>
              </w:rPr>
              <w:t>19,745</w:t>
            </w:r>
          </w:p>
        </w:tc>
        <w:tc>
          <w:tcPr>
            <w:tcW w:w="1140" w:type="dxa"/>
            <w:vAlign w:val="bottom"/>
            <w:shd w:val="clear" w:color="auto" w:fill="D9D9D9"/>
          </w:tcPr>
          <w:p>
            <w:pPr>
              <w:jc w:val="center"/>
              <w:ind w:right="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D9D9D9"/>
          </w:tcPr>
          <w:p>
            <w:pPr>
              <w:jc w:val="right"/>
              <w:ind w:right="20"/>
              <w:spacing w:after="0"/>
              <w:rPr>
                <w:sz w:val="20"/>
                <w:szCs w:val="20"/>
                <w:color w:val="auto"/>
              </w:rPr>
            </w:pPr>
            <w:r>
              <w:rPr>
                <w:rFonts w:ascii="Arial" w:cs="Arial" w:eastAsia="Arial" w:hAnsi="Arial"/>
                <w:sz w:val="16"/>
                <w:szCs w:val="16"/>
                <w:color w:val="auto"/>
              </w:rPr>
              <w:t>47,670</w:t>
            </w:r>
          </w:p>
        </w:tc>
        <w:tc>
          <w:tcPr>
            <w:tcW w:w="1400" w:type="dxa"/>
            <w:vAlign w:val="bottom"/>
            <w:shd w:val="clear" w:color="auto" w:fill="D9D9D9"/>
          </w:tcPr>
          <w:p>
            <w:pPr>
              <w:jc w:val="center"/>
              <w:ind w:right="40"/>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4940" w:type="dxa"/>
            <w:vAlign w:val="bottom"/>
          </w:tcPr>
          <w:p>
            <w:pPr>
              <w:ind w:left="240"/>
              <w:spacing w:after="0"/>
              <w:rPr>
                <w:sz w:val="20"/>
                <w:szCs w:val="20"/>
                <w:color w:val="auto"/>
              </w:rPr>
            </w:pPr>
            <w:r>
              <w:rPr>
                <w:rFonts w:ascii="Arial" w:cs="Arial" w:eastAsia="Arial" w:hAnsi="Arial"/>
                <w:sz w:val="16"/>
                <w:szCs w:val="16"/>
                <w:color w:val="auto"/>
              </w:rPr>
              <w:t>Gary L. Ellis</w:t>
            </w: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35,079</w:t>
            </w:r>
          </w:p>
        </w:tc>
        <w:tc>
          <w:tcPr>
            <w:tcW w:w="1140" w:type="dxa"/>
            <w:vAlign w:val="bottom"/>
          </w:tcPr>
          <w:p>
            <w:pPr>
              <w:jc w:val="center"/>
              <w:ind w:right="8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3,966</w:t>
            </w:r>
          </w:p>
        </w:tc>
        <w:tc>
          <w:tcPr>
            <w:tcW w:w="1400" w:type="dxa"/>
            <w:vAlign w:val="bottom"/>
          </w:tcPr>
          <w:p>
            <w:pPr>
              <w:jc w:val="center"/>
              <w:ind w:right="40"/>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4940" w:type="dxa"/>
            <w:vAlign w:val="bottom"/>
            <w:shd w:val="clear" w:color="auto" w:fill="D9D9D9"/>
          </w:tcPr>
          <w:p>
            <w:pPr>
              <w:ind w:left="240"/>
              <w:spacing w:after="0"/>
              <w:rPr>
                <w:sz w:val="20"/>
                <w:szCs w:val="20"/>
                <w:color w:val="auto"/>
              </w:rPr>
            </w:pPr>
            <w:r>
              <w:rPr>
                <w:rFonts w:ascii="Arial" w:cs="Arial" w:eastAsia="Arial" w:hAnsi="Arial"/>
                <w:sz w:val="16"/>
                <w:szCs w:val="16"/>
                <w:color w:val="auto"/>
              </w:rPr>
              <w:t>Jeffrey M. Ettinger</w:t>
            </w:r>
          </w:p>
        </w:tc>
        <w:tc>
          <w:tcPr>
            <w:tcW w:w="1540" w:type="dxa"/>
            <w:vAlign w:val="bottom"/>
            <w:shd w:val="clear" w:color="auto" w:fill="D9D9D9"/>
          </w:tcPr>
          <w:p>
            <w:pPr>
              <w:jc w:val="right"/>
              <w:ind w:right="40"/>
              <w:spacing w:after="0"/>
              <w:rPr>
                <w:sz w:val="20"/>
                <w:szCs w:val="20"/>
                <w:color w:val="auto"/>
              </w:rPr>
            </w:pPr>
            <w:r>
              <w:rPr>
                <w:rFonts w:ascii="Arial" w:cs="Arial" w:eastAsia="Arial" w:hAnsi="Arial"/>
                <w:sz w:val="16"/>
                <w:szCs w:val="16"/>
                <w:color w:val="auto"/>
              </w:rPr>
              <w:t>35,079</w:t>
            </w:r>
          </w:p>
        </w:tc>
        <w:tc>
          <w:tcPr>
            <w:tcW w:w="1140" w:type="dxa"/>
            <w:vAlign w:val="bottom"/>
            <w:shd w:val="clear" w:color="auto" w:fill="D9D9D9"/>
          </w:tcPr>
          <w:p>
            <w:pPr>
              <w:jc w:val="center"/>
              <w:ind w:right="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D9D9D9"/>
          </w:tcPr>
          <w:p>
            <w:pPr>
              <w:jc w:val="right"/>
              <w:ind w:right="20"/>
              <w:spacing w:after="0"/>
              <w:rPr>
                <w:sz w:val="20"/>
                <w:szCs w:val="20"/>
                <w:color w:val="auto"/>
              </w:rPr>
            </w:pPr>
            <w:r>
              <w:rPr>
                <w:rFonts w:ascii="Arial" w:cs="Arial" w:eastAsia="Arial" w:hAnsi="Arial"/>
                <w:sz w:val="16"/>
                <w:szCs w:val="16"/>
                <w:color w:val="auto"/>
              </w:rPr>
              <w:t>0</w:t>
            </w:r>
          </w:p>
        </w:tc>
        <w:tc>
          <w:tcPr>
            <w:tcW w:w="1400" w:type="dxa"/>
            <w:vAlign w:val="bottom"/>
            <w:shd w:val="clear" w:color="auto" w:fill="D9D9D9"/>
          </w:tcPr>
          <w:p>
            <w:pPr>
              <w:jc w:val="center"/>
              <w:ind w:right="40"/>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4940" w:type="dxa"/>
            <w:vAlign w:val="bottom"/>
          </w:tcPr>
          <w:p>
            <w:pPr>
              <w:ind w:left="240"/>
              <w:spacing w:after="0"/>
              <w:rPr>
                <w:sz w:val="20"/>
                <w:szCs w:val="20"/>
                <w:color w:val="auto"/>
              </w:rPr>
            </w:pPr>
            <w:r>
              <w:rPr>
                <w:rFonts w:ascii="Arial" w:cs="Arial" w:eastAsia="Arial" w:hAnsi="Arial"/>
                <w:sz w:val="16"/>
                <w:szCs w:val="16"/>
                <w:color w:val="auto"/>
              </w:rPr>
              <w:t>Eric P. Hansotia</w:t>
            </w: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0</w:t>
            </w:r>
          </w:p>
        </w:tc>
        <w:tc>
          <w:tcPr>
            <w:tcW w:w="1140" w:type="dxa"/>
            <w:vAlign w:val="bottom"/>
          </w:tcPr>
          <w:p>
            <w:pPr>
              <w:jc w:val="center"/>
              <w:ind w:right="8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1400" w:type="dxa"/>
            <w:vAlign w:val="bottom"/>
          </w:tcPr>
          <w:p>
            <w:pPr>
              <w:jc w:val="center"/>
              <w:ind w:right="40"/>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4940" w:type="dxa"/>
            <w:vAlign w:val="bottom"/>
            <w:shd w:val="clear" w:color="auto" w:fill="D9D9D9"/>
          </w:tcPr>
          <w:p>
            <w:pPr>
              <w:ind w:left="240"/>
              <w:spacing w:after="0"/>
              <w:rPr>
                <w:sz w:val="20"/>
                <w:szCs w:val="20"/>
                <w:color w:val="auto"/>
              </w:rPr>
            </w:pPr>
            <w:r>
              <w:rPr>
                <w:rFonts w:ascii="Arial" w:cs="Arial" w:eastAsia="Arial" w:hAnsi="Arial"/>
                <w:sz w:val="16"/>
                <w:szCs w:val="16"/>
                <w:color w:val="auto"/>
              </w:rPr>
              <w:t>Katherine J. Harless</w:t>
            </w:r>
          </w:p>
        </w:tc>
        <w:tc>
          <w:tcPr>
            <w:tcW w:w="1540" w:type="dxa"/>
            <w:vAlign w:val="bottom"/>
            <w:shd w:val="clear" w:color="auto" w:fill="D9D9D9"/>
          </w:tcPr>
          <w:p>
            <w:pPr>
              <w:jc w:val="right"/>
              <w:ind w:right="40"/>
              <w:spacing w:after="0"/>
              <w:rPr>
                <w:sz w:val="20"/>
                <w:szCs w:val="20"/>
                <w:color w:val="auto"/>
              </w:rPr>
            </w:pPr>
            <w:r>
              <w:rPr>
                <w:rFonts w:ascii="Arial" w:cs="Arial" w:eastAsia="Arial" w:hAnsi="Arial"/>
                <w:sz w:val="16"/>
                <w:szCs w:val="16"/>
                <w:color w:val="auto"/>
              </w:rPr>
              <w:t>29,975</w:t>
            </w:r>
          </w:p>
        </w:tc>
        <w:tc>
          <w:tcPr>
            <w:tcW w:w="1140" w:type="dxa"/>
            <w:vAlign w:val="bottom"/>
            <w:shd w:val="clear" w:color="auto" w:fill="D9D9D9"/>
          </w:tcPr>
          <w:p>
            <w:pPr>
              <w:jc w:val="center"/>
              <w:ind w:right="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D9D9D9"/>
          </w:tcPr>
          <w:p>
            <w:pPr>
              <w:jc w:val="right"/>
              <w:ind w:right="20"/>
              <w:spacing w:after="0"/>
              <w:rPr>
                <w:sz w:val="20"/>
                <w:szCs w:val="20"/>
                <w:color w:val="auto"/>
              </w:rPr>
            </w:pPr>
            <w:r>
              <w:rPr>
                <w:rFonts w:ascii="Arial" w:cs="Arial" w:eastAsia="Arial" w:hAnsi="Arial"/>
                <w:sz w:val="16"/>
                <w:szCs w:val="16"/>
                <w:color w:val="auto"/>
              </w:rPr>
              <w:t>3,428</w:t>
            </w:r>
          </w:p>
        </w:tc>
        <w:tc>
          <w:tcPr>
            <w:tcW w:w="1400" w:type="dxa"/>
            <w:vAlign w:val="bottom"/>
            <w:shd w:val="clear" w:color="auto" w:fill="D9D9D9"/>
          </w:tcPr>
          <w:p>
            <w:pPr>
              <w:jc w:val="center"/>
              <w:ind w:right="40"/>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4940" w:type="dxa"/>
            <w:vAlign w:val="bottom"/>
          </w:tcPr>
          <w:p>
            <w:pPr>
              <w:ind w:left="240"/>
              <w:spacing w:after="0"/>
              <w:rPr>
                <w:sz w:val="20"/>
                <w:szCs w:val="20"/>
                <w:color w:val="auto"/>
              </w:rPr>
            </w:pPr>
            <w:r>
              <w:rPr>
                <w:rFonts w:ascii="Arial" w:cs="Arial" w:eastAsia="Arial" w:hAnsi="Arial"/>
                <w:sz w:val="16"/>
                <w:szCs w:val="16"/>
                <w:color w:val="auto"/>
              </w:rPr>
              <w:t>Jeffrey L. Harmening</w:t>
            </w: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6,466</w:t>
            </w:r>
          </w:p>
        </w:tc>
        <w:tc>
          <w:tcPr>
            <w:tcW w:w="1140" w:type="dxa"/>
            <w:vAlign w:val="bottom"/>
          </w:tcPr>
          <w:p>
            <w:pPr>
              <w:jc w:val="center"/>
              <w:ind w:right="8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1400" w:type="dxa"/>
            <w:vAlign w:val="bottom"/>
          </w:tcPr>
          <w:p>
            <w:pPr>
              <w:jc w:val="center"/>
              <w:ind w:right="40"/>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4940" w:type="dxa"/>
            <w:vAlign w:val="bottom"/>
            <w:shd w:val="clear" w:color="auto" w:fill="D9D9D9"/>
          </w:tcPr>
          <w:p>
            <w:pPr>
              <w:ind w:left="240"/>
              <w:spacing w:after="0"/>
              <w:rPr>
                <w:sz w:val="20"/>
                <w:szCs w:val="20"/>
                <w:color w:val="auto"/>
              </w:rPr>
            </w:pPr>
            <w:r>
              <w:rPr>
                <w:rFonts w:ascii="Arial" w:cs="Arial" w:eastAsia="Arial" w:hAnsi="Arial"/>
                <w:sz w:val="16"/>
                <w:szCs w:val="16"/>
                <w:color w:val="auto"/>
              </w:rPr>
              <w:t>D. Christian Koch</w:t>
            </w:r>
          </w:p>
        </w:tc>
        <w:tc>
          <w:tcPr>
            <w:tcW w:w="1540" w:type="dxa"/>
            <w:vAlign w:val="bottom"/>
            <w:shd w:val="clear" w:color="auto" w:fill="D9D9D9"/>
          </w:tcPr>
          <w:p>
            <w:pPr>
              <w:jc w:val="right"/>
              <w:ind w:right="40"/>
              <w:spacing w:after="0"/>
              <w:rPr>
                <w:sz w:val="20"/>
                <w:szCs w:val="20"/>
                <w:color w:val="auto"/>
              </w:rPr>
            </w:pPr>
            <w:r>
              <w:rPr>
                <w:rFonts w:ascii="Arial" w:cs="Arial" w:eastAsia="Arial" w:hAnsi="Arial"/>
                <w:sz w:val="16"/>
                <w:szCs w:val="16"/>
                <w:color w:val="auto"/>
              </w:rPr>
              <w:t>19,745</w:t>
            </w:r>
          </w:p>
        </w:tc>
        <w:tc>
          <w:tcPr>
            <w:tcW w:w="1140" w:type="dxa"/>
            <w:vAlign w:val="bottom"/>
            <w:shd w:val="clear" w:color="auto" w:fill="D9D9D9"/>
          </w:tcPr>
          <w:p>
            <w:pPr>
              <w:jc w:val="center"/>
              <w:ind w:right="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D9D9D9"/>
          </w:tcPr>
          <w:p>
            <w:pPr>
              <w:jc w:val="right"/>
              <w:ind w:right="20"/>
              <w:spacing w:after="0"/>
              <w:rPr>
                <w:sz w:val="20"/>
                <w:szCs w:val="20"/>
                <w:color w:val="auto"/>
              </w:rPr>
            </w:pPr>
            <w:r>
              <w:rPr>
                <w:rFonts w:ascii="Arial" w:cs="Arial" w:eastAsia="Arial" w:hAnsi="Arial"/>
                <w:sz w:val="16"/>
                <w:szCs w:val="16"/>
                <w:color w:val="auto"/>
              </w:rPr>
              <w:t>0</w:t>
            </w:r>
          </w:p>
        </w:tc>
        <w:tc>
          <w:tcPr>
            <w:tcW w:w="1400" w:type="dxa"/>
            <w:vAlign w:val="bottom"/>
            <w:shd w:val="clear" w:color="auto" w:fill="D9D9D9"/>
          </w:tcPr>
          <w:p>
            <w:pPr>
              <w:jc w:val="center"/>
              <w:ind w:right="40"/>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4940" w:type="dxa"/>
            <w:vAlign w:val="bottom"/>
          </w:tcPr>
          <w:p>
            <w:pPr>
              <w:ind w:left="240"/>
              <w:spacing w:after="0"/>
              <w:rPr>
                <w:sz w:val="20"/>
                <w:szCs w:val="20"/>
                <w:color w:val="auto"/>
              </w:rPr>
            </w:pPr>
            <w:r>
              <w:rPr>
                <w:rFonts w:ascii="Arial" w:cs="Arial" w:eastAsia="Arial" w:hAnsi="Arial"/>
                <w:sz w:val="16"/>
                <w:szCs w:val="16"/>
                <w:color w:val="auto"/>
              </w:rPr>
              <w:t>Joyce A. Mullen</w:t>
            </w: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6,466</w:t>
            </w:r>
          </w:p>
        </w:tc>
        <w:tc>
          <w:tcPr>
            <w:tcW w:w="1140" w:type="dxa"/>
            <w:vAlign w:val="bottom"/>
          </w:tcPr>
          <w:p>
            <w:pPr>
              <w:jc w:val="center"/>
              <w:ind w:right="8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3,428</w:t>
            </w:r>
          </w:p>
        </w:tc>
        <w:tc>
          <w:tcPr>
            <w:tcW w:w="1400" w:type="dxa"/>
            <w:vAlign w:val="bottom"/>
          </w:tcPr>
          <w:p>
            <w:pPr>
              <w:jc w:val="center"/>
              <w:ind w:right="40"/>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4940" w:type="dxa"/>
            <w:vAlign w:val="bottom"/>
            <w:shd w:val="clear" w:color="auto" w:fill="D9D9D9"/>
          </w:tcPr>
          <w:p>
            <w:pPr>
              <w:ind w:left="240"/>
              <w:spacing w:after="0"/>
              <w:rPr>
                <w:sz w:val="20"/>
                <w:szCs w:val="20"/>
                <w:color w:val="auto"/>
              </w:rPr>
            </w:pPr>
            <w:r>
              <w:rPr>
                <w:rFonts w:ascii="Arial" w:cs="Arial" w:eastAsia="Arial" w:hAnsi="Arial"/>
                <w:sz w:val="16"/>
                <w:szCs w:val="16"/>
                <w:color w:val="auto"/>
              </w:rPr>
              <w:t>James C. O’Rourke</w:t>
            </w:r>
          </w:p>
        </w:tc>
        <w:tc>
          <w:tcPr>
            <w:tcW w:w="1540" w:type="dxa"/>
            <w:vAlign w:val="bottom"/>
            <w:shd w:val="clear" w:color="auto" w:fill="D9D9D9"/>
          </w:tcPr>
          <w:p>
            <w:pPr>
              <w:jc w:val="right"/>
              <w:ind w:right="40"/>
              <w:spacing w:after="0"/>
              <w:rPr>
                <w:sz w:val="20"/>
                <w:szCs w:val="20"/>
                <w:color w:val="auto"/>
              </w:rPr>
            </w:pPr>
            <w:r>
              <w:rPr>
                <w:rFonts w:ascii="Arial" w:cs="Arial" w:eastAsia="Arial" w:hAnsi="Arial"/>
                <w:sz w:val="16"/>
                <w:szCs w:val="16"/>
                <w:color w:val="auto"/>
              </w:rPr>
              <w:t>24,783</w:t>
            </w:r>
          </w:p>
        </w:tc>
        <w:tc>
          <w:tcPr>
            <w:tcW w:w="1140" w:type="dxa"/>
            <w:vAlign w:val="bottom"/>
            <w:shd w:val="clear" w:color="auto" w:fill="D9D9D9"/>
          </w:tcPr>
          <w:p>
            <w:pPr>
              <w:jc w:val="center"/>
              <w:ind w:right="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D9D9D9"/>
          </w:tcPr>
          <w:p>
            <w:pPr>
              <w:jc w:val="right"/>
              <w:ind w:right="20"/>
              <w:spacing w:after="0"/>
              <w:rPr>
                <w:sz w:val="20"/>
                <w:szCs w:val="20"/>
                <w:color w:val="auto"/>
              </w:rPr>
            </w:pPr>
            <w:r>
              <w:rPr>
                <w:rFonts w:ascii="Arial" w:cs="Arial" w:eastAsia="Arial" w:hAnsi="Arial"/>
                <w:sz w:val="16"/>
                <w:szCs w:val="16"/>
                <w:color w:val="auto"/>
              </w:rPr>
              <w:t>0</w:t>
            </w:r>
          </w:p>
        </w:tc>
        <w:tc>
          <w:tcPr>
            <w:tcW w:w="1400" w:type="dxa"/>
            <w:vAlign w:val="bottom"/>
            <w:shd w:val="clear" w:color="auto" w:fill="D9D9D9"/>
          </w:tcPr>
          <w:p>
            <w:pPr>
              <w:jc w:val="center"/>
              <w:ind w:right="40"/>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4940" w:type="dxa"/>
            <w:vAlign w:val="bottom"/>
          </w:tcPr>
          <w:p>
            <w:pPr>
              <w:ind w:left="240"/>
              <w:spacing w:after="0"/>
              <w:rPr>
                <w:sz w:val="20"/>
                <w:szCs w:val="20"/>
                <w:color w:val="auto"/>
              </w:rPr>
            </w:pPr>
            <w:r>
              <w:rPr>
                <w:rFonts w:ascii="Arial" w:cs="Arial" w:eastAsia="Arial" w:hAnsi="Arial"/>
                <w:sz w:val="16"/>
                <w:szCs w:val="16"/>
                <w:color w:val="auto"/>
              </w:rPr>
              <w:t>Jill M. Pemberton</w:t>
            </w: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0</w:t>
            </w:r>
          </w:p>
        </w:tc>
        <w:tc>
          <w:tcPr>
            <w:tcW w:w="1140" w:type="dxa"/>
            <w:vAlign w:val="bottom"/>
          </w:tcPr>
          <w:p>
            <w:pPr>
              <w:jc w:val="center"/>
              <w:ind w:right="8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942</w:t>
            </w:r>
          </w:p>
        </w:tc>
        <w:tc>
          <w:tcPr>
            <w:tcW w:w="1400" w:type="dxa"/>
            <w:vAlign w:val="bottom"/>
          </w:tcPr>
          <w:p>
            <w:pPr>
              <w:jc w:val="center"/>
              <w:ind w:right="40"/>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4940" w:type="dxa"/>
            <w:vAlign w:val="bottom"/>
            <w:shd w:val="clear" w:color="auto" w:fill="D9D9D9"/>
          </w:tcPr>
          <w:p>
            <w:pPr>
              <w:ind w:left="240"/>
              <w:spacing w:after="0"/>
              <w:rPr>
                <w:sz w:val="20"/>
                <w:szCs w:val="20"/>
                <w:color w:val="auto"/>
              </w:rPr>
            </w:pPr>
            <w:r>
              <w:rPr>
                <w:rFonts w:ascii="Arial" w:cs="Arial" w:eastAsia="Arial" w:hAnsi="Arial"/>
                <w:sz w:val="16"/>
                <w:szCs w:val="16"/>
                <w:color w:val="auto"/>
              </w:rPr>
              <w:t>Michael G. Vale</w:t>
            </w:r>
          </w:p>
        </w:tc>
        <w:tc>
          <w:tcPr>
            <w:tcW w:w="1540" w:type="dxa"/>
            <w:vAlign w:val="bottom"/>
            <w:shd w:val="clear" w:color="auto" w:fill="D9D9D9"/>
          </w:tcPr>
          <w:p>
            <w:pPr>
              <w:jc w:val="right"/>
              <w:ind w:right="40"/>
              <w:spacing w:after="0"/>
              <w:rPr>
                <w:sz w:val="20"/>
                <w:szCs w:val="20"/>
                <w:color w:val="auto"/>
              </w:rPr>
            </w:pPr>
            <w:r>
              <w:rPr>
                <w:rFonts w:ascii="Arial" w:cs="Arial" w:eastAsia="Arial" w:hAnsi="Arial"/>
                <w:sz w:val="16"/>
                <w:szCs w:val="16"/>
                <w:color w:val="auto"/>
              </w:rPr>
              <w:t>10,948</w:t>
            </w:r>
          </w:p>
        </w:tc>
        <w:tc>
          <w:tcPr>
            <w:tcW w:w="1140" w:type="dxa"/>
            <w:vAlign w:val="bottom"/>
            <w:shd w:val="clear" w:color="auto" w:fill="D9D9D9"/>
          </w:tcPr>
          <w:p>
            <w:pPr>
              <w:jc w:val="center"/>
              <w:ind w:right="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D9D9D9"/>
          </w:tcPr>
          <w:p>
            <w:pPr>
              <w:jc w:val="right"/>
              <w:ind w:right="20"/>
              <w:spacing w:after="0"/>
              <w:rPr>
                <w:sz w:val="20"/>
                <w:szCs w:val="20"/>
                <w:color w:val="auto"/>
              </w:rPr>
            </w:pPr>
            <w:r>
              <w:rPr>
                <w:rFonts w:ascii="Arial" w:cs="Arial" w:eastAsia="Arial" w:hAnsi="Arial"/>
                <w:sz w:val="16"/>
                <w:szCs w:val="16"/>
                <w:color w:val="auto"/>
              </w:rPr>
              <w:t>3,550</w:t>
            </w:r>
          </w:p>
        </w:tc>
        <w:tc>
          <w:tcPr>
            <w:tcW w:w="1400" w:type="dxa"/>
            <w:vAlign w:val="bottom"/>
            <w:shd w:val="clear" w:color="auto" w:fill="D9D9D9"/>
          </w:tcPr>
          <w:p>
            <w:pPr>
              <w:jc w:val="center"/>
              <w:ind w:right="40"/>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Arial" w:cs="Arial" w:eastAsia="Arial" w:hAnsi="Arial"/>
                <w:sz w:val="16"/>
                <w:szCs w:val="16"/>
                <w:color w:val="auto"/>
              </w:rPr>
              <w:t>Named Executive Officers:</w:t>
            </w: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D9D9D9"/>
          </w:tcPr>
          <w:p>
            <w:pPr>
              <w:ind w:left="240"/>
              <w:spacing w:after="0"/>
              <w:rPr>
                <w:sz w:val="20"/>
                <w:szCs w:val="20"/>
                <w:color w:val="auto"/>
              </w:rPr>
            </w:pPr>
            <w:r>
              <w:rPr>
                <w:rFonts w:ascii="Arial" w:cs="Arial" w:eastAsia="Arial" w:hAnsi="Arial"/>
                <w:sz w:val="16"/>
                <w:szCs w:val="16"/>
                <w:color w:val="auto"/>
              </w:rPr>
              <w:t>Richard M. Olson</w:t>
            </w:r>
          </w:p>
        </w:tc>
        <w:tc>
          <w:tcPr>
            <w:tcW w:w="1540" w:type="dxa"/>
            <w:vAlign w:val="bottom"/>
            <w:shd w:val="clear" w:color="auto" w:fill="D9D9D9"/>
          </w:tcPr>
          <w:p>
            <w:pPr>
              <w:jc w:val="right"/>
              <w:ind w:right="40"/>
              <w:spacing w:after="0"/>
              <w:rPr>
                <w:sz w:val="20"/>
                <w:szCs w:val="20"/>
                <w:color w:val="auto"/>
              </w:rPr>
            </w:pPr>
            <w:r>
              <w:rPr>
                <w:rFonts w:ascii="Arial" w:cs="Arial" w:eastAsia="Arial" w:hAnsi="Arial"/>
                <w:sz w:val="16"/>
                <w:szCs w:val="16"/>
                <w:color w:val="auto"/>
              </w:rPr>
              <w:t>714,099</w:t>
            </w:r>
          </w:p>
        </w:tc>
        <w:tc>
          <w:tcPr>
            <w:tcW w:w="1140" w:type="dxa"/>
            <w:vAlign w:val="bottom"/>
            <w:shd w:val="clear" w:color="auto" w:fill="D9D9D9"/>
          </w:tcPr>
          <w:p>
            <w:pPr>
              <w:jc w:val="right"/>
              <w:ind w:right="40"/>
              <w:spacing w:after="0"/>
              <w:rPr>
                <w:sz w:val="20"/>
                <w:szCs w:val="20"/>
                <w:color w:val="auto"/>
              </w:rPr>
            </w:pPr>
            <w:r>
              <w:rPr>
                <w:rFonts w:ascii="Arial" w:cs="Arial" w:eastAsia="Arial" w:hAnsi="Arial"/>
                <w:sz w:val="16"/>
                <w:szCs w:val="16"/>
                <w:color w:val="auto"/>
              </w:rPr>
              <w:t>16,913</w:t>
            </w:r>
          </w:p>
        </w:tc>
        <w:tc>
          <w:tcPr>
            <w:tcW w:w="1360" w:type="dxa"/>
            <w:vAlign w:val="bottom"/>
            <w:shd w:val="clear" w:color="auto" w:fill="D9D9D9"/>
          </w:tcPr>
          <w:p>
            <w:pPr>
              <w:jc w:val="center"/>
              <w:ind w:right="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D9D9D9"/>
          </w:tcPr>
          <w:p>
            <w:pPr>
              <w:jc w:val="right"/>
              <w:ind w:right="60"/>
              <w:spacing w:after="0"/>
              <w:rPr>
                <w:sz w:val="20"/>
                <w:szCs w:val="20"/>
                <w:color w:val="auto"/>
              </w:rPr>
            </w:pPr>
            <w:r>
              <w:rPr>
                <w:rFonts w:ascii="Arial" w:cs="Arial" w:eastAsia="Arial" w:hAnsi="Arial"/>
                <w:sz w:val="16"/>
                <w:szCs w:val="16"/>
                <w:color w:val="auto"/>
              </w:rPr>
              <w:t>126,088</w:t>
            </w:r>
          </w:p>
        </w:tc>
      </w:tr>
      <w:tr>
        <w:trPr>
          <w:trHeight w:val="203"/>
        </w:trPr>
        <w:tc>
          <w:tcPr>
            <w:tcW w:w="20" w:type="dxa"/>
            <w:vAlign w:val="bottom"/>
          </w:tcPr>
          <w:p>
            <w:pPr>
              <w:spacing w:after="0"/>
              <w:rPr>
                <w:sz w:val="17"/>
                <w:szCs w:val="17"/>
                <w:color w:val="auto"/>
              </w:rPr>
            </w:pPr>
          </w:p>
        </w:tc>
        <w:tc>
          <w:tcPr>
            <w:tcW w:w="4940" w:type="dxa"/>
            <w:vAlign w:val="bottom"/>
          </w:tcPr>
          <w:p>
            <w:pPr>
              <w:ind w:left="240"/>
              <w:spacing w:after="0"/>
              <w:rPr>
                <w:sz w:val="20"/>
                <w:szCs w:val="20"/>
                <w:color w:val="auto"/>
              </w:rPr>
            </w:pPr>
            <w:r>
              <w:rPr>
                <w:rFonts w:ascii="Arial" w:cs="Arial" w:eastAsia="Arial" w:hAnsi="Arial"/>
                <w:sz w:val="16"/>
                <w:szCs w:val="16"/>
                <w:color w:val="auto"/>
              </w:rPr>
              <w:t>Renee J. Peterson</w:t>
            </w: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178,400</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745</w:t>
            </w:r>
          </w:p>
        </w:tc>
        <w:tc>
          <w:tcPr>
            <w:tcW w:w="1360" w:type="dxa"/>
            <w:vAlign w:val="bottom"/>
          </w:tcPr>
          <w:p>
            <w:pPr>
              <w:jc w:val="center"/>
              <w:ind w:right="2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87,259</w:t>
            </w:r>
          </w:p>
        </w:tc>
      </w:tr>
      <w:tr>
        <w:trPr>
          <w:trHeight w:val="203"/>
        </w:trPr>
        <w:tc>
          <w:tcPr>
            <w:tcW w:w="20" w:type="dxa"/>
            <w:vAlign w:val="bottom"/>
          </w:tcPr>
          <w:p>
            <w:pPr>
              <w:spacing w:after="0"/>
              <w:rPr>
                <w:sz w:val="17"/>
                <w:szCs w:val="17"/>
                <w:color w:val="auto"/>
              </w:rPr>
            </w:pPr>
          </w:p>
        </w:tc>
        <w:tc>
          <w:tcPr>
            <w:tcW w:w="4940" w:type="dxa"/>
            <w:vAlign w:val="bottom"/>
            <w:shd w:val="clear" w:color="auto" w:fill="D9D9D9"/>
          </w:tcPr>
          <w:p>
            <w:pPr>
              <w:ind w:left="240"/>
              <w:spacing w:after="0"/>
              <w:rPr>
                <w:sz w:val="20"/>
                <w:szCs w:val="20"/>
                <w:color w:val="auto"/>
              </w:rPr>
            </w:pPr>
            <w:r>
              <w:rPr>
                <w:rFonts w:ascii="Arial" w:cs="Arial" w:eastAsia="Arial" w:hAnsi="Arial"/>
                <w:sz w:val="16"/>
                <w:szCs w:val="16"/>
                <w:color w:val="auto"/>
              </w:rPr>
              <w:t>Kevin N. Carpenter</w:t>
            </w:r>
          </w:p>
        </w:tc>
        <w:tc>
          <w:tcPr>
            <w:tcW w:w="1540" w:type="dxa"/>
            <w:vAlign w:val="bottom"/>
            <w:shd w:val="clear" w:color="auto" w:fill="D9D9D9"/>
          </w:tcPr>
          <w:p>
            <w:pPr>
              <w:jc w:val="right"/>
              <w:ind w:right="40"/>
              <w:spacing w:after="0"/>
              <w:rPr>
                <w:sz w:val="20"/>
                <w:szCs w:val="20"/>
                <w:color w:val="auto"/>
              </w:rPr>
            </w:pPr>
            <w:r>
              <w:rPr>
                <w:rFonts w:ascii="Arial" w:cs="Arial" w:eastAsia="Arial" w:hAnsi="Arial"/>
                <w:sz w:val="16"/>
                <w:szCs w:val="16"/>
                <w:color w:val="auto"/>
              </w:rPr>
              <w:t>3,433</w:t>
            </w:r>
          </w:p>
        </w:tc>
        <w:tc>
          <w:tcPr>
            <w:tcW w:w="1140" w:type="dxa"/>
            <w:vAlign w:val="bottom"/>
            <w:shd w:val="clear" w:color="auto" w:fill="D9D9D9"/>
          </w:tcPr>
          <w:p>
            <w:pPr>
              <w:jc w:val="right"/>
              <w:ind w:right="40"/>
              <w:spacing w:after="0"/>
              <w:rPr>
                <w:sz w:val="20"/>
                <w:szCs w:val="20"/>
                <w:color w:val="auto"/>
              </w:rPr>
            </w:pPr>
            <w:r>
              <w:rPr>
                <w:rFonts w:ascii="Arial" w:cs="Arial" w:eastAsia="Arial" w:hAnsi="Arial"/>
                <w:sz w:val="16"/>
                <w:szCs w:val="16"/>
                <w:color w:val="auto"/>
              </w:rPr>
              <w:t>1</w:t>
            </w:r>
          </w:p>
        </w:tc>
        <w:tc>
          <w:tcPr>
            <w:tcW w:w="1360" w:type="dxa"/>
            <w:vAlign w:val="bottom"/>
            <w:shd w:val="clear" w:color="auto" w:fill="D9D9D9"/>
          </w:tcPr>
          <w:p>
            <w:pPr>
              <w:jc w:val="center"/>
              <w:ind w:right="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D9D9D9"/>
          </w:tcPr>
          <w:p>
            <w:pPr>
              <w:jc w:val="right"/>
              <w:ind w:right="60"/>
              <w:spacing w:after="0"/>
              <w:rPr>
                <w:sz w:val="20"/>
                <w:szCs w:val="20"/>
                <w:color w:val="auto"/>
              </w:rPr>
            </w:pPr>
            <w:r>
              <w:rPr>
                <w:rFonts w:ascii="Arial" w:cs="Arial" w:eastAsia="Arial" w:hAnsi="Arial"/>
                <w:sz w:val="16"/>
                <w:szCs w:val="16"/>
                <w:color w:val="auto"/>
              </w:rPr>
              <w:t>0</w:t>
            </w:r>
          </w:p>
        </w:tc>
      </w:tr>
      <w:tr>
        <w:trPr>
          <w:trHeight w:val="203"/>
        </w:trPr>
        <w:tc>
          <w:tcPr>
            <w:tcW w:w="20" w:type="dxa"/>
            <w:vAlign w:val="bottom"/>
          </w:tcPr>
          <w:p>
            <w:pPr>
              <w:spacing w:after="0"/>
              <w:rPr>
                <w:sz w:val="17"/>
                <w:szCs w:val="17"/>
                <w:color w:val="auto"/>
              </w:rPr>
            </w:pPr>
          </w:p>
        </w:tc>
        <w:tc>
          <w:tcPr>
            <w:tcW w:w="4940" w:type="dxa"/>
            <w:vAlign w:val="bottom"/>
          </w:tcPr>
          <w:p>
            <w:pPr>
              <w:ind w:left="240"/>
              <w:spacing w:after="0"/>
              <w:rPr>
                <w:sz w:val="20"/>
                <w:szCs w:val="20"/>
                <w:color w:val="auto"/>
              </w:rPr>
            </w:pPr>
            <w:r>
              <w:rPr>
                <w:rFonts w:ascii="Arial" w:cs="Arial" w:eastAsia="Arial" w:hAnsi="Arial"/>
                <w:sz w:val="16"/>
                <w:szCs w:val="16"/>
                <w:color w:val="auto"/>
              </w:rPr>
              <w:t>Richard W. Rodier</w:t>
            </w: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92,465</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2,834</w:t>
            </w:r>
          </w:p>
        </w:tc>
        <w:tc>
          <w:tcPr>
            <w:tcW w:w="1360" w:type="dxa"/>
            <w:vAlign w:val="bottom"/>
          </w:tcPr>
          <w:p>
            <w:pPr>
              <w:jc w:val="center"/>
              <w:ind w:right="2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6,158</w:t>
            </w:r>
          </w:p>
        </w:tc>
      </w:tr>
      <w:tr>
        <w:trPr>
          <w:trHeight w:val="203"/>
        </w:trPr>
        <w:tc>
          <w:tcPr>
            <w:tcW w:w="20" w:type="dxa"/>
            <w:vAlign w:val="bottom"/>
          </w:tcPr>
          <w:p>
            <w:pPr>
              <w:spacing w:after="0"/>
              <w:rPr>
                <w:sz w:val="17"/>
                <w:szCs w:val="17"/>
                <w:color w:val="auto"/>
              </w:rPr>
            </w:pPr>
          </w:p>
        </w:tc>
        <w:tc>
          <w:tcPr>
            <w:tcW w:w="4940" w:type="dxa"/>
            <w:vAlign w:val="bottom"/>
            <w:shd w:val="clear" w:color="auto" w:fill="D9D9D9"/>
          </w:tcPr>
          <w:p>
            <w:pPr>
              <w:ind w:left="240"/>
              <w:spacing w:after="0"/>
              <w:rPr>
                <w:sz w:val="20"/>
                <w:szCs w:val="20"/>
                <w:color w:val="auto"/>
              </w:rPr>
            </w:pPr>
            <w:r>
              <w:rPr>
                <w:rFonts w:ascii="Arial" w:cs="Arial" w:eastAsia="Arial" w:hAnsi="Arial"/>
                <w:sz w:val="16"/>
                <w:szCs w:val="16"/>
                <w:color w:val="auto"/>
              </w:rPr>
              <w:t>Amy E. Dahl</w:t>
            </w:r>
          </w:p>
        </w:tc>
        <w:tc>
          <w:tcPr>
            <w:tcW w:w="1540" w:type="dxa"/>
            <w:vAlign w:val="bottom"/>
            <w:shd w:val="clear" w:color="auto" w:fill="D9D9D9"/>
          </w:tcPr>
          <w:p>
            <w:pPr>
              <w:jc w:val="right"/>
              <w:ind w:right="40"/>
              <w:spacing w:after="0"/>
              <w:rPr>
                <w:sz w:val="20"/>
                <w:szCs w:val="20"/>
                <w:color w:val="auto"/>
              </w:rPr>
            </w:pPr>
            <w:r>
              <w:rPr>
                <w:rFonts w:ascii="Arial" w:cs="Arial" w:eastAsia="Arial" w:hAnsi="Arial"/>
                <w:sz w:val="16"/>
                <w:szCs w:val="16"/>
                <w:color w:val="auto"/>
              </w:rPr>
              <w:t>108,293</w:t>
            </w:r>
          </w:p>
        </w:tc>
        <w:tc>
          <w:tcPr>
            <w:tcW w:w="1140" w:type="dxa"/>
            <w:vAlign w:val="bottom"/>
            <w:shd w:val="clear" w:color="auto" w:fill="D9D9D9"/>
          </w:tcPr>
          <w:p>
            <w:pPr>
              <w:jc w:val="right"/>
              <w:ind w:right="40"/>
              <w:spacing w:after="0"/>
              <w:rPr>
                <w:sz w:val="20"/>
                <w:szCs w:val="20"/>
                <w:color w:val="auto"/>
              </w:rPr>
            </w:pPr>
            <w:r>
              <w:rPr>
                <w:rFonts w:ascii="Arial" w:cs="Arial" w:eastAsia="Arial" w:hAnsi="Arial"/>
                <w:sz w:val="16"/>
                <w:szCs w:val="16"/>
                <w:color w:val="auto"/>
              </w:rPr>
              <w:t>3,837</w:t>
            </w:r>
          </w:p>
        </w:tc>
        <w:tc>
          <w:tcPr>
            <w:tcW w:w="1360" w:type="dxa"/>
            <w:vAlign w:val="bottom"/>
            <w:shd w:val="clear" w:color="auto" w:fill="D9D9D9"/>
          </w:tcPr>
          <w:p>
            <w:pPr>
              <w:jc w:val="center"/>
              <w:ind w:right="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D9D9D9"/>
          </w:tcPr>
          <w:p>
            <w:pPr>
              <w:jc w:val="right"/>
              <w:ind w:right="60"/>
              <w:spacing w:after="0"/>
              <w:rPr>
                <w:sz w:val="20"/>
                <w:szCs w:val="20"/>
                <w:color w:val="auto"/>
              </w:rPr>
            </w:pPr>
            <w:r>
              <w:rPr>
                <w:rFonts w:ascii="Arial" w:cs="Arial" w:eastAsia="Arial" w:hAnsi="Arial"/>
                <w:sz w:val="16"/>
                <w:szCs w:val="16"/>
                <w:color w:val="auto"/>
              </w:rPr>
              <w:t>10,212</w:t>
            </w:r>
          </w:p>
        </w:tc>
      </w:tr>
      <w:tr>
        <w:trPr>
          <w:trHeight w:val="215"/>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6"/>
                <w:szCs w:val="16"/>
                <w:color w:val="auto"/>
              </w:rPr>
              <w:t>All Current Directors and Executive Officers as a Group (27)</w:t>
            </w: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1,563,570</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81,665</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62,984</w:t>
            </w: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299,545</w:t>
            </w:r>
          </w:p>
        </w:tc>
      </w:tr>
    </w:tbl>
    <w:p>
      <w:pPr>
        <w:spacing w:after="0" w:line="23" w:lineRule="exact"/>
        <w:rPr>
          <w:sz w:val="20"/>
          <w:szCs w:val="20"/>
          <w:color w:val="auto"/>
        </w:rPr>
      </w:pPr>
    </w:p>
    <w:p>
      <w:pPr>
        <w:ind w:left="400" w:hanging="392"/>
        <w:spacing w:after="0" w:line="244" w:lineRule="auto"/>
        <w:tabs>
          <w:tab w:leader="none" w:pos="4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Includes shares held in trust for estate planning purposes as follows: 24,897 shares for Ms. Cooper, 67,886 shares for Mr. Ettinger, 46,964 shares for Ms. Harless, 8,462 shares for Mr. Koch, 11,317 shares for Mr. O’Rourke, 38,932 shares for Ms. Peterson and 198,458 shares for all current directors and executive officers as a group. Ms. Cooper’s spouse is sole trustee of the trust and has sole voting and investment power with respect to the shares held in trust; and accordingly, Ms. Cooper disclaims beneficial ownership of such shares.</w:t>
      </w:r>
    </w:p>
    <w:p>
      <w:pPr>
        <w:spacing w:after="0" w:line="14" w:lineRule="exact"/>
        <w:rPr>
          <w:rFonts w:ascii="Arial" w:cs="Arial" w:eastAsia="Arial" w:hAnsi="Arial"/>
          <w:sz w:val="18"/>
          <w:szCs w:val="18"/>
          <w:color w:val="auto"/>
        </w:rPr>
      </w:pPr>
    </w:p>
    <w:p>
      <w:pPr>
        <w:ind w:left="400" w:right="320" w:hanging="392"/>
        <w:spacing w:after="0" w:line="266" w:lineRule="auto"/>
        <w:tabs>
          <w:tab w:leader="none" w:pos="4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Includes 383 shares held jointly with spouse for all current directors and executive officers as a group for which the director or officer has shared voting and investment power.</w:t>
      </w:r>
    </w:p>
    <w:p>
      <w:pPr>
        <w:ind w:left="400" w:right="60" w:hanging="392"/>
        <w:spacing w:after="0" w:line="242" w:lineRule="auto"/>
        <w:tabs>
          <w:tab w:leader="none" w:pos="4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Percentages are based on our shares outstanding as of our record date and are calculated pursuant to Rule 13d-3 under the Exchange Act. Percentage calculations assume, for each person and the group, that all shares that may be acquired by such person or by the group pursuant to stock options or other rights currently exercisable or that become exercisable or issuable within 60 days following January 20, 2023, are outstanding for the purpose of computing the percentage of common stock owned by such person or by the group. However, those unissued shares of our common stock described above are not deemed to be outstanding for the purpose of calculating the percentage of common stock owned by any other person.</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EE"/>
        </w:rPr>
        <w:t>Table of Contents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Stock Ownership Guidelines</w:t>
      </w:r>
    </w:p>
    <w:p>
      <w:pPr>
        <w:spacing w:after="0" w:line="79" w:lineRule="exact"/>
        <w:rPr>
          <w:sz w:val="20"/>
          <w:szCs w:val="20"/>
          <w:color w:val="auto"/>
        </w:rPr>
      </w:pPr>
    </w:p>
    <w:p>
      <w:pPr>
        <w:ind w:right="80" w:firstLine="401"/>
        <w:spacing w:after="0" w:line="247" w:lineRule="auto"/>
        <w:rPr>
          <w:sz w:val="20"/>
          <w:szCs w:val="20"/>
          <w:color w:val="auto"/>
        </w:rPr>
      </w:pPr>
      <w:r>
        <w:rPr>
          <w:rFonts w:ascii="Arial" w:cs="Arial" w:eastAsia="Arial" w:hAnsi="Arial"/>
          <w:sz w:val="18"/>
          <w:szCs w:val="18"/>
          <w:color w:val="auto"/>
        </w:rPr>
        <w:t>We maintain stock ownership guidelines described in the table below to align the interests of our non-employee directors and executive officers with those of our shareholders. Non-employee directors are expected to meet this guideline within five years of joining the Board. Executive officers are expected to meet the guideline within five years of the date of hire or promotion. As of January 20, 2023, each of our non-employee directors and executive officers who is required to meet a stock ownership guideline met such guideline.</w:t>
      </w:r>
    </w:p>
    <w:p>
      <w:pPr>
        <w:spacing w:after="0" w:line="71" w:lineRule="exact"/>
        <w:rPr>
          <w:sz w:val="20"/>
          <w:szCs w:val="20"/>
          <w:color w:val="auto"/>
        </w:rPr>
      </w:pPr>
    </w:p>
    <w:tbl>
      <w:tblPr>
        <w:tblLayout w:type="fixed"/>
        <w:tblInd w:w="580" w:type="dxa"/>
        <w:tblCellMar>
          <w:top w:w="0" w:type="dxa"/>
          <w:left w:w="0" w:type="dxa"/>
          <w:bottom w:w="0" w:type="dxa"/>
          <w:right w:w="0" w:type="dxa"/>
        </w:tblCellMar>
      </w:tblPr>
      <w:tr>
        <w:trPr>
          <w:trHeight w:val="249"/>
        </w:trPr>
        <w:tc>
          <w:tcPr>
            <w:tcW w:w="3080" w:type="dxa"/>
            <w:vAlign w:val="bottom"/>
            <w:shd w:val="clear" w:color="auto" w:fill="C00000"/>
          </w:tcPr>
          <w:p>
            <w:pPr>
              <w:spacing w:after="0"/>
              <w:rPr>
                <w:sz w:val="21"/>
                <w:szCs w:val="21"/>
                <w:color w:val="auto"/>
              </w:rPr>
            </w:pPr>
          </w:p>
        </w:tc>
        <w:tc>
          <w:tcPr>
            <w:tcW w:w="3960" w:type="dxa"/>
            <w:vAlign w:val="bottom"/>
            <w:shd w:val="clear" w:color="auto" w:fill="C00000"/>
          </w:tcPr>
          <w:p>
            <w:pPr>
              <w:ind w:left="420"/>
              <w:spacing w:after="0"/>
              <w:rPr>
                <w:sz w:val="20"/>
                <w:szCs w:val="20"/>
                <w:color w:val="auto"/>
              </w:rPr>
            </w:pPr>
            <w:r>
              <w:rPr>
                <w:rFonts w:ascii="Arial" w:cs="Arial" w:eastAsia="Arial" w:hAnsi="Arial"/>
                <w:sz w:val="16"/>
                <w:szCs w:val="16"/>
                <w:b w:val="1"/>
                <w:bCs w:val="1"/>
                <w:color w:val="FFFFFF"/>
              </w:rPr>
              <w:t>Stock Ownership Guidelines by Position</w:t>
            </w:r>
          </w:p>
        </w:tc>
        <w:tc>
          <w:tcPr>
            <w:tcW w:w="3060" w:type="dxa"/>
            <w:vAlign w:val="bottom"/>
            <w:shd w:val="clear" w:color="auto" w:fill="C00000"/>
          </w:tcPr>
          <w:p>
            <w:pPr>
              <w:spacing w:after="0"/>
              <w:rPr>
                <w:sz w:val="21"/>
                <w:szCs w:val="21"/>
                <w:color w:val="auto"/>
              </w:rPr>
            </w:pPr>
          </w:p>
        </w:tc>
      </w:tr>
      <w:tr>
        <w:trPr>
          <w:trHeight w:val="264"/>
        </w:trPr>
        <w:tc>
          <w:tcPr>
            <w:tcW w:w="3080" w:type="dxa"/>
            <w:vAlign w:val="bottom"/>
            <w:shd w:val="clear" w:color="auto" w:fill="C00000"/>
          </w:tcPr>
          <w:p>
            <w:pPr>
              <w:jc w:val="center"/>
              <w:ind w:left="239"/>
              <w:spacing w:after="0"/>
              <w:rPr>
                <w:sz w:val="20"/>
                <w:szCs w:val="20"/>
                <w:color w:val="auto"/>
              </w:rPr>
            </w:pPr>
            <w:r>
              <w:rPr>
                <w:rFonts w:ascii="Arial" w:cs="Arial" w:eastAsia="Arial" w:hAnsi="Arial"/>
                <w:sz w:val="16"/>
                <w:szCs w:val="16"/>
                <w:b w:val="1"/>
                <w:bCs w:val="1"/>
                <w:color w:val="FFFFFF"/>
              </w:rPr>
              <w:t>Non-Employee Directors</w:t>
            </w:r>
          </w:p>
        </w:tc>
        <w:tc>
          <w:tcPr>
            <w:tcW w:w="3960" w:type="dxa"/>
            <w:vAlign w:val="bottom"/>
            <w:shd w:val="clear" w:color="auto" w:fill="C00000"/>
          </w:tcPr>
          <w:p>
            <w:pPr>
              <w:jc w:val="center"/>
              <w:ind w:left="19"/>
              <w:spacing w:after="0"/>
              <w:rPr>
                <w:sz w:val="20"/>
                <w:szCs w:val="20"/>
                <w:color w:val="auto"/>
              </w:rPr>
            </w:pPr>
            <w:r>
              <w:rPr>
                <w:rFonts w:ascii="Arial" w:cs="Arial" w:eastAsia="Arial" w:hAnsi="Arial"/>
                <w:sz w:val="16"/>
                <w:szCs w:val="16"/>
                <w:b w:val="1"/>
                <w:bCs w:val="1"/>
                <w:color w:val="FFFFFF"/>
              </w:rPr>
              <w:t>Chairman and CEO</w:t>
            </w:r>
          </w:p>
        </w:tc>
        <w:tc>
          <w:tcPr>
            <w:tcW w:w="3060" w:type="dxa"/>
            <w:vAlign w:val="bottom"/>
            <w:shd w:val="clear" w:color="auto" w:fill="C00000"/>
          </w:tcPr>
          <w:p>
            <w:pPr>
              <w:jc w:val="center"/>
              <w:ind w:right="159"/>
              <w:spacing w:after="0"/>
              <w:rPr>
                <w:sz w:val="20"/>
                <w:szCs w:val="20"/>
                <w:color w:val="auto"/>
              </w:rPr>
            </w:pPr>
            <w:r>
              <w:rPr>
                <w:rFonts w:ascii="Arial" w:cs="Arial" w:eastAsia="Arial" w:hAnsi="Arial"/>
                <w:sz w:val="16"/>
                <w:szCs w:val="16"/>
                <w:b w:val="1"/>
                <w:bCs w:val="1"/>
                <w:color w:val="FFFFFF"/>
              </w:rPr>
              <w:t>Other Executive Officers</w:t>
            </w:r>
          </w:p>
        </w:tc>
      </w:tr>
      <w:tr>
        <w:trPr>
          <w:trHeight w:val="215"/>
        </w:trPr>
        <w:tc>
          <w:tcPr>
            <w:tcW w:w="3080" w:type="dxa"/>
            <w:vAlign w:val="bottom"/>
          </w:tcPr>
          <w:p>
            <w:pPr>
              <w:jc w:val="center"/>
              <w:ind w:left="239"/>
              <w:spacing w:after="0"/>
              <w:rPr>
                <w:sz w:val="20"/>
                <w:szCs w:val="20"/>
                <w:color w:val="auto"/>
              </w:rPr>
            </w:pPr>
            <w:r>
              <w:rPr>
                <w:rFonts w:ascii="Arial" w:cs="Arial" w:eastAsia="Arial" w:hAnsi="Arial"/>
                <w:sz w:val="16"/>
                <w:szCs w:val="16"/>
                <w:color w:val="auto"/>
              </w:rPr>
              <w:t>5x annual board retainer</w:t>
            </w:r>
          </w:p>
        </w:tc>
        <w:tc>
          <w:tcPr>
            <w:tcW w:w="3960" w:type="dxa"/>
            <w:vAlign w:val="bottom"/>
          </w:tcPr>
          <w:p>
            <w:pPr>
              <w:jc w:val="center"/>
              <w:ind w:left="19"/>
              <w:spacing w:after="0"/>
              <w:rPr>
                <w:sz w:val="20"/>
                <w:szCs w:val="20"/>
                <w:color w:val="auto"/>
              </w:rPr>
            </w:pPr>
            <w:r>
              <w:rPr>
                <w:rFonts w:ascii="Arial" w:cs="Arial" w:eastAsia="Arial" w:hAnsi="Arial"/>
                <w:sz w:val="16"/>
                <w:szCs w:val="16"/>
                <w:color w:val="auto"/>
              </w:rPr>
              <w:t>5x annual base salary</w:t>
            </w:r>
          </w:p>
        </w:tc>
        <w:tc>
          <w:tcPr>
            <w:tcW w:w="3060" w:type="dxa"/>
            <w:vAlign w:val="bottom"/>
          </w:tcPr>
          <w:p>
            <w:pPr>
              <w:jc w:val="center"/>
              <w:ind w:right="159"/>
              <w:spacing w:after="0"/>
              <w:rPr>
                <w:sz w:val="20"/>
                <w:szCs w:val="20"/>
                <w:color w:val="auto"/>
              </w:rPr>
            </w:pPr>
            <w:r>
              <w:rPr>
                <w:rFonts w:ascii="Arial" w:cs="Arial" w:eastAsia="Arial" w:hAnsi="Arial"/>
                <w:sz w:val="16"/>
                <w:szCs w:val="16"/>
                <w:color w:val="auto"/>
              </w:rPr>
              <w:t>2x or 3x annual base salary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-332740</wp:posOffset>
            </wp:positionV>
            <wp:extent cx="200596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Anti-Hedging and Anti-Pledging Policies</w:t>
      </w:r>
    </w:p>
    <w:p>
      <w:pPr>
        <w:spacing w:after="0" w:line="99" w:lineRule="exact"/>
        <w:rPr>
          <w:sz w:val="20"/>
          <w:szCs w:val="20"/>
          <w:color w:val="auto"/>
        </w:rPr>
      </w:pPr>
    </w:p>
    <w:p>
      <w:pPr>
        <w:ind w:right="160" w:firstLine="401"/>
        <w:spacing w:after="0" w:line="242" w:lineRule="auto"/>
        <w:rPr>
          <w:sz w:val="20"/>
          <w:szCs w:val="20"/>
          <w:color w:val="auto"/>
        </w:rPr>
      </w:pPr>
      <w:r>
        <w:rPr>
          <w:rFonts w:ascii="Arial" w:cs="Arial" w:eastAsia="Arial" w:hAnsi="Arial"/>
          <w:sz w:val="18"/>
          <w:szCs w:val="18"/>
          <w:color w:val="auto"/>
        </w:rPr>
        <w:t>Our Insider Trading Policy addresses hedging, pledging and other transactions which might give the appearance of impropriety. Under the Insider Trading Policy, we consider it inappropriate for any person subject to the policy, including all directors, officers and employees of our Company, to engage in speculative transactions in our Company’s securities or other transactions which might give the appearance of impropriety. In addition, we discourage any person subject to the Insider Trading Policy from engaging in frequent trading in our Company’s securities because such trading also may give the appearance that such trades were timed to take advantage of material non-public information. Accordingly, our Insider Trading Policy either prohibits or limits the following types of transactions:</w:t>
      </w:r>
    </w:p>
    <w:p>
      <w:pPr>
        <w:spacing w:after="0" w:line="17" w:lineRule="exact"/>
        <w:rPr>
          <w:sz w:val="20"/>
          <w:szCs w:val="20"/>
          <w:color w:val="auto"/>
        </w:rPr>
      </w:pPr>
    </w:p>
    <w:p>
      <w:pPr>
        <w:ind w:left="800" w:hanging="401"/>
        <w:spacing w:after="0" w:line="252" w:lineRule="auto"/>
        <w:tabs>
          <w:tab w:leader="none" w:pos="800" w:val="left"/>
        </w:tabs>
        <w:numPr>
          <w:ilvl w:val="0"/>
          <w:numId w:val="8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Short sales</w:t>
      </w:r>
      <w:r>
        <w:rPr>
          <w:rFonts w:ascii="Arial" w:cs="Arial" w:eastAsia="Arial" w:hAnsi="Arial"/>
          <w:sz w:val="18"/>
          <w:szCs w:val="18"/>
          <w:color w:val="auto"/>
        </w:rPr>
        <w:t>. All directors, officers and employees of our Company are prohibited from engaging in short sales of our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since such sales are intended to reward a person for downward changes in price, and as such, may appear to have resulted from the possession of material non-public information.</w:t>
      </w:r>
    </w:p>
    <w:p>
      <w:pPr>
        <w:spacing w:after="0" w:line="8" w:lineRule="exact"/>
        <w:rPr>
          <w:rFonts w:ascii="Times New Roman" w:cs="Times New Roman" w:eastAsia="Times New Roman" w:hAnsi="Times New Roman"/>
          <w:sz w:val="18"/>
          <w:szCs w:val="18"/>
          <w:color w:val="auto"/>
        </w:rPr>
      </w:pPr>
    </w:p>
    <w:p>
      <w:pPr>
        <w:ind w:left="800" w:right="160" w:hanging="401"/>
        <w:spacing w:after="0" w:line="246" w:lineRule="auto"/>
        <w:tabs>
          <w:tab w:leader="none" w:pos="800" w:val="left"/>
        </w:tabs>
        <w:numPr>
          <w:ilvl w:val="0"/>
          <w:numId w:val="8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Publicly-traded options</w:t>
      </w:r>
      <w:r>
        <w:rPr>
          <w:rFonts w:ascii="Arial" w:cs="Arial" w:eastAsia="Arial" w:hAnsi="Arial"/>
          <w:sz w:val="18"/>
          <w:szCs w:val="18"/>
          <w:color w:val="auto"/>
        </w:rPr>
        <w:t>. All directors, officers and employees of our Company are prohibited from engaging in transactions in put</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call options, or other derivative securities involving our Company’s stock, whether on an exchange or otherwise, since given the relatively short terms of publicly-traded options, such transactions may create the appearance that they have resulted from possession of material non-public information.</w:t>
      </w:r>
    </w:p>
    <w:p>
      <w:pPr>
        <w:spacing w:after="0" w:line="14" w:lineRule="exact"/>
        <w:rPr>
          <w:rFonts w:ascii="Times New Roman" w:cs="Times New Roman" w:eastAsia="Times New Roman" w:hAnsi="Times New Roman"/>
          <w:sz w:val="18"/>
          <w:szCs w:val="18"/>
          <w:color w:val="auto"/>
        </w:rPr>
      </w:pPr>
    </w:p>
    <w:p>
      <w:pPr>
        <w:ind w:left="800" w:right="160" w:hanging="401"/>
        <w:spacing w:after="0" w:line="246" w:lineRule="auto"/>
        <w:tabs>
          <w:tab w:leader="none" w:pos="800" w:val="left"/>
        </w:tabs>
        <w:numPr>
          <w:ilvl w:val="0"/>
          <w:numId w:val="8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Hedging transactions</w:t>
      </w:r>
      <w:r>
        <w:rPr>
          <w:rFonts w:ascii="Arial" w:cs="Arial" w:eastAsia="Arial" w:hAnsi="Arial"/>
          <w:sz w:val="18"/>
          <w:szCs w:val="18"/>
          <w:color w:val="auto"/>
        </w:rPr>
        <w:t>. All directors, officers and employees of our Company are prohibited from engaging in hedging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involving our Company’s securities, such as collars, equity swaps, prepaid variable forwards, and exchange funds, since such transactions are designed to hedge or offset any decrease in the market value of securities and when that occurs, the owner may no longer have the same objectives as other of our Company’s security holders.</w:t>
      </w:r>
    </w:p>
    <w:p>
      <w:pPr>
        <w:spacing w:after="0" w:line="14" w:lineRule="exact"/>
        <w:rPr>
          <w:rFonts w:ascii="Times New Roman" w:cs="Times New Roman" w:eastAsia="Times New Roman" w:hAnsi="Times New Roman"/>
          <w:sz w:val="18"/>
          <w:szCs w:val="18"/>
          <w:color w:val="auto"/>
        </w:rPr>
      </w:pPr>
    </w:p>
    <w:p>
      <w:pPr>
        <w:ind w:left="800" w:right="80" w:hanging="401"/>
        <w:spacing w:after="0" w:line="242" w:lineRule="auto"/>
        <w:tabs>
          <w:tab w:leader="none" w:pos="800" w:val="left"/>
        </w:tabs>
        <w:numPr>
          <w:ilvl w:val="0"/>
          <w:numId w:val="8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Standing and limit orders</w:t>
      </w:r>
      <w:r>
        <w:rPr>
          <w:rFonts w:ascii="Arial" w:cs="Arial" w:eastAsia="Arial" w:hAnsi="Arial"/>
          <w:sz w:val="18"/>
          <w:szCs w:val="18"/>
          <w:color w:val="auto"/>
        </w:rPr>
        <w:t>. All directors, officers and employees of our Company are restricted in their use of standing and limit orders</w:t>
      </w:r>
      <w:r>
        <w:rPr>
          <w:rFonts w:ascii="Arial" w:cs="Arial" w:eastAsia="Arial" w:hAnsi="Arial"/>
          <w:sz w:val="18"/>
          <w:szCs w:val="18"/>
          <w:i w:val="1"/>
          <w:iCs w:val="1"/>
          <w:color w:val="auto"/>
        </w:rPr>
        <w:t xml:space="preserve"> </w:t>
      </w:r>
      <w:r>
        <w:rPr>
          <w:rFonts w:ascii="Arial" w:cs="Arial" w:eastAsia="Arial" w:hAnsi="Arial"/>
          <w:sz w:val="18"/>
          <w:szCs w:val="18"/>
          <w:color w:val="auto"/>
        </w:rPr>
        <w:t>for our Company’s securities, which are orders placed with a broker to sell or purchase stock at a specified price. Because there is no control over the timing of purchases or sales that result from standing instructions to a broker, a transaction could be executed when such shareholders are aware of material non-public information. Accordingly, the Insider Trading Policy provides that if a director, officer or employee of our Company uses a standing order or limit order for our Company’s securities, the order should be limited in duration and should otherwise comply with the trading requirements outlined in the Insider Trading Policy.</w:t>
      </w:r>
    </w:p>
    <w:p>
      <w:pPr>
        <w:spacing w:after="0" w:line="15" w:lineRule="exact"/>
        <w:rPr>
          <w:rFonts w:ascii="Times New Roman" w:cs="Times New Roman" w:eastAsia="Times New Roman" w:hAnsi="Times New Roman"/>
          <w:sz w:val="18"/>
          <w:szCs w:val="18"/>
          <w:color w:val="auto"/>
        </w:rPr>
      </w:pPr>
    </w:p>
    <w:p>
      <w:pPr>
        <w:ind w:left="800" w:right="320" w:hanging="401"/>
        <w:spacing w:after="0" w:line="300" w:lineRule="auto"/>
        <w:tabs>
          <w:tab w:leader="none" w:pos="800" w:val="left"/>
        </w:tabs>
        <w:numPr>
          <w:ilvl w:val="0"/>
          <w:numId w:val="89"/>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Pledging</w:t>
      </w:r>
      <w:r>
        <w:rPr>
          <w:rFonts w:ascii="Arial" w:cs="Arial" w:eastAsia="Arial" w:hAnsi="Arial"/>
          <w:sz w:val="17"/>
          <w:szCs w:val="17"/>
          <w:color w:val="auto"/>
        </w:rPr>
        <w:t>. All directors and officers of our Company are prohibited from purchasing our Company’s securities on margin, borrowing</w:t>
      </w:r>
      <w:r>
        <w:rPr>
          <w:rFonts w:ascii="Arial" w:cs="Arial" w:eastAsia="Arial" w:hAnsi="Arial"/>
          <w:sz w:val="17"/>
          <w:szCs w:val="17"/>
          <w:i w:val="1"/>
          <w:iCs w:val="1"/>
          <w:color w:val="auto"/>
        </w:rPr>
        <w:t xml:space="preserve"> </w:t>
      </w:r>
      <w:r>
        <w:rPr>
          <w:rFonts w:ascii="Arial" w:cs="Arial" w:eastAsia="Arial" w:hAnsi="Arial"/>
          <w:sz w:val="17"/>
          <w:szCs w:val="17"/>
          <w:color w:val="auto"/>
        </w:rPr>
        <w:t>against any account in which our Company’s securities are held, or pledging our Company’s securities as collateral for a loan.</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Delinquent Section 16(a) Reports</w:t>
      </w:r>
    </w:p>
    <w:p>
      <w:pPr>
        <w:spacing w:after="0" w:line="99" w:lineRule="exact"/>
        <w:rPr>
          <w:sz w:val="20"/>
          <w:szCs w:val="20"/>
          <w:color w:val="auto"/>
        </w:rPr>
      </w:pPr>
    </w:p>
    <w:p>
      <w:pPr>
        <w:ind w:firstLine="401"/>
        <w:spacing w:after="0"/>
        <w:rPr>
          <w:sz w:val="20"/>
          <w:szCs w:val="20"/>
          <w:color w:val="auto"/>
        </w:rPr>
      </w:pPr>
      <w:r>
        <w:rPr>
          <w:rFonts w:ascii="Arial" w:cs="Arial" w:eastAsia="Arial" w:hAnsi="Arial"/>
          <w:sz w:val="18"/>
          <w:szCs w:val="18"/>
          <w:color w:val="auto"/>
        </w:rPr>
        <w:t>Section 16(a) of the Exchange Act requires our directors and executive officers and persons who beneficially own more than ten percent of our common stock to file with the SEC reports showing ownership of and changes in ownership of our common stock and other equity securities. Based on a review of reports filed by these reporting persons on the SEC’s electronic filing, or EDGAR, system and written representations by our directors and executive officers, we believe that all of our directors, executive officers and greater than 10% owners complied with all filing requirements applicable to them during fiscal 2022, except that: a Form 4 reporting a restricted stock unit award on November 30, 2021 for Kevin N. Carpenter was not filed on a timely basis due to administrative error and was subsequently disclosed in a Form 4 filed on December 17, 2021; a Form 4 reporting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EE"/>
        </w:rPr>
        <w:t>Table of Contents</w:t>
      </w:r>
    </w:p>
    <w:p>
      <w:pPr>
        <w:spacing w:after="0" w:line="103"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a performance share award payout on December 15, 2021 and a stock option grant on December 16, 2021, for Daryn A. Walters was not filed on a timely basis due to a delay in obtaining EDGAR filing codes and were subsequently disclosed in a Form 4 filed on December 21, 2021; and a Form 4 reporting a restricted stock unit award on March 28, 2022 for Daryn A. Walters was not filed on a timely basis due to administrative error and was subsequently disclosed in a Form 4 filed on April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2057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EQUITY COMPENSATION PLAN INFORMATION</w:t>
      </w:r>
    </w:p>
    <w:p>
      <w:pPr>
        <w:spacing w:after="0" w:line="256" w:lineRule="exact"/>
        <w:rPr>
          <w:sz w:val="20"/>
          <w:szCs w:val="20"/>
          <w:color w:val="auto"/>
        </w:rPr>
      </w:pPr>
    </w:p>
    <w:p>
      <w:pPr>
        <w:ind w:right="40" w:firstLine="401"/>
        <w:spacing w:after="0" w:line="271" w:lineRule="auto"/>
        <w:rPr>
          <w:sz w:val="20"/>
          <w:szCs w:val="20"/>
          <w:color w:val="auto"/>
        </w:rPr>
      </w:pPr>
      <w:r>
        <w:rPr>
          <w:rFonts w:ascii="Arial" w:cs="Arial" w:eastAsia="Arial" w:hAnsi="Arial"/>
          <w:sz w:val="18"/>
          <w:szCs w:val="18"/>
          <w:color w:val="auto"/>
        </w:rPr>
        <w:t>The following table provides information about shares of our common stock that may be issued under our equity compensation plans as of October 31, 2022, the last day of fiscal 2022.</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780" w:type="dxa"/>
            <w:vAlign w:val="bottom"/>
            <w:shd w:val="clear" w:color="auto" w:fill="C00000"/>
          </w:tcPr>
          <w:p>
            <w:pPr>
              <w:spacing w:after="0"/>
              <w:rPr>
                <w:sz w:val="14"/>
                <w:szCs w:val="14"/>
                <w:color w:val="auto"/>
              </w:rPr>
            </w:pPr>
          </w:p>
        </w:tc>
        <w:tc>
          <w:tcPr>
            <w:tcW w:w="2780" w:type="dxa"/>
            <w:vAlign w:val="bottom"/>
            <w:shd w:val="clear" w:color="auto" w:fill="C00000"/>
          </w:tcPr>
          <w:p>
            <w:pPr>
              <w:spacing w:after="0"/>
              <w:rPr>
                <w:sz w:val="14"/>
                <w:szCs w:val="14"/>
                <w:color w:val="auto"/>
              </w:rPr>
            </w:pPr>
          </w:p>
        </w:tc>
        <w:tc>
          <w:tcPr>
            <w:tcW w:w="2020" w:type="dxa"/>
            <w:vAlign w:val="bottom"/>
            <w:shd w:val="clear" w:color="auto" w:fill="C00000"/>
          </w:tcPr>
          <w:p>
            <w:pPr>
              <w:spacing w:after="0"/>
              <w:rPr>
                <w:sz w:val="14"/>
                <w:szCs w:val="14"/>
                <w:color w:val="auto"/>
              </w:rPr>
            </w:pPr>
          </w:p>
        </w:tc>
        <w:tc>
          <w:tcPr>
            <w:tcW w:w="26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Number of Securities</w:t>
            </w:r>
          </w:p>
        </w:tc>
        <w:tc>
          <w:tcPr>
            <w:tcW w:w="0" w:type="dxa"/>
            <w:vAlign w:val="bottom"/>
          </w:tcPr>
          <w:p>
            <w:pPr>
              <w:spacing w:after="0"/>
              <w:rPr>
                <w:sz w:val="1"/>
                <w:szCs w:val="1"/>
                <w:color w:val="auto"/>
              </w:rPr>
            </w:pPr>
          </w:p>
        </w:tc>
      </w:tr>
      <w:tr>
        <w:trPr>
          <w:trHeight w:val="162"/>
        </w:trPr>
        <w:tc>
          <w:tcPr>
            <w:tcW w:w="3780" w:type="dxa"/>
            <w:vAlign w:val="bottom"/>
            <w:shd w:val="clear" w:color="auto" w:fill="C00000"/>
          </w:tcPr>
          <w:p>
            <w:pPr>
              <w:spacing w:after="0"/>
              <w:rPr>
                <w:sz w:val="14"/>
                <w:szCs w:val="14"/>
                <w:color w:val="auto"/>
              </w:rPr>
            </w:pPr>
          </w:p>
        </w:tc>
        <w:tc>
          <w:tcPr>
            <w:tcW w:w="2780" w:type="dxa"/>
            <w:vAlign w:val="bottom"/>
            <w:shd w:val="clear" w:color="auto" w:fill="C00000"/>
          </w:tcPr>
          <w:p>
            <w:pPr>
              <w:jc w:val="center"/>
              <w:ind w:left="605"/>
              <w:spacing w:after="0"/>
              <w:rPr>
                <w:sz w:val="20"/>
                <w:szCs w:val="20"/>
                <w:color w:val="auto"/>
              </w:rPr>
            </w:pPr>
            <w:r>
              <w:rPr>
                <w:rFonts w:ascii="Arial" w:cs="Arial" w:eastAsia="Arial" w:hAnsi="Arial"/>
                <w:sz w:val="14"/>
                <w:szCs w:val="14"/>
                <w:b w:val="1"/>
                <w:bCs w:val="1"/>
                <w:color w:val="FFFFFF"/>
              </w:rPr>
              <w:t>Number of Securities to</w:t>
            </w:r>
          </w:p>
        </w:tc>
        <w:tc>
          <w:tcPr>
            <w:tcW w:w="2020" w:type="dxa"/>
            <w:vAlign w:val="bottom"/>
            <w:shd w:val="clear" w:color="auto" w:fill="C00000"/>
          </w:tcPr>
          <w:p>
            <w:pPr>
              <w:spacing w:after="0"/>
              <w:rPr>
                <w:sz w:val="14"/>
                <w:szCs w:val="14"/>
                <w:color w:val="auto"/>
              </w:rPr>
            </w:pPr>
          </w:p>
        </w:tc>
        <w:tc>
          <w:tcPr>
            <w:tcW w:w="26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Remaining Available for</w:t>
            </w:r>
          </w:p>
        </w:tc>
        <w:tc>
          <w:tcPr>
            <w:tcW w:w="0" w:type="dxa"/>
            <w:vAlign w:val="bottom"/>
          </w:tcPr>
          <w:p>
            <w:pPr>
              <w:spacing w:after="0"/>
              <w:rPr>
                <w:sz w:val="1"/>
                <w:szCs w:val="1"/>
                <w:color w:val="auto"/>
              </w:rPr>
            </w:pPr>
          </w:p>
        </w:tc>
      </w:tr>
      <w:tr>
        <w:trPr>
          <w:trHeight w:val="162"/>
        </w:trPr>
        <w:tc>
          <w:tcPr>
            <w:tcW w:w="3780" w:type="dxa"/>
            <w:vAlign w:val="bottom"/>
            <w:shd w:val="clear" w:color="auto" w:fill="C00000"/>
          </w:tcPr>
          <w:p>
            <w:pPr>
              <w:spacing w:after="0"/>
              <w:rPr>
                <w:sz w:val="14"/>
                <w:szCs w:val="14"/>
                <w:color w:val="auto"/>
              </w:rPr>
            </w:pPr>
          </w:p>
        </w:tc>
        <w:tc>
          <w:tcPr>
            <w:tcW w:w="2780" w:type="dxa"/>
            <w:vAlign w:val="bottom"/>
            <w:shd w:val="clear" w:color="auto" w:fill="C00000"/>
          </w:tcPr>
          <w:p>
            <w:pPr>
              <w:jc w:val="center"/>
              <w:ind w:left="585"/>
              <w:spacing w:after="0"/>
              <w:rPr>
                <w:sz w:val="20"/>
                <w:szCs w:val="20"/>
                <w:color w:val="auto"/>
              </w:rPr>
            </w:pPr>
            <w:r>
              <w:rPr>
                <w:rFonts w:ascii="Arial" w:cs="Arial" w:eastAsia="Arial" w:hAnsi="Arial"/>
                <w:sz w:val="14"/>
                <w:szCs w:val="14"/>
                <w:b w:val="1"/>
                <w:bCs w:val="1"/>
                <w:color w:val="FFFFFF"/>
              </w:rPr>
              <w:t>be Issued Upon</w:t>
            </w:r>
          </w:p>
        </w:tc>
        <w:tc>
          <w:tcPr>
            <w:tcW w:w="2020" w:type="dxa"/>
            <w:vAlign w:val="bottom"/>
            <w:shd w:val="clear" w:color="auto" w:fill="C00000"/>
          </w:tcPr>
          <w:p>
            <w:pPr>
              <w:jc w:val="center"/>
              <w:ind w:right="25"/>
              <w:spacing w:after="0"/>
              <w:rPr>
                <w:sz w:val="20"/>
                <w:szCs w:val="20"/>
                <w:color w:val="auto"/>
              </w:rPr>
            </w:pPr>
            <w:r>
              <w:rPr>
                <w:rFonts w:ascii="Arial" w:cs="Arial" w:eastAsia="Arial" w:hAnsi="Arial"/>
                <w:sz w:val="14"/>
                <w:szCs w:val="14"/>
                <w:b w:val="1"/>
                <w:bCs w:val="1"/>
                <w:color w:val="FFFFFF"/>
              </w:rPr>
              <w:t>Weighted Average</w:t>
            </w:r>
          </w:p>
        </w:tc>
        <w:tc>
          <w:tcPr>
            <w:tcW w:w="26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Future Issuance Under</w:t>
            </w:r>
          </w:p>
        </w:tc>
        <w:tc>
          <w:tcPr>
            <w:tcW w:w="0" w:type="dxa"/>
            <w:vAlign w:val="bottom"/>
          </w:tcPr>
          <w:p>
            <w:pPr>
              <w:spacing w:after="0"/>
              <w:rPr>
                <w:sz w:val="1"/>
                <w:szCs w:val="1"/>
                <w:color w:val="auto"/>
              </w:rPr>
            </w:pPr>
          </w:p>
        </w:tc>
      </w:tr>
      <w:tr>
        <w:trPr>
          <w:trHeight w:val="162"/>
        </w:trPr>
        <w:tc>
          <w:tcPr>
            <w:tcW w:w="3780" w:type="dxa"/>
            <w:vAlign w:val="bottom"/>
            <w:shd w:val="clear" w:color="auto" w:fill="C00000"/>
          </w:tcPr>
          <w:p>
            <w:pPr>
              <w:spacing w:after="0"/>
              <w:rPr>
                <w:sz w:val="14"/>
                <w:szCs w:val="14"/>
                <w:color w:val="auto"/>
              </w:rPr>
            </w:pPr>
          </w:p>
        </w:tc>
        <w:tc>
          <w:tcPr>
            <w:tcW w:w="2780" w:type="dxa"/>
            <w:vAlign w:val="bottom"/>
            <w:shd w:val="clear" w:color="auto" w:fill="C00000"/>
          </w:tcPr>
          <w:p>
            <w:pPr>
              <w:jc w:val="center"/>
              <w:ind w:left="585"/>
              <w:spacing w:after="0"/>
              <w:rPr>
                <w:sz w:val="20"/>
                <w:szCs w:val="20"/>
                <w:color w:val="auto"/>
              </w:rPr>
            </w:pPr>
            <w:r>
              <w:rPr>
                <w:rFonts w:ascii="Arial" w:cs="Arial" w:eastAsia="Arial" w:hAnsi="Arial"/>
                <w:sz w:val="14"/>
                <w:szCs w:val="14"/>
                <w:b w:val="1"/>
                <w:bCs w:val="1"/>
                <w:color w:val="FFFFFF"/>
              </w:rPr>
              <w:t>Exercise of</w:t>
            </w:r>
          </w:p>
        </w:tc>
        <w:tc>
          <w:tcPr>
            <w:tcW w:w="2020" w:type="dxa"/>
            <w:vAlign w:val="bottom"/>
            <w:shd w:val="clear" w:color="auto" w:fill="C00000"/>
          </w:tcPr>
          <w:p>
            <w:pPr>
              <w:jc w:val="center"/>
              <w:ind w:right="25"/>
              <w:spacing w:after="0"/>
              <w:rPr>
                <w:sz w:val="20"/>
                <w:szCs w:val="20"/>
                <w:color w:val="auto"/>
              </w:rPr>
            </w:pPr>
            <w:r>
              <w:rPr>
                <w:rFonts w:ascii="Arial" w:cs="Arial" w:eastAsia="Arial" w:hAnsi="Arial"/>
                <w:sz w:val="14"/>
                <w:szCs w:val="14"/>
                <w:b w:val="1"/>
                <w:bCs w:val="1"/>
                <w:color w:val="FFFFFF"/>
              </w:rPr>
              <w:t>Exercise Price of</w:t>
            </w:r>
          </w:p>
        </w:tc>
        <w:tc>
          <w:tcPr>
            <w:tcW w:w="26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Equity Compensation Plans</w:t>
            </w:r>
          </w:p>
        </w:tc>
        <w:tc>
          <w:tcPr>
            <w:tcW w:w="0" w:type="dxa"/>
            <w:vAlign w:val="bottom"/>
          </w:tcPr>
          <w:p>
            <w:pPr>
              <w:spacing w:after="0"/>
              <w:rPr>
                <w:sz w:val="1"/>
                <w:szCs w:val="1"/>
                <w:color w:val="auto"/>
              </w:rPr>
            </w:pPr>
          </w:p>
        </w:tc>
      </w:tr>
      <w:tr>
        <w:trPr>
          <w:trHeight w:val="162"/>
        </w:trPr>
        <w:tc>
          <w:tcPr>
            <w:tcW w:w="3780" w:type="dxa"/>
            <w:vAlign w:val="bottom"/>
            <w:shd w:val="clear" w:color="auto" w:fill="C00000"/>
          </w:tcPr>
          <w:p>
            <w:pPr>
              <w:spacing w:after="0"/>
              <w:rPr>
                <w:sz w:val="14"/>
                <w:szCs w:val="14"/>
                <w:color w:val="auto"/>
              </w:rPr>
            </w:pPr>
          </w:p>
        </w:tc>
        <w:tc>
          <w:tcPr>
            <w:tcW w:w="2780" w:type="dxa"/>
            <w:vAlign w:val="bottom"/>
            <w:shd w:val="clear" w:color="auto" w:fill="C00000"/>
          </w:tcPr>
          <w:p>
            <w:pPr>
              <w:jc w:val="center"/>
              <w:ind w:left="585"/>
              <w:spacing w:after="0"/>
              <w:rPr>
                <w:sz w:val="20"/>
                <w:szCs w:val="20"/>
                <w:color w:val="auto"/>
              </w:rPr>
            </w:pPr>
            <w:r>
              <w:rPr>
                <w:rFonts w:ascii="Arial" w:cs="Arial" w:eastAsia="Arial" w:hAnsi="Arial"/>
                <w:sz w:val="14"/>
                <w:szCs w:val="14"/>
                <w:b w:val="1"/>
                <w:bCs w:val="1"/>
                <w:color w:val="FFFFFF"/>
              </w:rPr>
              <w:t>Outstanding Options,</w:t>
            </w:r>
          </w:p>
        </w:tc>
        <w:tc>
          <w:tcPr>
            <w:tcW w:w="2020" w:type="dxa"/>
            <w:vAlign w:val="bottom"/>
            <w:shd w:val="clear" w:color="auto" w:fill="C00000"/>
          </w:tcPr>
          <w:p>
            <w:pPr>
              <w:jc w:val="center"/>
              <w:ind w:right="5"/>
              <w:spacing w:after="0"/>
              <w:rPr>
                <w:sz w:val="20"/>
                <w:szCs w:val="20"/>
                <w:color w:val="auto"/>
              </w:rPr>
            </w:pPr>
            <w:r>
              <w:rPr>
                <w:rFonts w:ascii="Arial" w:cs="Arial" w:eastAsia="Arial" w:hAnsi="Arial"/>
                <w:sz w:val="14"/>
                <w:szCs w:val="14"/>
                <w:b w:val="1"/>
                <w:bCs w:val="1"/>
                <w:color w:val="FFFFFF"/>
              </w:rPr>
              <w:t>Outstanding Options,</w:t>
            </w:r>
          </w:p>
        </w:tc>
        <w:tc>
          <w:tcPr>
            <w:tcW w:w="26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(excluding securities reflected</w:t>
            </w:r>
          </w:p>
        </w:tc>
        <w:tc>
          <w:tcPr>
            <w:tcW w:w="0" w:type="dxa"/>
            <w:vAlign w:val="bottom"/>
          </w:tcPr>
          <w:p>
            <w:pPr>
              <w:spacing w:after="0"/>
              <w:rPr>
                <w:sz w:val="1"/>
                <w:szCs w:val="1"/>
                <w:color w:val="auto"/>
              </w:rPr>
            </w:pPr>
          </w:p>
        </w:tc>
      </w:tr>
      <w:tr>
        <w:trPr>
          <w:trHeight w:val="162"/>
        </w:trPr>
        <w:tc>
          <w:tcPr>
            <w:tcW w:w="3780" w:type="dxa"/>
            <w:vAlign w:val="bottom"/>
            <w:shd w:val="clear" w:color="auto" w:fill="C00000"/>
          </w:tcPr>
          <w:p>
            <w:pPr>
              <w:spacing w:after="0"/>
              <w:rPr>
                <w:sz w:val="14"/>
                <w:szCs w:val="14"/>
                <w:color w:val="auto"/>
              </w:rPr>
            </w:pPr>
          </w:p>
        </w:tc>
        <w:tc>
          <w:tcPr>
            <w:tcW w:w="2780" w:type="dxa"/>
            <w:vAlign w:val="bottom"/>
            <w:shd w:val="clear" w:color="auto" w:fill="C00000"/>
          </w:tcPr>
          <w:p>
            <w:pPr>
              <w:jc w:val="center"/>
              <w:ind w:left="585"/>
              <w:spacing w:after="0"/>
              <w:rPr>
                <w:sz w:val="20"/>
                <w:szCs w:val="20"/>
                <w:color w:val="auto"/>
              </w:rPr>
            </w:pPr>
            <w:r>
              <w:rPr>
                <w:rFonts w:ascii="Arial" w:cs="Arial" w:eastAsia="Arial" w:hAnsi="Arial"/>
                <w:sz w:val="14"/>
                <w:szCs w:val="14"/>
                <w:b w:val="1"/>
                <w:bCs w:val="1"/>
                <w:color w:val="FFFFFF"/>
              </w:rPr>
              <w:t>Warrants and Rights</w:t>
            </w:r>
          </w:p>
        </w:tc>
        <w:tc>
          <w:tcPr>
            <w:tcW w:w="2020" w:type="dxa"/>
            <w:vAlign w:val="bottom"/>
            <w:shd w:val="clear" w:color="auto" w:fill="C00000"/>
          </w:tcPr>
          <w:p>
            <w:pPr>
              <w:jc w:val="center"/>
              <w:ind w:right="25"/>
              <w:spacing w:after="0"/>
              <w:rPr>
                <w:sz w:val="20"/>
                <w:szCs w:val="20"/>
                <w:color w:val="auto"/>
              </w:rPr>
            </w:pPr>
            <w:r>
              <w:rPr>
                <w:rFonts w:ascii="Arial" w:cs="Arial" w:eastAsia="Arial" w:hAnsi="Arial"/>
                <w:sz w:val="14"/>
                <w:szCs w:val="14"/>
                <w:b w:val="1"/>
                <w:bCs w:val="1"/>
                <w:color w:val="FFFFFF"/>
              </w:rPr>
              <w:t>Warrants and Rights</w:t>
            </w:r>
          </w:p>
        </w:tc>
        <w:tc>
          <w:tcPr>
            <w:tcW w:w="26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in column (a))</w:t>
            </w:r>
          </w:p>
        </w:tc>
        <w:tc>
          <w:tcPr>
            <w:tcW w:w="0" w:type="dxa"/>
            <w:vAlign w:val="bottom"/>
          </w:tcPr>
          <w:p>
            <w:pPr>
              <w:spacing w:after="0"/>
              <w:rPr>
                <w:sz w:val="1"/>
                <w:szCs w:val="1"/>
                <w:color w:val="auto"/>
              </w:rPr>
            </w:pPr>
          </w:p>
        </w:tc>
      </w:tr>
      <w:tr>
        <w:trPr>
          <w:trHeight w:val="171"/>
        </w:trPr>
        <w:tc>
          <w:tcPr>
            <w:tcW w:w="378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Plan Category</w:t>
            </w:r>
          </w:p>
        </w:tc>
        <w:tc>
          <w:tcPr>
            <w:tcW w:w="2780" w:type="dxa"/>
            <w:vAlign w:val="bottom"/>
            <w:shd w:val="clear" w:color="auto" w:fill="C00000"/>
          </w:tcPr>
          <w:p>
            <w:pPr>
              <w:jc w:val="center"/>
              <w:ind w:left="605"/>
              <w:spacing w:after="0"/>
              <w:rPr>
                <w:sz w:val="20"/>
                <w:szCs w:val="20"/>
                <w:color w:val="auto"/>
              </w:rPr>
            </w:pPr>
            <w:r>
              <w:rPr>
                <w:rFonts w:ascii="Arial" w:cs="Arial" w:eastAsia="Arial" w:hAnsi="Arial"/>
                <w:sz w:val="14"/>
                <w:szCs w:val="14"/>
                <w:b w:val="1"/>
                <w:bCs w:val="1"/>
                <w:color w:val="FFFFFF"/>
              </w:rPr>
              <w:t>(a)</w:t>
            </w:r>
          </w:p>
        </w:tc>
        <w:tc>
          <w:tcPr>
            <w:tcW w:w="2020" w:type="dxa"/>
            <w:vAlign w:val="bottom"/>
            <w:shd w:val="clear" w:color="auto" w:fill="C00000"/>
          </w:tcPr>
          <w:p>
            <w:pPr>
              <w:jc w:val="center"/>
              <w:ind w:right="5"/>
              <w:spacing w:after="0"/>
              <w:rPr>
                <w:sz w:val="20"/>
                <w:szCs w:val="20"/>
                <w:color w:val="auto"/>
              </w:rPr>
            </w:pPr>
            <w:r>
              <w:rPr>
                <w:rFonts w:ascii="Arial" w:cs="Arial" w:eastAsia="Arial" w:hAnsi="Arial"/>
                <w:sz w:val="14"/>
                <w:szCs w:val="14"/>
                <w:b w:val="1"/>
                <w:bCs w:val="1"/>
                <w:color w:val="FFFFFF"/>
              </w:rPr>
              <w:t>(b)</w:t>
            </w:r>
          </w:p>
        </w:tc>
        <w:tc>
          <w:tcPr>
            <w:tcW w:w="26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(c)</w:t>
            </w:r>
          </w:p>
        </w:tc>
        <w:tc>
          <w:tcPr>
            <w:tcW w:w="0" w:type="dxa"/>
            <w:vAlign w:val="bottom"/>
          </w:tcPr>
          <w:p>
            <w:pPr>
              <w:spacing w:after="0"/>
              <w:rPr>
                <w:sz w:val="1"/>
                <w:szCs w:val="1"/>
                <w:color w:val="auto"/>
              </w:rPr>
            </w:pPr>
          </w:p>
        </w:tc>
      </w:tr>
      <w:tr>
        <w:trPr>
          <w:trHeight w:val="188"/>
        </w:trPr>
        <w:tc>
          <w:tcPr>
            <w:tcW w:w="3780" w:type="dxa"/>
            <w:vAlign w:val="bottom"/>
          </w:tcPr>
          <w:p>
            <w:pPr>
              <w:spacing w:after="0"/>
              <w:rPr>
                <w:sz w:val="20"/>
                <w:szCs w:val="20"/>
                <w:color w:val="auto"/>
              </w:rPr>
            </w:pPr>
            <w:r>
              <w:rPr>
                <w:rFonts w:ascii="Arial" w:cs="Arial" w:eastAsia="Arial" w:hAnsi="Arial"/>
                <w:sz w:val="16"/>
                <w:szCs w:val="16"/>
                <w:color w:val="auto"/>
              </w:rPr>
              <w:t>Equity compensation plans approved by</w:t>
            </w:r>
          </w:p>
        </w:tc>
        <w:tc>
          <w:tcPr>
            <w:tcW w:w="2780" w:type="dxa"/>
            <w:vAlign w:val="bottom"/>
            <w:vMerge w:val="restart"/>
          </w:tcPr>
          <w:p>
            <w:pPr>
              <w:jc w:val="center"/>
              <w:ind w:left="585"/>
              <w:spacing w:after="0"/>
              <w:rPr>
                <w:sz w:val="20"/>
                <w:szCs w:val="20"/>
                <w:color w:val="auto"/>
              </w:rPr>
            </w:pPr>
            <w:r>
              <w:rPr>
                <w:rFonts w:ascii="Arial" w:cs="Arial" w:eastAsia="Arial" w:hAnsi="Arial"/>
                <w:sz w:val="16"/>
                <w:szCs w:val="16"/>
                <w:color w:val="auto"/>
                <w:w w:val="94"/>
              </w:rPr>
              <w:t>3,527,910</w:t>
            </w:r>
            <w:r>
              <w:rPr>
                <w:rFonts w:ascii="Arial" w:cs="Arial" w:eastAsia="Arial" w:hAnsi="Arial"/>
                <w:sz w:val="27"/>
                <w:szCs w:val="27"/>
                <w:color w:val="auto"/>
                <w:w w:val="94"/>
                <w:vertAlign w:val="superscript"/>
              </w:rPr>
              <w:t>(1)</w:t>
            </w:r>
          </w:p>
        </w:tc>
        <w:tc>
          <w:tcPr>
            <w:tcW w:w="2020" w:type="dxa"/>
            <w:vAlign w:val="bottom"/>
            <w:vMerge w:val="restart"/>
          </w:tcPr>
          <w:p>
            <w:pPr>
              <w:jc w:val="center"/>
              <w:ind w:right="5"/>
              <w:spacing w:after="0"/>
              <w:rPr>
                <w:sz w:val="20"/>
                <w:szCs w:val="20"/>
                <w:color w:val="auto"/>
              </w:rPr>
            </w:pPr>
            <w:r>
              <w:rPr>
                <w:rFonts w:ascii="Arial" w:cs="Arial" w:eastAsia="Arial" w:hAnsi="Arial"/>
                <w:sz w:val="16"/>
                <w:szCs w:val="16"/>
                <w:color w:val="auto"/>
                <w:w w:val="92"/>
              </w:rPr>
              <w:t>$71.23</w:t>
            </w:r>
            <w:r>
              <w:rPr>
                <w:rFonts w:ascii="Arial" w:cs="Arial" w:eastAsia="Arial" w:hAnsi="Arial"/>
                <w:sz w:val="27"/>
                <w:szCs w:val="27"/>
                <w:color w:val="auto"/>
                <w:w w:val="92"/>
                <w:vertAlign w:val="superscript"/>
              </w:rPr>
              <w:t>(2)</w:t>
            </w:r>
          </w:p>
        </w:tc>
        <w:tc>
          <w:tcPr>
            <w:tcW w:w="2660" w:type="dxa"/>
            <w:vAlign w:val="bottom"/>
            <w:vMerge w:val="restart"/>
          </w:tcPr>
          <w:p>
            <w:pPr>
              <w:jc w:val="center"/>
              <w:spacing w:after="0"/>
              <w:rPr>
                <w:sz w:val="20"/>
                <w:szCs w:val="20"/>
                <w:color w:val="auto"/>
              </w:rPr>
            </w:pPr>
            <w:r>
              <w:rPr>
                <w:rFonts w:ascii="Arial" w:cs="Arial" w:eastAsia="Arial" w:hAnsi="Arial"/>
                <w:sz w:val="16"/>
                <w:szCs w:val="16"/>
                <w:color w:val="auto"/>
                <w:w w:val="94"/>
              </w:rPr>
              <w:t>3,703,369</w:t>
            </w:r>
            <w:r>
              <w:rPr>
                <w:rFonts w:ascii="Arial" w:cs="Arial" w:eastAsia="Arial" w:hAnsi="Arial"/>
                <w:sz w:val="27"/>
                <w:szCs w:val="27"/>
                <w:color w:val="auto"/>
                <w:w w:val="94"/>
                <w:vertAlign w:val="superscript"/>
              </w:rPr>
              <w:t>(3)</w:t>
            </w:r>
          </w:p>
        </w:tc>
        <w:tc>
          <w:tcPr>
            <w:tcW w:w="0" w:type="dxa"/>
            <w:vAlign w:val="bottom"/>
          </w:tcPr>
          <w:p>
            <w:pPr>
              <w:spacing w:after="0"/>
              <w:rPr>
                <w:sz w:val="1"/>
                <w:szCs w:val="1"/>
                <w:color w:val="auto"/>
              </w:rPr>
            </w:pPr>
          </w:p>
        </w:tc>
      </w:tr>
      <w:tr>
        <w:trPr>
          <w:trHeight w:val="203"/>
        </w:trPr>
        <w:tc>
          <w:tcPr>
            <w:tcW w:w="3780" w:type="dxa"/>
            <w:vAlign w:val="bottom"/>
          </w:tcPr>
          <w:p>
            <w:pPr>
              <w:ind w:left="140"/>
              <w:spacing w:after="0"/>
              <w:rPr>
                <w:sz w:val="20"/>
                <w:szCs w:val="20"/>
                <w:color w:val="auto"/>
              </w:rPr>
            </w:pPr>
            <w:r>
              <w:rPr>
                <w:rFonts w:ascii="Arial" w:cs="Arial" w:eastAsia="Arial" w:hAnsi="Arial"/>
                <w:sz w:val="16"/>
                <w:szCs w:val="16"/>
                <w:color w:val="auto"/>
              </w:rPr>
              <w:t>security holders</w:t>
            </w:r>
          </w:p>
        </w:tc>
        <w:tc>
          <w:tcPr>
            <w:tcW w:w="2780" w:type="dxa"/>
            <w:vAlign w:val="bottom"/>
            <w:vMerge w:val="continue"/>
          </w:tcPr>
          <w:p>
            <w:pPr>
              <w:spacing w:after="0"/>
              <w:rPr>
                <w:sz w:val="17"/>
                <w:szCs w:val="17"/>
                <w:color w:val="auto"/>
              </w:rPr>
            </w:pPr>
          </w:p>
        </w:tc>
        <w:tc>
          <w:tcPr>
            <w:tcW w:w="2020" w:type="dxa"/>
            <w:vAlign w:val="bottom"/>
            <w:vMerge w:val="continue"/>
          </w:tcPr>
          <w:p>
            <w:pPr>
              <w:spacing w:after="0"/>
              <w:rPr>
                <w:sz w:val="17"/>
                <w:szCs w:val="17"/>
                <w:color w:val="auto"/>
              </w:rPr>
            </w:pPr>
          </w:p>
        </w:tc>
        <w:tc>
          <w:tcPr>
            <w:tcW w:w="2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780" w:type="dxa"/>
            <w:vAlign w:val="bottom"/>
            <w:shd w:val="clear" w:color="auto" w:fill="D9D9D9"/>
          </w:tcPr>
          <w:p>
            <w:pPr>
              <w:spacing w:after="0"/>
              <w:rPr>
                <w:sz w:val="20"/>
                <w:szCs w:val="20"/>
                <w:color w:val="auto"/>
              </w:rPr>
            </w:pPr>
            <w:r>
              <w:rPr>
                <w:rFonts w:ascii="Arial" w:cs="Arial" w:eastAsia="Arial" w:hAnsi="Arial"/>
                <w:sz w:val="16"/>
                <w:szCs w:val="16"/>
                <w:color w:val="auto"/>
              </w:rPr>
              <w:t>Equity compensation plans not</w:t>
            </w:r>
          </w:p>
        </w:tc>
        <w:tc>
          <w:tcPr>
            <w:tcW w:w="2780" w:type="dxa"/>
            <w:vAlign w:val="bottom"/>
            <w:shd w:val="clear" w:color="auto" w:fill="D9D9D9"/>
          </w:tcPr>
          <w:p>
            <w:pPr>
              <w:spacing w:after="0"/>
              <w:rPr>
                <w:sz w:val="16"/>
                <w:szCs w:val="16"/>
                <w:color w:val="auto"/>
              </w:rPr>
            </w:pPr>
          </w:p>
        </w:tc>
        <w:tc>
          <w:tcPr>
            <w:tcW w:w="2020" w:type="dxa"/>
            <w:vAlign w:val="bottom"/>
            <w:shd w:val="clear" w:color="auto" w:fill="D9D9D9"/>
          </w:tcPr>
          <w:p>
            <w:pPr>
              <w:spacing w:after="0"/>
              <w:rPr>
                <w:sz w:val="16"/>
                <w:szCs w:val="16"/>
                <w:color w:val="auto"/>
              </w:rPr>
            </w:pPr>
          </w:p>
        </w:tc>
        <w:tc>
          <w:tcPr>
            <w:tcW w:w="266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D9D9D9"/>
          </w:tcPr>
          <w:p>
            <w:pPr>
              <w:ind w:left="140"/>
              <w:spacing w:after="0"/>
              <w:rPr>
                <w:sz w:val="20"/>
                <w:szCs w:val="20"/>
                <w:color w:val="auto"/>
              </w:rPr>
            </w:pPr>
            <w:r>
              <w:rPr>
                <w:rFonts w:ascii="Arial" w:cs="Arial" w:eastAsia="Arial" w:hAnsi="Arial"/>
                <w:sz w:val="16"/>
                <w:szCs w:val="16"/>
                <w:color w:val="auto"/>
              </w:rPr>
              <w:t>approved by security holders</w:t>
            </w:r>
          </w:p>
        </w:tc>
        <w:tc>
          <w:tcPr>
            <w:tcW w:w="2780" w:type="dxa"/>
            <w:vAlign w:val="bottom"/>
            <w:shd w:val="clear" w:color="auto" w:fill="D9D9D9"/>
          </w:tcPr>
          <w:p>
            <w:pPr>
              <w:jc w:val="center"/>
              <w:ind w:left="585"/>
              <w:spacing w:after="0"/>
              <w:rPr>
                <w:sz w:val="20"/>
                <w:szCs w:val="20"/>
                <w:color w:val="auto"/>
              </w:rPr>
            </w:pPr>
            <w:r>
              <w:rPr>
                <w:rFonts w:ascii="Arial" w:cs="Arial" w:eastAsia="Arial" w:hAnsi="Arial"/>
                <w:sz w:val="16"/>
                <w:szCs w:val="16"/>
                <w:color w:val="auto"/>
              </w:rPr>
              <w:t>N/A</w:t>
            </w:r>
          </w:p>
        </w:tc>
        <w:tc>
          <w:tcPr>
            <w:tcW w:w="2020" w:type="dxa"/>
            <w:vAlign w:val="bottom"/>
            <w:shd w:val="clear" w:color="auto" w:fill="D9D9D9"/>
          </w:tcPr>
          <w:p>
            <w:pPr>
              <w:jc w:val="center"/>
              <w:ind w:right="5"/>
              <w:spacing w:after="0"/>
              <w:rPr>
                <w:sz w:val="20"/>
                <w:szCs w:val="20"/>
                <w:color w:val="auto"/>
              </w:rPr>
            </w:pPr>
            <w:r>
              <w:rPr>
                <w:rFonts w:ascii="Arial" w:cs="Arial" w:eastAsia="Arial" w:hAnsi="Arial"/>
                <w:sz w:val="16"/>
                <w:szCs w:val="16"/>
                <w:color w:val="auto"/>
                <w:w w:val="97"/>
              </w:rPr>
              <w:t>N/A</w:t>
            </w:r>
          </w:p>
        </w:tc>
        <w:tc>
          <w:tcPr>
            <w:tcW w:w="266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379"/>
        </w:trPr>
        <w:tc>
          <w:tcPr>
            <w:tcW w:w="3780" w:type="dxa"/>
            <w:vAlign w:val="bottom"/>
          </w:tcPr>
          <w:p>
            <w:pPr>
              <w:spacing w:after="0"/>
              <w:rPr>
                <w:sz w:val="20"/>
                <w:szCs w:val="20"/>
                <w:color w:val="auto"/>
              </w:rPr>
            </w:pPr>
            <w:r>
              <w:rPr>
                <w:rFonts w:ascii="Arial" w:cs="Arial" w:eastAsia="Arial" w:hAnsi="Arial"/>
                <w:sz w:val="16"/>
                <w:szCs w:val="16"/>
                <w:color w:val="auto"/>
              </w:rPr>
              <w:t>Total</w:t>
            </w:r>
          </w:p>
        </w:tc>
        <w:tc>
          <w:tcPr>
            <w:tcW w:w="2780" w:type="dxa"/>
            <w:vAlign w:val="bottom"/>
          </w:tcPr>
          <w:p>
            <w:pPr>
              <w:jc w:val="center"/>
              <w:ind w:left="585"/>
              <w:spacing w:after="0"/>
              <w:rPr>
                <w:sz w:val="20"/>
                <w:szCs w:val="20"/>
                <w:color w:val="auto"/>
              </w:rPr>
            </w:pPr>
            <w:r>
              <w:rPr>
                <w:rFonts w:ascii="Arial" w:cs="Arial" w:eastAsia="Arial" w:hAnsi="Arial"/>
                <w:sz w:val="16"/>
                <w:szCs w:val="16"/>
                <w:color w:val="auto"/>
                <w:w w:val="94"/>
              </w:rPr>
              <w:t>3,527,910</w:t>
            </w:r>
            <w:r>
              <w:rPr>
                <w:rFonts w:ascii="Arial" w:cs="Arial" w:eastAsia="Arial" w:hAnsi="Arial"/>
                <w:sz w:val="27"/>
                <w:szCs w:val="27"/>
                <w:color w:val="auto"/>
                <w:w w:val="94"/>
                <w:vertAlign w:val="superscript"/>
              </w:rPr>
              <w:t>(1)</w:t>
            </w:r>
          </w:p>
        </w:tc>
        <w:tc>
          <w:tcPr>
            <w:tcW w:w="2020" w:type="dxa"/>
            <w:vAlign w:val="bottom"/>
          </w:tcPr>
          <w:p>
            <w:pPr>
              <w:jc w:val="center"/>
              <w:ind w:right="5"/>
              <w:spacing w:after="0"/>
              <w:rPr>
                <w:sz w:val="20"/>
                <w:szCs w:val="20"/>
                <w:color w:val="auto"/>
              </w:rPr>
            </w:pPr>
            <w:r>
              <w:rPr>
                <w:rFonts w:ascii="Arial" w:cs="Arial" w:eastAsia="Arial" w:hAnsi="Arial"/>
                <w:sz w:val="16"/>
                <w:szCs w:val="16"/>
                <w:color w:val="auto"/>
                <w:w w:val="92"/>
              </w:rPr>
              <w:t>$71.23</w:t>
            </w:r>
            <w:r>
              <w:rPr>
                <w:rFonts w:ascii="Arial" w:cs="Arial" w:eastAsia="Arial" w:hAnsi="Arial"/>
                <w:sz w:val="27"/>
                <w:szCs w:val="27"/>
                <w:color w:val="auto"/>
                <w:w w:val="92"/>
                <w:vertAlign w:val="superscript"/>
              </w:rPr>
              <w:t>(2)</w:t>
            </w:r>
          </w:p>
        </w:tc>
        <w:tc>
          <w:tcPr>
            <w:tcW w:w="2660" w:type="dxa"/>
            <w:vAlign w:val="bottom"/>
          </w:tcPr>
          <w:p>
            <w:pPr>
              <w:jc w:val="center"/>
              <w:spacing w:after="0"/>
              <w:rPr>
                <w:sz w:val="20"/>
                <w:szCs w:val="20"/>
                <w:color w:val="auto"/>
              </w:rPr>
            </w:pPr>
            <w:r>
              <w:rPr>
                <w:rFonts w:ascii="Arial" w:cs="Arial" w:eastAsia="Arial" w:hAnsi="Arial"/>
                <w:sz w:val="16"/>
                <w:szCs w:val="16"/>
                <w:color w:val="auto"/>
                <w:w w:val="94"/>
              </w:rPr>
              <w:t>3,703,369</w:t>
            </w:r>
            <w:r>
              <w:rPr>
                <w:rFonts w:ascii="Arial" w:cs="Arial" w:eastAsia="Arial" w:hAnsi="Arial"/>
                <w:sz w:val="27"/>
                <w:szCs w:val="27"/>
                <w:color w:val="auto"/>
                <w:w w:val="94"/>
                <w:vertAlign w:val="superscript"/>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0402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ind w:left="400" w:right="140" w:hanging="392"/>
        <w:spacing w:after="0"/>
        <w:tabs>
          <w:tab w:leader="none" w:pos="4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Amount includes: 2,983,098 outstanding stock options under the 2010 Plan; 2,935 outstanding stock options under the 2022 Plan; 91,488 outstanding restricted stock unit awards under the 2010 Plan, including share dividend equivalents that have been issued on such outstanding restricted stock units; 59,189 outstanding restricted stock unit awards under the 2022 Plan, including share dividend equivalents that have been issued on such outstanding restricted stock units; and 391,200 outstanding performance share awards under the 2010 Plan, assuming a maximum level of achievement. The actual number of shares that will be issued under the performance share awards is determined by the level of achievement of performance goals.</w:t>
      </w:r>
    </w:p>
    <w:p>
      <w:pPr>
        <w:spacing w:after="0" w:line="20" w:lineRule="exact"/>
        <w:rPr>
          <w:rFonts w:ascii="Arial" w:cs="Arial" w:eastAsia="Arial" w:hAnsi="Arial"/>
          <w:sz w:val="18"/>
          <w:szCs w:val="18"/>
          <w:color w:val="auto"/>
        </w:rPr>
      </w:pPr>
    </w:p>
    <w:p>
      <w:pPr>
        <w:ind w:left="400" w:right="220" w:hanging="392"/>
        <w:spacing w:after="0" w:line="266" w:lineRule="auto"/>
        <w:tabs>
          <w:tab w:leader="none" w:pos="4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Performance share awards and restricted stock units do not have exercise prices and, therefore, have been excluded from the weighted-average exercise price calculation in column (b).</w:t>
      </w:r>
    </w:p>
    <w:p>
      <w:pPr>
        <w:ind w:left="400" w:hanging="392"/>
        <w:spacing w:after="0"/>
        <w:tabs>
          <w:tab w:leader="none" w:pos="4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Amount represents shares available for future issuance upon awards that may be granted under the 2022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2057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OTHER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Shareholder Proposals and Director Nominations for the 2024 Annual Meeting</w:t>
      </w:r>
    </w:p>
    <w:p>
      <w:pPr>
        <w:spacing w:after="0" w:line="99" w:lineRule="exact"/>
        <w:rPr>
          <w:sz w:val="20"/>
          <w:szCs w:val="20"/>
          <w:color w:val="auto"/>
        </w:rPr>
      </w:pPr>
    </w:p>
    <w:p>
      <w:pPr>
        <w:jc w:val="both"/>
        <w:ind w:firstLine="401"/>
        <w:spacing w:after="0" w:line="266" w:lineRule="auto"/>
        <w:rPr>
          <w:sz w:val="20"/>
          <w:szCs w:val="20"/>
          <w:color w:val="auto"/>
        </w:rPr>
      </w:pPr>
      <w:r>
        <w:rPr>
          <w:rFonts w:ascii="Arial" w:cs="Arial" w:eastAsia="Arial" w:hAnsi="Arial"/>
          <w:sz w:val="17"/>
          <w:szCs w:val="17"/>
          <w:color w:val="auto"/>
        </w:rPr>
        <w:t>The 2024 Annual Meeting of Shareholders is expected to be held on March 19, 2024. In order for a shareholder proposal to be included in our proxy statement for the 2024 Annual Meeting, (i) our Secretary must receive such proposal no later than the close of business on October 10, 2023, unless the date of the 2024 Annual Meeting is delayed by more than 30 calendar days; and (ii) such proposal must satisfy all of the requirements of, and not otherwise be permitted to be excluded under, Rule 14a-8 promulgated by the SEC and our Amended and Restated Bylaws.</w:t>
      </w:r>
    </w:p>
    <w:p>
      <w:pPr>
        <w:spacing w:after="0" w:line="51" w:lineRule="exact"/>
        <w:rPr>
          <w:sz w:val="20"/>
          <w:szCs w:val="20"/>
          <w:color w:val="auto"/>
        </w:rPr>
      </w:pPr>
    </w:p>
    <w:p>
      <w:pPr>
        <w:ind w:right="40" w:firstLine="401"/>
        <w:spacing w:after="0" w:line="253" w:lineRule="auto"/>
        <w:rPr>
          <w:sz w:val="20"/>
          <w:szCs w:val="20"/>
          <w:color w:val="auto"/>
        </w:rPr>
      </w:pPr>
      <w:r>
        <w:rPr>
          <w:rFonts w:ascii="Arial" w:cs="Arial" w:eastAsia="Arial" w:hAnsi="Arial"/>
          <w:sz w:val="17"/>
          <w:szCs w:val="17"/>
          <w:color w:val="auto"/>
        </w:rPr>
        <w:t>Under our current Amended and Restated Bylaws, in order for a shareholder to nominate one or more persons for election to the Board at the 2024 Annual Meeting of Shareholders or propose any other business to be brought before the 2024 Annual Meeting, complete and timely notice must be given in writing and in proper form to our Secretary not later than December 22, 2023, nor earlier than November 22, 2023. However, if the date of the 2024 Annual Meeting is advanced by more than 30 days or delayed by more than 60 days from the first anniversary date of the 2023 Annual Meeting of Shareholders, such notice must be delivered not earlier than the 120th day prior to the date of the rescheduled 2024 Annual Meeting and not later than the close of business on the later of the 90th day prior to the date of the rescheduled 2024 Annual Meeting or the 10th day following the day on which we first make a public announcement of the date of the rescheduled 2024 Annual Meeting. Any notice must contain the specific information required by our Amended and Restated Bylaws, including, among other things, information about: any proposed nominee and his or her relationships with the shareholder submitting the nomination; any agreements, arrangements or understandings the shareholder may have with any proposed nominee or other parties relating to the nomination or other proposal; and the interests that the shareholder has related to our Company and its shares, including as a result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EE"/>
        </w:rPr>
        <w:t>Table of Contents</w:t>
      </w:r>
    </w:p>
    <w:p>
      <w:pPr>
        <w:spacing w:after="0" w:line="103"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of, among other things, derivative securities, voting arrangements or short positions. Such information must be updated as of the record date for the 2024 Annual Meeting and as of the date that is 10 business days prior to the date of the 2024 Annual Meeting. This summary information regarding our Amended and Restated Bylaws is qualified in its entirety by reference to the full text of the Amended and Restated Bylaws, a copy of which can be found on our website at www.thetorocompany.com/corporategovernance. If a nomination or proposal is not timely and properly made in accordance with the procedures set forth in our Amended and Restated Bylaws, or does not contain the specific information required by our Amended and Restated Bylaws, such nomination or proposal will be defective and will not be brought before the 2024 Annual Meeting. If a nomination or proposal is nonetheless brought before the 2024 Annual Meeting and the Chairman does not exercise the power and duty to declare the nomination or proposal defective, the persons named in the proxy may use their discretionary voting with respect to such nomination or proposal. In addition, to comply with the universal proxy rules, shareholders who intend to solicit proxies in support of director nominees other than the nominees of our Board of Directors must also comply with the additional requirements of Rule 14a-19 under the Exchange Act, including providing a statement that such shareholder intends to solicit the holders of shares representing at least 67% of the voting power of TTC shares entitled to vote on the election of directors in support of director nominees other than TTC’s nominees, as required by Rule 14a-19(b). We intend to file a proxy statement and WHITE proxy card with the SEC in connection with the solicitation of proxies for our 2024 annual meeting.</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Householding of Annual Meeting Materials</w:t>
      </w:r>
    </w:p>
    <w:p>
      <w:pPr>
        <w:spacing w:after="0" w:line="99" w:lineRule="exact"/>
        <w:rPr>
          <w:sz w:val="20"/>
          <w:szCs w:val="20"/>
          <w:color w:val="auto"/>
        </w:rPr>
      </w:pPr>
    </w:p>
    <w:p>
      <w:pPr>
        <w:ind w:right="40" w:firstLine="401"/>
        <w:spacing w:after="0" w:line="257" w:lineRule="auto"/>
        <w:rPr>
          <w:sz w:val="20"/>
          <w:szCs w:val="20"/>
          <w:color w:val="auto"/>
        </w:rPr>
      </w:pPr>
      <w:r>
        <w:rPr>
          <w:rFonts w:ascii="Arial" w:cs="Arial" w:eastAsia="Arial" w:hAnsi="Arial"/>
          <w:sz w:val="17"/>
          <w:szCs w:val="17"/>
          <w:color w:val="auto"/>
        </w:rPr>
        <w:t>Some banks, brokers and other nominee record holders may be participating in the practice of “householding” proxy statements and annual reports. This means that only one set of these documents may have been sent to multiple shareholders at a shared address. Additional copies of this proxy statement and our Annual Report on Form 10-K are available upon request to our General Counsel at 8111 Lyndale Avenue South, Bloomington, Minnesota, 55420-1196, by telephone at (952) 888-8801, or by e-mail to invest@thetorocompany.com. These documents also may be downloaded and printed from our website at www.thetorocompany.com/proxy. Any shareholder who wants to receive separate copies of our proxy statement and annual report in the future, or any shareholder who is receiving multiple copies and would like to receive only one copy per household, should contact his, her or its bank, broker or other nominee record holder.</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Annual Report</w:t>
      </w:r>
    </w:p>
    <w:p>
      <w:pPr>
        <w:spacing w:after="0" w:line="99" w:lineRule="exact"/>
        <w:rPr>
          <w:sz w:val="20"/>
          <w:szCs w:val="20"/>
          <w:color w:val="auto"/>
        </w:rPr>
      </w:pPr>
    </w:p>
    <w:p>
      <w:pPr>
        <w:ind w:firstLine="401"/>
        <w:spacing w:after="0" w:line="244" w:lineRule="auto"/>
        <w:rPr>
          <w:sz w:val="20"/>
          <w:szCs w:val="20"/>
          <w:color w:val="auto"/>
        </w:rPr>
      </w:pPr>
      <w:r>
        <w:rPr>
          <w:rFonts w:ascii="Arial" w:cs="Arial" w:eastAsia="Arial" w:hAnsi="Arial"/>
          <w:sz w:val="18"/>
          <w:szCs w:val="18"/>
          <w:b w:val="1"/>
          <w:bCs w:val="1"/>
          <w:color w:val="auto"/>
        </w:rPr>
        <w:t>A copy of TTC’s Annual Report on Form 10-K for the fiscal year ended October 31, 2022, as filed with the SEC, will be sent to any shareholder, without charge, upon written request to our General Counsel at 8111 Lyndale Avenue South, Bloomington, Minnesota, 55420-1196. You also may obtain our Annual Report on Form 10-K on the Internet at the SEC’s website, www.sec.gov, or on our website at www.thetorocompany.com/proxy. Our Fiscal Year 2022 Annual Report, which contains information about our business but is not part of our disclosure deemed to be filed with the SEC, also is available on our website at www.thetorocompany.com/proxy.</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Cost and Method of Solicitation</w:t>
      </w:r>
    </w:p>
    <w:p>
      <w:pPr>
        <w:spacing w:after="0" w:line="99" w:lineRule="exact"/>
        <w:rPr>
          <w:sz w:val="20"/>
          <w:szCs w:val="20"/>
          <w:color w:val="auto"/>
        </w:rPr>
      </w:pPr>
    </w:p>
    <w:p>
      <w:pPr>
        <w:ind w:right="40" w:firstLine="401"/>
        <w:spacing w:after="0"/>
        <w:rPr>
          <w:sz w:val="20"/>
          <w:szCs w:val="20"/>
          <w:color w:val="auto"/>
        </w:rPr>
      </w:pPr>
      <w:r>
        <w:rPr>
          <w:rFonts w:ascii="Arial" w:cs="Arial" w:eastAsia="Arial" w:hAnsi="Arial"/>
          <w:sz w:val="18"/>
          <w:szCs w:val="18"/>
          <w:color w:val="auto"/>
        </w:rPr>
        <w:t>We will pay the cost of soliciting proxies and may make arrangements with brokerage houses, custodians, nominees and other fiduciaries to send proxy materials to beneficial owners of our common stock. We will reimburse these third-parties for reasonable out-of-pocket expenses. In addition to solicitation by mail, our non-employee directors, executive officers and other employees may solicit proxies by telephone, electronic transmission and personally. Our non-employee directors, executive officers and other employees will not receive compensation for such services other than regular non-employee director or employee compensation. We have retained Morrow Sodali LLC, 333 Ludlow Street, 5</w:t>
      </w:r>
      <w:r>
        <w:rPr>
          <w:rFonts w:ascii="Arial" w:cs="Arial" w:eastAsia="Arial" w:hAnsi="Arial"/>
          <w:sz w:val="15"/>
          <w:szCs w:val="15"/>
          <w:color w:val="auto"/>
        </w:rPr>
        <w:t>th</w:t>
      </w:r>
      <w:r>
        <w:rPr>
          <w:rFonts w:ascii="Arial" w:cs="Arial" w:eastAsia="Arial" w:hAnsi="Arial"/>
          <w:sz w:val="18"/>
          <w:szCs w:val="18"/>
          <w:color w:val="auto"/>
        </w:rPr>
        <w:t xml:space="preserve"> Floor, South Tower, Stamford, Connecticut, 06902, for an estimated fee of $8,500, plus out of pocket expenses, to assist in distributing proxy materials and soliciting proxies in connection with our 2023 Annual Meeting of Shareholders.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7, 2023</w:t>
      </w:r>
    </w:p>
    <w:p>
      <w:pPr>
        <w:spacing w:after="0" w:line="104"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86360</wp:posOffset>
            </wp:positionV>
            <wp:extent cx="1474470" cy="3771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47447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left="4860"/>
        <w:spacing w:after="0"/>
        <w:rPr>
          <w:sz w:val="20"/>
          <w:szCs w:val="20"/>
          <w:color w:val="auto"/>
        </w:rPr>
      </w:pPr>
      <w:r>
        <w:rPr>
          <w:rFonts w:ascii="Arial" w:cs="Arial" w:eastAsia="Arial" w:hAnsi="Arial"/>
          <w:sz w:val="18"/>
          <w:szCs w:val="18"/>
          <w:color w:val="C00000"/>
        </w:rPr>
        <w:t>Amy E. Dahl</w:t>
      </w:r>
    </w:p>
    <w:p>
      <w:pPr>
        <w:spacing w:after="0" w:line="9" w:lineRule="exact"/>
        <w:rPr>
          <w:sz w:val="20"/>
          <w:szCs w:val="20"/>
          <w:color w:val="auto"/>
        </w:rPr>
      </w:pPr>
    </w:p>
    <w:p>
      <w:pPr>
        <w:jc w:val="center"/>
        <w:ind w:left="4900"/>
        <w:spacing w:after="0"/>
        <w:rPr>
          <w:sz w:val="20"/>
          <w:szCs w:val="20"/>
          <w:color w:val="auto"/>
        </w:rPr>
      </w:pPr>
      <w:r>
        <w:rPr>
          <w:rFonts w:ascii="Arial" w:cs="Arial" w:eastAsia="Arial" w:hAnsi="Arial"/>
          <w:sz w:val="18"/>
          <w:szCs w:val="18"/>
          <w:color w:val="C00000"/>
        </w:rPr>
        <w:t>Vice President, General Counsel</w:t>
      </w:r>
    </w:p>
    <w:p>
      <w:pPr>
        <w:ind w:left="7100"/>
        <w:spacing w:after="0"/>
        <w:rPr>
          <w:sz w:val="20"/>
          <w:szCs w:val="20"/>
          <w:color w:val="auto"/>
        </w:rPr>
      </w:pPr>
      <w:r>
        <w:rPr>
          <w:rFonts w:ascii="Arial" w:cs="Arial" w:eastAsia="Arial" w:hAnsi="Arial"/>
          <w:sz w:val="18"/>
          <w:szCs w:val="18"/>
          <w:color w:val="auto"/>
        </w:rPr>
        <w:t>and Corporate Secretary</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414655</wp:posOffset>
            </wp:positionV>
            <wp:extent cx="7174865" cy="75907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7590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1."/>
      <w:numFmt w:val="decimal"/>
      <w:start w:val="2"/>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1)"/>
      <w:numFmt w:val="decimal"/>
      <w:start w:val="1"/>
    </w:lvl>
  </w:abstractNum>
  <w:abstractNum w:abstractNumId="8">
    <w:nsid w:val="579478FE"/>
    <w:multiLevelType w:val="hybridMultilevel"/>
    <w:lvl w:ilvl="0">
      <w:lvlJc w:val="left"/>
      <w:lvlText w:val="(%1)"/>
      <w:numFmt w:val="decimal"/>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1)"/>
      <w:numFmt w:val="lowerLetter"/>
      <w:start w:val="2"/>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
      <w:numFmt w:val="bullet"/>
      <w:start w:val="1"/>
    </w:lvl>
  </w:abstractNum>
  <w:abstractNum w:abstractNumId="35">
    <w:nsid w:val="77AE35EB"/>
    <w:multiLevelType w:val="hybridMultilevel"/>
    <w:lvl w:ilvl="0">
      <w:lvlJc w:val="left"/>
      <w:lvlText w:val="&amp;"/>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
      <w:numFmt w:val="bullet"/>
      <w:start w:val="1"/>
    </w:lvl>
    <w:lvl w:ilvl="1">
      <w:lvlJc w:val="left"/>
      <w:lvlText w:val="−"/>
      <w:numFmt w:val="bullet"/>
      <w:start w:val="1"/>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1)"/>
      <w:numFmt w:val="decimal"/>
      <w:start w:val="1"/>
    </w:lvl>
  </w:abstractNum>
  <w:abstractNum w:abstractNumId="49">
    <w:nsid w:val="5F5E7FD0"/>
    <w:multiLevelType w:val="hybridMultilevel"/>
    <w:lvl w:ilvl="0">
      <w:lvlJc w:val="left"/>
      <w:lvlText w:val="(%1)"/>
      <w:numFmt w:val="decimal"/>
      <w:start w:val="6"/>
    </w:lvl>
  </w:abstractNum>
  <w:abstractNum w:abstractNumId="50">
    <w:nsid w:val="98A3148"/>
    <w:multiLevelType w:val="hybridMultilevel"/>
    <w:lvl w:ilvl="0">
      <w:lvlJc w:val="left"/>
      <w:lvlText w:val="(%1)"/>
      <w:numFmt w:val="decimal"/>
      <w:start w:val="1"/>
    </w:lvl>
  </w:abstractNum>
  <w:abstractNum w:abstractNumId="51">
    <w:nsid w:val="799D0247"/>
    <w:multiLevelType w:val="hybridMultilevel"/>
    <w:lvl w:ilvl="0">
      <w:lvlJc w:val="left"/>
      <w:lvlText w:val="•"/>
      <w:numFmt w:val="bullet"/>
      <w:start w:val="1"/>
    </w:lvl>
  </w:abstractNum>
  <w:abstractNum w:abstractNumId="52">
    <w:nsid w:val="6B94764"/>
    <w:multiLevelType w:val="hybridMultilevel"/>
    <w:lvl w:ilvl="0">
      <w:lvlJc w:val="left"/>
      <w:lvlText w:val="•"/>
      <w:numFmt w:val="bullet"/>
      <w:start w:val="1"/>
    </w:lvl>
  </w:abstractNum>
  <w:abstractNum w:abstractNumId="53">
    <w:nsid w:val="42C296BD"/>
    <w:multiLevelType w:val="hybridMultilevel"/>
    <w:lvl w:ilvl="0">
      <w:lvlJc w:val="left"/>
      <w:lvlText w:val="*"/>
      <w:numFmt w:val="bullet"/>
      <w:start w:val="1"/>
    </w:lvl>
    <w:lvl w:ilvl="1">
      <w:lvlJc w:val="left"/>
      <w:lvlText w:val="•"/>
      <w:numFmt w:val="bullet"/>
      <w:start w:val="1"/>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
      <w:numFmt w:val="bullet"/>
      <w:start w:val="1"/>
    </w:lvl>
  </w:abstractNum>
  <w:abstractNum w:abstractNumId="56">
    <w:nsid w:val="661E3F1E"/>
    <w:multiLevelType w:val="hybridMultilevel"/>
    <w:lvl w:ilvl="0">
      <w:lvlJc w:val="left"/>
      <w:lvlText w:val="•"/>
      <w:numFmt w:val="bullet"/>
      <w:start w:val="1"/>
    </w:lvl>
  </w:abstractNum>
  <w:abstractNum w:abstractNumId="57">
    <w:nsid w:val="5DC79EA8"/>
    <w:multiLevelType w:val="hybridMultilevel"/>
    <w:lvl w:ilvl="0">
      <w:lvlJc w:val="left"/>
      <w:lvlText w:val="✓"/>
      <w:numFmt w:val="bullet"/>
      <w:start w:val="1"/>
    </w:lvl>
  </w:abstractNum>
  <w:abstractNum w:abstractNumId="58">
    <w:nsid w:val="540A471C"/>
    <w:multiLevelType w:val="hybridMultilevel"/>
    <w:lvl w:ilvl="0">
      <w:lvlJc w:val="left"/>
      <w:lvlText w:val="•"/>
      <w:numFmt w:val="bullet"/>
      <w:start w:val="1"/>
    </w:lvl>
  </w:abstractNum>
  <w:abstractNum w:abstractNumId="59">
    <w:nsid w:val="7BD3EE7B"/>
    <w:multiLevelType w:val="hybridMultilevel"/>
    <w:lvl w:ilvl="0">
      <w:lvlJc w:val="left"/>
      <w:lvlText w:val="*"/>
      <w:numFmt w:val="bullet"/>
      <w:start w:val="1"/>
    </w:lvl>
  </w:abstractNum>
  <w:abstractNum w:abstractNumId="60">
    <w:nsid w:val="51D9C564"/>
    <w:multiLevelType w:val="hybridMultilevel"/>
    <w:lvl w:ilvl="0">
      <w:lvlJc w:val="left"/>
      <w:lvlText w:val="•"/>
      <w:numFmt w:val="bullet"/>
      <w:start w:val="1"/>
    </w:lvl>
  </w:abstractNum>
  <w:abstractNum w:abstractNumId="61">
    <w:nsid w:val="613EFDC5"/>
    <w:multiLevelType w:val="hybridMultilevel"/>
    <w:lvl w:ilvl="0">
      <w:lvlJc w:val="left"/>
      <w:lvlText w:val="(%1)"/>
      <w:numFmt w:val="decimal"/>
      <w:start w:val="1"/>
    </w:lvl>
  </w:abstractNum>
  <w:abstractNum w:abstractNumId="62">
    <w:nsid w:val="BF72B14"/>
    <w:multiLevelType w:val="hybridMultilevel"/>
    <w:lvl w:ilvl="0">
      <w:lvlJc w:val="left"/>
      <w:lvlText w:val="(%1)"/>
      <w:numFmt w:val="decimal"/>
      <w:start w:val="4"/>
    </w:lvl>
  </w:abstractNum>
  <w:abstractNum w:abstractNumId="63">
    <w:nsid w:val="11447B73"/>
    <w:multiLevelType w:val="hybridMultilevel"/>
    <w:lvl w:ilvl="0">
      <w:lvlJc w:val="left"/>
      <w:lvlText w:val="(%1)"/>
      <w:numFmt w:val="decimal"/>
      <w:start w:val="5"/>
    </w:lvl>
  </w:abstractNum>
  <w:abstractNum w:abstractNumId="64">
    <w:nsid w:val="42963E5A"/>
    <w:multiLevelType w:val="hybridMultilevel"/>
    <w:lvl w:ilvl="0">
      <w:lvlJc w:val="left"/>
      <w:lvlText w:val="(%1)"/>
      <w:numFmt w:val="decimal"/>
      <w:start w:val="1"/>
    </w:lvl>
  </w:abstractNum>
  <w:abstractNum w:abstractNumId="65">
    <w:nsid w:val="A0382C5"/>
    <w:multiLevelType w:val="hybridMultilevel"/>
    <w:lvl w:ilvl="0">
      <w:lvlJc w:val="left"/>
      <w:lvlText w:val="(%1)"/>
      <w:numFmt w:val="decimal"/>
      <w:start w:val="1"/>
    </w:lvl>
  </w:abstractNum>
  <w:abstractNum w:abstractNumId="66">
    <w:nsid w:val="8F2B15E"/>
    <w:multiLevelType w:val="hybridMultilevel"/>
    <w:lvl w:ilvl="0">
      <w:lvlJc w:val="left"/>
      <w:lvlText w:val="(%1)"/>
      <w:numFmt w:val="decimal"/>
      <w:start w:val="1"/>
    </w:lvl>
  </w:abstractNum>
  <w:abstractNum w:abstractNumId="67">
    <w:nsid w:val="1A32234B"/>
    <w:multiLevelType w:val="hybridMultilevel"/>
    <w:lvl w:ilvl="0">
      <w:lvlJc w:val="left"/>
      <w:lvlText w:val="(%1)"/>
      <w:numFmt w:val="decimal"/>
      <w:start w:val="2"/>
    </w:lvl>
  </w:abstractNum>
  <w:abstractNum w:abstractNumId="68">
    <w:nsid w:val="3B0FD379"/>
    <w:multiLevelType w:val="hybridMultilevel"/>
    <w:lvl w:ilvl="0">
      <w:lvlJc w:val="left"/>
      <w:lvlText w:val="(%1)"/>
      <w:numFmt w:val="decimal"/>
      <w:start w:val="1"/>
    </w:lvl>
  </w:abstractNum>
  <w:abstractNum w:abstractNumId="69">
    <w:nsid w:val="68EB2F63"/>
    <w:multiLevelType w:val="hybridMultilevel"/>
    <w:lvl w:ilvl="0">
      <w:lvlJc w:val="left"/>
      <w:lvlText w:val="(%1)"/>
      <w:numFmt w:val="decimal"/>
      <w:start w:val="1"/>
    </w:lvl>
  </w:abstractNum>
  <w:abstractNum w:abstractNumId="70">
    <w:nsid w:val="4962813B"/>
    <w:multiLevelType w:val="hybridMultilevel"/>
    <w:lvl w:ilvl="0">
      <w:lvlJc w:val="left"/>
      <w:lvlText w:val="(%1)"/>
      <w:numFmt w:val="decimal"/>
      <w:start w:val="2"/>
    </w:lvl>
  </w:abstractNum>
  <w:abstractNum w:abstractNumId="71">
    <w:nsid w:val="60B6DF70"/>
    <w:multiLevelType w:val="hybridMultilevel"/>
    <w:lvl w:ilvl="0">
      <w:lvlJc w:val="left"/>
      <w:lvlText w:val="(%1)"/>
      <w:numFmt w:val="decimal"/>
      <w:start w:val="4"/>
    </w:lvl>
  </w:abstractNum>
  <w:abstractNum w:abstractNumId="72">
    <w:nsid w:val="6A5EE64"/>
    <w:multiLevelType w:val="hybridMultilevel"/>
    <w:lvl w:ilvl="0">
      <w:lvlJc w:val="left"/>
      <w:lvlText w:val="•"/>
      <w:numFmt w:val="bullet"/>
      <w:start w:val="1"/>
    </w:lvl>
  </w:abstractNum>
  <w:abstractNum w:abstractNumId="73">
    <w:nsid w:val="14330624"/>
    <w:multiLevelType w:val="hybridMultilevel"/>
    <w:lvl w:ilvl="0">
      <w:lvlJc w:val="left"/>
      <w:lvlText w:val="•"/>
      <w:numFmt w:val="bullet"/>
      <w:start w:val="1"/>
    </w:lvl>
  </w:abstractNum>
  <w:abstractNum w:abstractNumId="74">
    <w:nsid w:val="7FFFCA11"/>
    <w:multiLevelType w:val="hybridMultilevel"/>
    <w:lvl w:ilvl="0">
      <w:lvlJc w:val="left"/>
      <w:lvlText w:val="•"/>
      <w:numFmt w:val="bullet"/>
      <w:start w:val="1"/>
    </w:lvl>
  </w:abstractNum>
  <w:abstractNum w:abstractNumId="75">
    <w:nsid w:val="1A27709E"/>
    <w:multiLevelType w:val="hybridMultilevel"/>
    <w:lvl w:ilvl="0">
      <w:lvlJc w:val="left"/>
      <w:lvlText w:val="•"/>
      <w:numFmt w:val="bullet"/>
      <w:start w:val="1"/>
    </w:lvl>
  </w:abstractNum>
  <w:abstractNum w:abstractNumId="76">
    <w:nsid w:val="71EA1109"/>
    <w:multiLevelType w:val="hybridMultilevel"/>
    <w:lvl w:ilvl="0">
      <w:lvlJc w:val="left"/>
      <w:lvlText w:val="•"/>
      <w:numFmt w:val="bullet"/>
      <w:start w:val="1"/>
    </w:lvl>
  </w:abstractNum>
  <w:abstractNum w:abstractNumId="77">
    <w:nsid w:val="100F59DC"/>
    <w:multiLevelType w:val="hybridMultilevel"/>
    <w:lvl w:ilvl="0">
      <w:lvlJc w:val="left"/>
      <w:lvlText w:val="•"/>
      <w:numFmt w:val="bullet"/>
      <w:start w:val="1"/>
    </w:lvl>
  </w:abstractNum>
  <w:abstractNum w:abstractNumId="78">
    <w:nsid w:val="7FB7E0AA"/>
    <w:multiLevelType w:val="hybridMultilevel"/>
    <w:lvl w:ilvl="0">
      <w:lvlJc w:val="left"/>
      <w:lvlText w:val="•"/>
      <w:numFmt w:val="bullet"/>
      <w:start w:val="1"/>
    </w:lvl>
  </w:abstractNum>
  <w:abstractNum w:abstractNumId="79">
    <w:nsid w:val="6EB5BD4"/>
    <w:multiLevelType w:val="hybridMultilevel"/>
    <w:lvl w:ilvl="0">
      <w:lvlJc w:val="left"/>
      <w:lvlText w:val="•"/>
      <w:numFmt w:val="bullet"/>
      <w:start w:val="1"/>
    </w:lvl>
  </w:abstractNum>
  <w:abstractNum w:abstractNumId="80">
    <w:nsid w:val="6F6DD9AC"/>
    <w:multiLevelType w:val="hybridMultilevel"/>
    <w:lvl w:ilvl="0">
      <w:lvlJc w:val="left"/>
      <w:lvlText w:val="•"/>
      <w:numFmt w:val="bullet"/>
      <w:start w:val="1"/>
    </w:lvl>
  </w:abstractNum>
  <w:abstractNum w:abstractNumId="81">
    <w:nsid w:val="94211F2"/>
    <w:multiLevelType w:val="hybridMultilevel"/>
    <w:lvl w:ilvl="0">
      <w:lvlJc w:val="left"/>
      <w:lvlText w:val="(%1)"/>
      <w:numFmt w:val="decimal"/>
      <w:start w:val="1"/>
    </w:lvl>
  </w:abstractNum>
  <w:abstractNum w:abstractNumId="82">
    <w:nsid w:val="885E1B"/>
    <w:multiLevelType w:val="hybridMultilevel"/>
    <w:lvl w:ilvl="0">
      <w:lvlJc w:val="left"/>
      <w:lvlText w:val="(%1)"/>
      <w:numFmt w:val="decimal"/>
      <w:start w:val="4"/>
    </w:lvl>
  </w:abstractNum>
  <w:abstractNum w:abstractNumId="83">
    <w:nsid w:val="76272110"/>
    <w:multiLevelType w:val="hybridMultilevel"/>
    <w:lvl w:ilvl="0">
      <w:lvlJc w:val="left"/>
      <w:lvlText w:val="(%1)"/>
      <w:numFmt w:val="decimal"/>
      <w:start w:val="1"/>
    </w:lvl>
  </w:abstractNum>
  <w:abstractNum w:abstractNumId="84">
    <w:nsid w:val="4C04A8AF"/>
    <w:multiLevelType w:val="hybridMultilevel"/>
    <w:lvl w:ilvl="0">
      <w:lvlJc w:val="left"/>
      <w:lvlText w:val="*"/>
      <w:numFmt w:val="bullet"/>
      <w:start w:val="1"/>
    </w:lvl>
  </w:abstractNum>
  <w:abstractNum w:abstractNumId="85">
    <w:nsid w:val="1716703B"/>
    <w:multiLevelType w:val="hybridMultilevel"/>
    <w:lvl w:ilvl="0">
      <w:lvlJc w:val="left"/>
      <w:lvlText w:val="(%1)"/>
      <w:numFmt w:val="decimal"/>
      <w:start w:val="1"/>
    </w:lvl>
  </w:abstractNum>
  <w:abstractNum w:abstractNumId="86">
    <w:nsid w:val="14E17E33"/>
    <w:multiLevelType w:val="hybridMultilevel"/>
    <w:lvl w:ilvl="0">
      <w:lvlJc w:val="left"/>
      <w:lvlText w:val="(%1)"/>
      <w:numFmt w:val="decimal"/>
      <w:start w:val="2"/>
    </w:lvl>
  </w:abstractNum>
  <w:abstractNum w:abstractNumId="87">
    <w:nsid w:val="3222E7CD"/>
    <w:multiLevelType w:val="hybridMultilevel"/>
    <w:lvl w:ilvl="0">
      <w:lvlJc w:val="left"/>
      <w:lvlText w:val="(%1)"/>
      <w:numFmt w:val="decimal"/>
      <w:start w:val="3"/>
    </w:lvl>
  </w:abstractNum>
  <w:abstractNum w:abstractNumId="88">
    <w:nsid w:val="74DE0EE3"/>
    <w:multiLevelType w:val="hybridMultilevel"/>
    <w:lvl w:ilvl="0">
      <w:lvlJc w:val="left"/>
      <w:lvlText w:val="•"/>
      <w:numFmt w:val="bullet"/>
      <w:start w:val="1"/>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2023-02-07T13:05:38Z</dcterms:created>
  <dcterms:modified xsi:type="dcterms:W3CDTF">2023-02-07T13:05:38Z</dcterms:modified>
</cp:coreProperties>
</file>