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659"/>
        <w:spacing w:after="0"/>
        <w:rPr>
          <w:sz w:val="20"/>
          <w:szCs w:val="20"/>
          <w:color w:val="auto"/>
        </w:rPr>
      </w:pPr>
      <w:r>
        <w:rPr>
          <w:rFonts w:ascii="Courier New" w:cs="Courier New" w:eastAsia="Courier New" w:hAnsi="Courier New"/>
          <w:sz w:val="18"/>
          <w:szCs w:val="18"/>
          <w:color w:val="auto"/>
        </w:rPr>
        <w:t>SCHEDULE TO/A</w:t>
      </w:r>
    </w:p>
    <w:p>
      <w:pPr>
        <w:jc w:val="center"/>
        <w:ind w:right="1779"/>
        <w:spacing w:after="0" w:line="237" w:lineRule="auto"/>
        <w:rPr>
          <w:sz w:val="20"/>
          <w:szCs w:val="20"/>
          <w:color w:val="auto"/>
        </w:rPr>
      </w:pPr>
      <w:r>
        <w:rPr>
          <w:rFonts w:ascii="Courier New" w:cs="Courier New" w:eastAsia="Courier New" w:hAnsi="Courier New"/>
          <w:sz w:val="18"/>
          <w:szCs w:val="18"/>
          <w:color w:val="auto"/>
        </w:rPr>
        <w:t>TENDER OFFER STATEMENT UNDER SECTION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14(d)(1) OR 13(e)(1) OF THE 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TORO COMPANY (OFFEROR)</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(NAME OF FILING PERSON (IDENTIFYING STATUS AS</w:t>
      </w:r>
    </w:p>
    <w:p>
      <w:pPr>
        <w:ind w:left="2440"/>
        <w:spacing w:after="0" w:line="238" w:lineRule="auto"/>
        <w:rPr>
          <w:sz w:val="20"/>
          <w:szCs w:val="20"/>
          <w:color w:val="auto"/>
        </w:rPr>
      </w:pPr>
      <w:r>
        <w:rPr>
          <w:rFonts w:ascii="Courier New" w:cs="Courier New" w:eastAsia="Courier New" w:hAnsi="Courier New"/>
          <w:sz w:val="18"/>
          <w:szCs w:val="18"/>
          <w:color w:val="auto"/>
        </w:rPr>
        <w:t>OFFEROR, ISSUER OR OTHER PERSON))</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$1.00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891092108</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 LAWRENCE MCINTYRE</w:t>
      </w:r>
    </w:p>
    <w:p>
      <w:pPr>
        <w:jc w:val="center"/>
        <w:ind w:right="1659"/>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7" w:lineRule="auto"/>
        <w:rPr>
          <w:sz w:val="20"/>
          <w:szCs w:val="20"/>
          <w:color w:val="auto"/>
        </w:rPr>
      </w:pPr>
      <w:r>
        <w:rPr>
          <w:rFonts w:ascii="Courier New" w:cs="Courier New" w:eastAsia="Courier New" w:hAnsi="Courier New"/>
          <w:sz w:val="18"/>
          <w:szCs w:val="18"/>
          <w:color w:val="auto"/>
        </w:rPr>
        <w:t>8111 LYNDALE AVENUE SOUTH, BLOOMINGTON, MINNESOTA 55420-1196</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TELEPHONE: (952) 888-8801</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 ON BEHALF OF FILING PERSONS)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RICHARD D. KATCHER, ESQ.</w:t>
      </w:r>
    </w:p>
    <w:p>
      <w:pPr>
        <w:ind w:left="2640"/>
        <w:spacing w:after="0" w:line="238" w:lineRule="auto"/>
        <w:rPr>
          <w:sz w:val="20"/>
          <w:szCs w:val="20"/>
          <w:color w:val="auto"/>
        </w:rPr>
      </w:pPr>
      <w:r>
        <w:rPr>
          <w:rFonts w:ascii="Courier New" w:cs="Courier New" w:eastAsia="Courier New" w:hAnsi="Courier New"/>
          <w:sz w:val="18"/>
          <w:szCs w:val="18"/>
          <w:color w:val="auto"/>
        </w:rPr>
        <w:t>WACHTELL, LIPTON, ROSEN &amp; KATZ</w:t>
      </w:r>
    </w:p>
    <w:p>
      <w:pPr>
        <w:ind w:left="3280"/>
        <w:spacing w:after="0"/>
        <w:rPr>
          <w:sz w:val="20"/>
          <w:szCs w:val="20"/>
          <w:color w:val="auto"/>
        </w:rPr>
      </w:pPr>
      <w:r>
        <w:rPr>
          <w:rFonts w:ascii="Courier New" w:cs="Courier New" w:eastAsia="Courier New" w:hAnsi="Courier New"/>
          <w:sz w:val="18"/>
          <w:szCs w:val="18"/>
          <w:color w:val="auto"/>
        </w:rPr>
        <w:t>51 WEST 52ND STREET</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10019</w:t>
      </w:r>
    </w:p>
    <w:p>
      <w:pPr>
        <w:ind w:left="2960"/>
        <w:spacing w:after="0" w:line="238" w:lineRule="auto"/>
        <w:rPr>
          <w:sz w:val="20"/>
          <w:szCs w:val="20"/>
          <w:color w:val="auto"/>
        </w:rPr>
      </w:pPr>
      <w:r>
        <w:rPr>
          <w:rFonts w:ascii="Courier New" w:cs="Courier New" w:eastAsia="Courier New" w:hAnsi="Courier New"/>
          <w:sz w:val="18"/>
          <w:szCs w:val="18"/>
          <w:color w:val="auto"/>
        </w:rPr>
        <w:t>TELEPHONE: (212) 403-1000</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tabs>
          <w:tab w:leader="none" w:pos="5880" w:val="left"/>
        </w:tabs>
        <w:rPr>
          <w:sz w:val="20"/>
          <w:szCs w:val="20"/>
          <w:color w:val="auto"/>
        </w:rPr>
      </w:pPr>
      <w:r>
        <w:rPr>
          <w:rFonts w:ascii="Courier New" w:cs="Courier New" w:eastAsia="Courier New" w:hAnsi="Courier New"/>
          <w:sz w:val="18"/>
          <w:szCs w:val="18"/>
          <w:color w:val="auto"/>
        </w:rPr>
        <w:t>$150,000,000</w:t>
      </w:r>
      <w:r>
        <w:rPr>
          <w:sz w:val="20"/>
          <w:szCs w:val="20"/>
          <w:color w:val="auto"/>
        </w:rPr>
        <w:tab/>
      </w:r>
      <w:r>
        <w:rPr>
          <w:rFonts w:ascii="Courier New" w:cs="Courier New" w:eastAsia="Courier New" w:hAnsi="Courier New"/>
          <w:sz w:val="16"/>
          <w:szCs w:val="16"/>
          <w:color w:val="auto"/>
        </w:rPr>
        <w:t>$19,005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1779" w:hanging="532"/>
        <w:spacing w:after="0" w:line="27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amount of the filing fee. Pursuant to Rule 0-11(b)(1) of the Securities Exchange Act of 1934, as amended, the Transaction Valuation was calculated assuming that 2,500,000 outstanding shares of common stock, par value $1.00 per share, are being purchased at the maximum possible tender offer price of $60.00 per share.</w:t>
      </w:r>
    </w:p>
    <w:p>
      <w:pPr>
        <w:spacing w:after="0" w:line="185" w:lineRule="exact"/>
        <w:rPr>
          <w:sz w:val="24"/>
          <w:szCs w:val="24"/>
          <w:color w:val="auto"/>
        </w:rPr>
      </w:pPr>
    </w:p>
    <w:p>
      <w:pPr>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filing fee, calculated in accordance with Rule 0-11(b)(1) of the Securities Exchange Act of 1934, as amended, and Fee Advisory #7 for Fiscal Year 2004 issued by the Securities Exchange Commission, equals $126.70 per million of the value of the transaction.</w:t>
      </w:r>
    </w:p>
    <w:p>
      <w:pPr>
        <w:spacing w:after="0" w:line="207" w:lineRule="exact"/>
        <w:rPr>
          <w:sz w:val="24"/>
          <w:szCs w:val="24"/>
          <w:color w:val="auto"/>
        </w:rPr>
      </w:pPr>
    </w:p>
    <w:p>
      <w:pPr>
        <w:ind w:left="740" w:right="1779" w:hanging="732"/>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  $19,005</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or Registration No.:  Schedule TO</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  The Toro Company</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March 17, 2004</w:t>
      </w:r>
    </w:p>
    <w:p>
      <w:pPr>
        <w:spacing w:after="0" w:line="207" w:lineRule="exact"/>
        <w:rPr>
          <w:sz w:val="24"/>
          <w:szCs w:val="24"/>
          <w:color w:val="auto"/>
        </w:rPr>
      </w:pPr>
    </w:p>
    <w:p>
      <w:pPr>
        <w:ind w:left="740" w:right="1879" w:hanging="732"/>
        <w:spacing w:after="0" w:line="235"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4"/>
          <w:szCs w:val="24"/>
          <w:color w:val="auto"/>
        </w:rPr>
      </w:pPr>
    </w:p>
    <w:p>
      <w:pPr>
        <w:ind w:left="740" w:right="187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740" w:hanging="732"/>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going-private transaction subject to Rule 13e-3.</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amendment to Schedule 13D under Rule 13d-2.</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ectPr>
          <w:pgSz w:w="11900" w:h="16838" w:orient="portrait"/>
          <w:cols w:equalWidth="0" w:num="1">
            <w:col w:w="10219"/>
          </w:cols>
          <w:pgMar w:left="240" w:top="244" w:right="1440" w:bottom="26"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AMENDMENT NO. 3 TO SCHEDULE TO</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This Amendment No. 3 amends and supplements the Tender Offer Statement on Schedule TO originally filed with the Securities and Exchange Commission on March 17, 2004, as amended by Amendment No. 1 filed on March 22, 2004 and Amendment No. 2 filed on April 6, 2004 (as amended, the "Schedule TO") by The Toro Company, a Delaware corporation (the "Company"), relating to the offer by the Company to purchase up to 2,500,000 shares of its common stock, $1.00 par value per share, including the associated preferred stock purchase rights (together, the "Shares"), or such lesser number of Shares as is properly tendered and not properly withdrawn, at a price determined by the Company between $56.50 and $60.00 per Share, net to the seller in cash, without interest, on the terms and subject to the conditions set forth in an Offer to Purchase, dated March 17, 2004 and in the related Letter of Transmittal (which, as amended or supplemented from time to time, together constitute the "Offer"). This Amendment No. 3 is intended to satisfy the reporting requirements of Rule 13e-4(c)(3) of the Securities Exchange Act of 1934, as amended. Copies of the Offer to Purchase and the related Letter of Transmittal were previously filed with the Schedule TO as Exhibits (a)(1)(A) and (a)(1)(B), respectively.</w:t>
      </w:r>
    </w:p>
    <w:p>
      <w:pPr>
        <w:spacing w:after="0" w:line="39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the Offer is incorporated in this Amendment No. 3 to the Schedule TO by reference in response to all of the applicable items in the Schedule TO, except that such information is hereby amended and supplemented to the extent specifically provided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ADDITIONAL INFORMATION.</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11 of the Schedule TO is hereby amended and supplemented by adding the following:</w:t>
      </w:r>
    </w:p>
    <w:p>
      <w:pPr>
        <w:sectPr>
          <w:pgSz w:w="11900" w:h="16838" w:orient="portrait"/>
          <w:cols w:equalWidth="0" w:num="1">
            <w:col w:w="10219"/>
          </w:cols>
          <w:pgMar w:left="240" w:top="114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April 15, 2004, the Company issued a press release announcing the preliminary results of the tender offer, which expired at 5:00 p.m., New York City time, on Wednesday, April 14, 2004. A copy of the press release is filed as Exhibit (a)(5)(E) to this Schedule TO and is incorporated herein by reference.</w:t>
      </w:r>
    </w:p>
    <w:p>
      <w:pPr>
        <w:spacing w:after="0" w:line="200" w:lineRule="exact"/>
        <w:rPr>
          <w:sz w:val="20"/>
          <w:szCs w:val="20"/>
          <w:color w:val="auto"/>
        </w:rPr>
      </w:pPr>
    </w:p>
    <w:p>
      <w:pPr>
        <w:sectPr>
          <w:pgSz w:w="11900" w:h="16838" w:orient="portrait"/>
          <w:cols w:equalWidth="0" w:num="2">
            <w:col w:w="1280" w:space="720"/>
            <w:col w:w="8219"/>
          </w:cols>
          <w:pgMar w:left="240" w:top="1149"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EXHIBITS.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12 of the Schedule TO is hereby amended and supplemented by adding the following:</w:t>
      </w:r>
    </w:p>
    <w:p>
      <w:pPr>
        <w:sectPr>
          <w:pgSz w:w="11900" w:h="16838" w:orient="portrait"/>
          <w:cols w:equalWidth="0" w:num="1">
            <w:col w:w="10219"/>
          </w:cols>
          <w:pgMar w:left="240" w:top="1149"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(a)(5)(E)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Press Release, dated April 15, 2004 (announcing preliminary results of tender offer).</w:t>
      </w:r>
    </w:p>
    <w:p>
      <w:pPr>
        <w:spacing w:after="0" w:line="200" w:lineRule="exact"/>
        <w:rPr>
          <w:sz w:val="20"/>
          <w:szCs w:val="20"/>
          <w:color w:val="auto"/>
        </w:rPr>
      </w:pPr>
    </w:p>
    <w:p>
      <w:pPr>
        <w:sectPr>
          <w:pgSz w:w="11900" w:h="16838" w:orient="portrait"/>
          <w:cols w:equalWidth="0" w:num="2">
            <w:col w:w="1280" w:space="720"/>
            <w:col w:w="8219"/>
          </w:cols>
          <w:pgMar w:left="240" w:top="11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49"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J. Lawrence McIntyre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Lawrence McIntyre</w:t>
      </w:r>
    </w:p>
    <w:p>
      <w:pPr>
        <w:spacing w:after="0" w:line="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Secretary and</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ectPr>
          <w:pgSz w:w="11900" w:h="16838" w:orient="portrait"/>
          <w:cols w:equalWidth="0" w:num="2">
            <w:col w:w="3800" w:space="640"/>
            <w:col w:w="5779"/>
          </w:cols>
          <w:pgMar w:left="240" w:top="919" w:right="1440" w:bottom="1440" w:gutter="0" w:footer="0" w:header="0"/>
          <w:type w:val="continuous"/>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15, 2004</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6640"/>
        <w:spacing w:after="0"/>
        <w:rPr>
          <w:sz w:val="20"/>
          <w:szCs w:val="20"/>
          <w:color w:val="auto"/>
        </w:rPr>
      </w:pPr>
      <w:r>
        <w:rPr>
          <w:rFonts w:ascii="Courier New" w:cs="Courier New" w:eastAsia="Courier New" w:hAnsi="Courier New"/>
          <w:sz w:val="16"/>
          <w:szCs w:val="16"/>
          <w:color w:val="auto"/>
        </w:rPr>
        <w:t>Exhibit (a)(5)(E)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Logo]</w:t>
      </w:r>
    </w:p>
    <w:p>
      <w:pPr>
        <w:spacing w:after="0" w:line="207" w:lineRule="exact"/>
        <w:rPr>
          <w:sz w:val="20"/>
          <w:szCs w:val="20"/>
          <w:color w:val="auto"/>
        </w:rPr>
      </w:pPr>
    </w:p>
    <w:p>
      <w:pPr>
        <w:jc w:val="both"/>
        <w:ind w:left="1060" w:right="2839"/>
        <w:spacing w:after="0" w:line="235" w:lineRule="auto"/>
        <w:rPr>
          <w:sz w:val="20"/>
          <w:szCs w:val="20"/>
          <w:color w:val="auto"/>
        </w:rPr>
      </w:pPr>
      <w:r>
        <w:rPr>
          <w:rFonts w:ascii="Courier New" w:cs="Courier New" w:eastAsia="Courier New" w:hAnsi="Courier New"/>
          <w:sz w:val="18"/>
          <w:szCs w:val="18"/>
          <w:color w:val="auto"/>
        </w:rPr>
        <w:t>8111 Lyndale Avenue South, Bloomington, Minnesota 55420-1196 952/888-8801 FAX 952/887-8258</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INVESTOR RELATIONS Stephen P. Wolfe Vice President, CFO (952) 887-8076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Tom Larson Assistant Treasurer (952) 887-8449</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RELATIONS</w:t>
      </w:r>
    </w:p>
    <w:p>
      <w:pPr>
        <w:spacing w:after="0" w:line="238" w:lineRule="auto"/>
        <w:rPr>
          <w:sz w:val="20"/>
          <w:szCs w:val="20"/>
          <w:color w:val="auto"/>
        </w:rPr>
      </w:pPr>
      <w:r>
        <w:rPr>
          <w:rFonts w:ascii="Courier New" w:cs="Courier New" w:eastAsia="Courier New" w:hAnsi="Courier New"/>
          <w:sz w:val="18"/>
          <w:szCs w:val="18"/>
          <w:color w:val="auto"/>
        </w:rPr>
        <w:t>Connie Hawkinson</w:t>
      </w:r>
    </w:p>
    <w:p>
      <w:pPr>
        <w:spacing w:after="0"/>
        <w:rPr>
          <w:sz w:val="20"/>
          <w:szCs w:val="20"/>
          <w:color w:val="auto"/>
        </w:rPr>
      </w:pPr>
      <w:r>
        <w:rPr>
          <w:rFonts w:ascii="Courier New" w:cs="Courier New" w:eastAsia="Courier New" w:hAnsi="Courier New"/>
          <w:sz w:val="18"/>
          <w:szCs w:val="18"/>
          <w:color w:val="auto"/>
        </w:rPr>
        <w:t>Toro Media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(952) 887-8984, pr@toro.com</w:t>
      </w:r>
    </w:p>
    <w:p>
      <w:pPr>
        <w:spacing w:after="0" w:line="218" w:lineRule="exact"/>
        <w:rPr>
          <w:sz w:val="20"/>
          <w:szCs w:val="20"/>
          <w:color w:val="auto"/>
        </w:rPr>
      </w:pPr>
    </w:p>
    <w:p>
      <w:pPr>
        <w:sectPr>
          <w:pgSz w:w="11900" w:h="16838" w:orient="portrait"/>
          <w:cols w:equalWidth="0" w:num="3">
            <w:col w:w="2000" w:space="440"/>
            <w:col w:w="2000" w:space="620"/>
            <w:col w:w="51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WEB SITE</w:t>
      </w:r>
    </w:p>
    <w:p>
      <w:pPr>
        <w:spacing w:after="0" w:line="238" w:lineRule="auto"/>
        <w:rPr>
          <w:sz w:val="20"/>
          <w:szCs w:val="20"/>
          <w:color w:val="auto"/>
        </w:rPr>
      </w:pPr>
      <w:r>
        <w:rPr>
          <w:rFonts w:ascii="Courier New" w:cs="Courier New" w:eastAsia="Courier New" w:hAnsi="Courier New"/>
          <w:sz w:val="18"/>
          <w:szCs w:val="18"/>
          <w:color w:val="auto"/>
        </w:rPr>
        <w:t>www.thetorocompany.com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TORO COMPANY ANNOUNCES PRELIMINARY</w:t>
      </w:r>
    </w:p>
    <w:p>
      <w:pPr>
        <w:ind w:left="2220"/>
        <w:spacing w:after="0" w:line="238" w:lineRule="auto"/>
        <w:rPr>
          <w:sz w:val="20"/>
          <w:szCs w:val="20"/>
          <w:color w:val="auto"/>
        </w:rPr>
      </w:pPr>
      <w:r>
        <w:rPr>
          <w:rFonts w:ascii="Courier New" w:cs="Courier New" w:eastAsia="Courier New" w:hAnsi="Courier New"/>
          <w:sz w:val="18"/>
          <w:szCs w:val="18"/>
          <w:color w:val="auto"/>
        </w:rPr>
        <w:t>RESULTS OF "DUTCH AUCTION" TENDER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BLOOMINGTON, Minn. (April 15, 2004) - The Toro Company (NYSE: TTC) today announced the preliminary results of its "Dutch Auction" tender offer to purchase up to 2,500,000 shares of its common stock. The tender offer expired at 5:00 p.m., New York City time, on Wednesday, April 14, 2004.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Based on a preliminary count by the depositary for the tender offer, approximately 55,531 shares of common stock, including approximately 1,469 shares that were tendered through notice of guaranteed delivery, were properly tendered and not properly withdrawn at prices at or below $60.00 per share. All of the shares properly tendered and not properly withdrawn will be acquired by the company at a purchase price of $60.00 per share.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number of shares properly tendered and not properly withdrawn and the purchase price are preliminary and subject to verification by the depositary. The final number of shares purchased and the purchase price will be announced as soon as practicable following completion of the verification process and confirmation by the depositary of the proper delivery of all shares tendered. Payment for the shares validly tendered and accepted for purchase under the tender offer, and return of any shares not accepted, will occur promptly after such announcement.</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set forth in the offer to purchase relating to the tender offer, Toro's Board of Directors has authorized Toro to purchase up to 1,000,000 shares of its common stock, from time to time, in the open market or in privately negotiated transactions, subject to a number of factors including Toro's business and financial performance and situation, business and market conditions generally, including the price of the shares, and such other factors as Toro may consider to be relevant. Toro and its affiliates are prohibited from repurchasing shares until at least ten business days after April 14, 2004. Toro currently expects that, in the future, its Board of Directors will consider authorizing additional share repurchases by the company.</w:t>
      </w:r>
    </w:p>
    <w:p>
      <w:pPr>
        <w:spacing w:after="0" w:line="3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dealer manager for the tender offer is Banc of America Securities LLC and the information agent is Morrow &amp; Co., Inc. The depositary is Wells Fargo Bank, N.A. For questions and information, please call the information agent toll free at (800) 607-0088.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Toro Company is a leading worldwide provider of outdoor maintenance and beautification products for home, recreation and commercial landscapes.</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SAFE HARBOR</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w:t>
      </w:r>
    </w:p>
    <w:p>
      <w:pPr>
        <w:sectPr>
          <w:pgSz w:w="11900" w:h="16838" w:orient="portrait"/>
          <w:cols w:equalWidth="0" w:num="1">
            <w:col w:w="10219"/>
          </w:cols>
          <w:pgMar w:left="240" w:top="142" w:right="1440" w:bottom="0" w:gutter="0" w:footer="0" w:header="0"/>
          <w:type w:val="continuous"/>
        </w:sectPr>
      </w:pPr>
    </w:p>
    <w:bookmarkStart w:id="4" w:name="page5"/>
    <w:bookmarkEnd w:id="4"/>
    <w:p>
      <w:pPr>
        <w:ind w:right="1779"/>
        <w:spacing w:after="0" w:line="269" w:lineRule="auto"/>
        <w:rPr>
          <w:sz w:val="20"/>
          <w:szCs w:val="20"/>
          <w:color w:val="auto"/>
        </w:rPr>
      </w:pPr>
      <w:r>
        <w:rPr>
          <w:rFonts w:ascii="Courier New" w:cs="Courier New" w:eastAsia="Courier New" w:hAnsi="Courier New"/>
          <w:sz w:val="16"/>
          <w:szCs w:val="16"/>
          <w:color w:val="auto"/>
        </w:rPr>
        <w:t>confidence; our ability to achieve the goals for the "6+8" growth and profit improvement program which is intended to improve our revenue growth and after-tax return on sales; the company's ability to achieve sales growth and double-digit diluted earnings per share growth in fiscal 2004; unforeseen product quality problems in the development and production of new and existing products; potential issues with moving production between facilities;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governmental restriction on water usage and water availability;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2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2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2019-12-13T13:37:31Z</dcterms:created>
  <dcterms:modified xsi:type="dcterms:W3CDTF">2019-12-13T13:37:31Z</dcterms:modified>
</cp:coreProperties>
</file>