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9"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649" w:right="1440" w:bottom="1440" w:gutter="0" w:footer="0" w:header="0"/>
        </w:sectPr>
      </w:pPr>
    </w:p>
    <w:p>
      <w:pPr>
        <w:spacing w:after="0" w:line="22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85" w:lineRule="exact"/>
        <w:rPr>
          <w:sz w:val="24"/>
          <w:szCs w:val="24"/>
          <w:color w:val="auto"/>
        </w:rPr>
      </w:pPr>
    </w:p>
    <w:p>
      <w:pPr>
        <w:sectPr>
          <w:pgSz w:w="11900" w:h="16838" w:orient="portrait"/>
          <w:cols w:equalWidth="0" w:num="3">
            <w:col w:w="4320" w:space="0"/>
            <w:col w:w="840" w:space="0"/>
            <w:col w:w="5059"/>
          </w:cols>
          <w:pgMar w:left="240" w:top="649" w:right="1440" w:bottom="1440" w:gutter="0" w:footer="0" w:header="0"/>
          <w:type w:val="continuous"/>
        </w:sectPr>
      </w:pPr>
    </w:p>
    <w:p>
      <w:pPr>
        <w:spacing w:after="0" w:line="24"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Toro Company</w:t>
      </w:r>
    </w:p>
    <w:p>
      <w:pPr>
        <w:sectPr>
          <w:pgSz w:w="11900" w:h="16838" w:orient="portrait"/>
          <w:cols w:equalWidth="0" w:num="1">
            <w:col w:w="10219"/>
          </w:cols>
          <w:pgMar w:left="240" w:top="649" w:right="1440"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891092-10-8</w:t>
      </w:r>
    </w:p>
    <w:p>
      <w:pPr>
        <w:ind w:left="3580"/>
        <w:spacing w:after="0" w:line="238" w:lineRule="auto"/>
        <w:rPr>
          <w:sz w:val="20"/>
          <w:szCs w:val="20"/>
          <w:color w:val="auto"/>
        </w:rPr>
      </w:pPr>
      <w:r>
        <w:rPr>
          <w:rFonts w:ascii="Courier New" w:cs="Courier New" w:eastAsia="Courier New" w:hAnsi="Courier New"/>
          <w:sz w:val="18"/>
          <w:szCs w:val="18"/>
          <w:color w:val="auto"/>
        </w:rPr>
        <w:t>___________</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(I) has a previous statement on file reporting beneficial ownership of more than five percent of the class of securities described in Item l;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64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060" w:type="dxa"/>
            <w:vAlign w:val="bottom"/>
          </w:tcPr>
          <w:p>
            <w:pPr>
              <w:ind w:left="84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60" w:type="dxa"/>
            <w:vAlign w:val="bottom"/>
          </w:tcPr>
          <w:p>
            <w:pPr>
              <w:spacing w:after="0"/>
              <w:rPr>
                <w:sz w:val="17"/>
                <w:szCs w:val="17"/>
                <w:color w:val="auto"/>
              </w:rPr>
            </w:pP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891092-10-8</w:t>
            </w:r>
          </w:p>
        </w:tc>
        <w:tc>
          <w:tcPr>
            <w:tcW w:w="19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13G</w:t>
            </w:r>
          </w:p>
        </w:tc>
        <w:tc>
          <w:tcPr>
            <w:tcW w:w="3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PAGE 2 OF 6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c>
          <w:tcPr>
            <w:tcW w:w="3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 S.S. OR I.R.S.</w:t>
      </w:r>
    </w:p>
    <w:p>
      <w:pPr>
        <w:spacing w:after="0" w:line="4" w:lineRule="exact"/>
        <w:rPr>
          <w:rFonts w:ascii="Courier New" w:cs="Courier New" w:eastAsia="Courier New" w:hAnsi="Courier New"/>
          <w:sz w:val="16"/>
          <w:szCs w:val="16"/>
          <w:color w:val="auto"/>
        </w:rPr>
      </w:pPr>
    </w:p>
    <w:p>
      <w:pPr>
        <w:ind w:left="640" w:right="5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1IDENTIFICATION NO. OF ABOVE PERSON First Bank System Inc.</w:t>
      </w:r>
    </w:p>
    <w:p>
      <w:pPr>
        <w:spacing w:after="0" w:line="5" w:lineRule="exact"/>
        <w:rPr>
          <w:rFonts w:ascii="Courier New" w:cs="Courier New" w:eastAsia="Courier New" w:hAnsi="Courier New"/>
          <w:sz w:val="16"/>
          <w:szCs w:val="16"/>
          <w:color w:val="auto"/>
        </w:rPr>
      </w:pPr>
    </w:p>
    <w:p>
      <w:pPr>
        <w:ind w:left="640" w:right="68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601 2nd Ave. South Minneapolis, MN 55402-4302 Tax I.D. No.: 41-0255900</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Delaware, U.S.A.</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rPr>
                <w:sz w:val="17"/>
                <w:szCs w:val="17"/>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spacing w:after="0"/>
              <w:rPr>
                <w:sz w:val="24"/>
                <w:szCs w:val="24"/>
                <w:color w:val="auto"/>
              </w:rPr>
            </w:pPr>
          </w:p>
        </w:tc>
        <w:tc>
          <w:tcPr>
            <w:tcW w:w="548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ind w:left="4220" w:hanging="209"/>
        <w:spacing w:after="0" w:line="237" w:lineRule="auto"/>
        <w:tabs>
          <w:tab w:leader="none" w:pos="4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5%</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H.C.</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Page 3 of 6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280" w:hanging="429"/>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Toro Company</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Toro Company</w:t>
      </w:r>
    </w:p>
    <w:p>
      <w:pPr>
        <w:spacing w:after="0" w:line="4" w:lineRule="exact"/>
        <w:rPr>
          <w:rFonts w:ascii="Courier New" w:cs="Courier New" w:eastAsia="Courier New" w:hAnsi="Courier New"/>
          <w:sz w:val="18"/>
          <w:szCs w:val="18"/>
          <w:color w:val="auto"/>
        </w:rPr>
      </w:pPr>
    </w:p>
    <w:p>
      <w:pPr>
        <w:ind w:left="1280" w:right="5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8111 Lyndale Aye So. Minneapolis, Minnesota 55420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Bank System, Inc.</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Person's Filing Principal Executive Offices: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280" w:right="6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601 2nd Ave South Minneapolis, MN 55402-4302 United States</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891092-10-8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person filing this statement is a:</w:t>
      </w:r>
    </w:p>
    <w:p>
      <w:pPr>
        <w:ind w:left="1280"/>
        <w:spacing w:after="0" w:line="238" w:lineRule="auto"/>
        <w:rPr>
          <w:sz w:val="20"/>
          <w:szCs w:val="20"/>
          <w:color w:val="auto"/>
        </w:rPr>
      </w:pPr>
      <w:r>
        <w:rPr>
          <w:rFonts w:ascii="Courier New" w:cs="Courier New" w:eastAsia="Courier New" w:hAnsi="Courier New"/>
          <w:sz w:val="18"/>
          <w:szCs w:val="18"/>
          <w:color w:val="auto"/>
        </w:rPr>
        <w:t>(g) [x]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16"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Percentage of Class: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7300" w:space="720"/>
            <w:col w:w="2199"/>
          </w:cols>
          <w:pgMar w:left="240" w:top="717" w:right="1440" w:bottom="1440" w:gutter="0" w:footer="0" w:header="0"/>
          <w:type w:val="continuous"/>
        </w:sectPr>
      </w:pPr>
    </w:p>
    <w:p>
      <w:pPr>
        <w:ind w:left="1480" w:hanging="629"/>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to vote or</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w:t>
            </w:r>
          </w:p>
        </w:tc>
        <w:tc>
          <w:tcPr>
            <w:tcW w:w="18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Shared power to</w:t>
            </w: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vote or</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 vote: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 dispose</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direct the disposition: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4.</w:t>
            </w:r>
          </w:p>
        </w:tc>
        <w:tc>
          <w:tcPr>
            <w:tcW w:w="18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Shared power to</w:t>
            </w: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direct the disposition: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 The number of "allocated" shares held in The Toro Company Employee Stock Ownership Plan and Trust for which an affiliate of First Bank System, Inc. acts as trustee is not included in the calculation of the number of shares beneficially owned by First Bank System, Inc. affiliates, based on our interpretation of SEC staff no action letters.</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Page 4 of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tabs>
          <w:tab w:leader="none" w:pos="5580" w:val="left"/>
        </w:tabs>
        <w:rPr>
          <w:sz w:val="20"/>
          <w:szCs w:val="20"/>
          <w:color w:val="auto"/>
        </w:rPr>
      </w:pPr>
      <w:r>
        <w:rPr>
          <w:rFonts w:ascii="Courier New" w:cs="Courier New" w:eastAsia="Courier New" w:hAnsi="Courier New"/>
          <w:sz w:val="18"/>
          <w:szCs w:val="18"/>
          <w:color w:val="auto"/>
        </w:rPr>
        <w:t>Ownership of Five Percent or less of Class:</w:t>
      </w:r>
      <w:r>
        <w:rPr>
          <w:sz w:val="20"/>
          <w:szCs w:val="20"/>
          <w:color w:val="auto"/>
        </w:rPr>
        <w:tab/>
      </w:r>
      <w:r>
        <w:rPr>
          <w:rFonts w:ascii="Courier New" w:cs="Courier New" w:eastAsia="Courier New" w:hAnsi="Courier New"/>
          <w:sz w:val="16"/>
          <w:szCs w:val="16"/>
          <w:color w:val="auto"/>
        </w:rPr>
        <w:t>( XX )</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Other persons have the right to receive or the power to direct the receipt of, dividend from, or the proceeds from the sale of, such securities. To our knowledge no interest of any such person relates to more than 5% of the class.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Identification and Classification of Members of the Subsidiary which</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Acquired the Security Being Reported on by Parent Holding Company</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Certification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2" w:lineRule="exact"/>
        <w:rPr>
          <w:sz w:val="20"/>
          <w:szCs w:val="20"/>
          <w:color w:val="auto"/>
        </w:rPr>
      </w:pPr>
    </w:p>
    <w:p>
      <w:pPr>
        <w:ind w:left="3060" w:right="2099" w:hanging="3475"/>
        <w:spacing w:after="0" w:line="235" w:lineRule="auto"/>
        <w:tabs>
          <w:tab w:leader="none" w:pos="3040" w:val="left"/>
        </w:tabs>
        <w:rPr>
          <w:sz w:val="20"/>
          <w:szCs w:val="20"/>
          <w:color w:val="auto"/>
        </w:rPr>
      </w:pPr>
      <w:r>
        <w:rPr>
          <w:rFonts w:ascii="Courier New" w:cs="Courier New" w:eastAsia="Courier New" w:hAnsi="Courier New"/>
          <w:sz w:val="18"/>
          <w:szCs w:val="18"/>
          <w:color w:val="auto"/>
        </w:rPr>
        <w:t>Dated: September 22, 1994</w:t>
      </w:r>
      <w:r>
        <w:rPr>
          <w:sz w:val="20"/>
          <w:szCs w:val="20"/>
          <w:color w:val="auto"/>
        </w:rPr>
        <w:tab/>
      </w:r>
      <w:r>
        <w:rPr>
          <w:rFonts w:ascii="Courier New" w:cs="Courier New" w:eastAsia="Courier New" w:hAnsi="Courier New"/>
          <w:sz w:val="18"/>
          <w:szCs w:val="18"/>
          <w:color w:val="auto"/>
        </w:rPr>
        <w:t>(Revising the February 10, 1994 filing which was completed as of December 31, 1993)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L. Wilson</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Bruce L. Wilson Vice President</w:t>
      </w:r>
    </w:p>
    <w:p>
      <w:pPr>
        <w:sectPr>
          <w:pgSz w:w="11900" w:h="16838" w:orient="portrait"/>
          <w:cols w:equalWidth="0" w:num="1">
            <w:col w:w="10219"/>
          </w:cols>
          <w:pgMar w:left="240" w:top="717" w:right="1440" w:bottom="527"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6</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Schedule to which this attachment is appended is filed on behalf of the following subsidiary or subsidiaries listed below, which are classified as banks for the purposes of 17 CFR 140.13d-1 (b) (ii) (B).</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jc w:val="both"/>
        <w:ind w:right="540"/>
        <w:spacing w:after="0" w:line="279" w:lineRule="auto"/>
        <w:rPr>
          <w:sz w:val="20"/>
          <w:szCs w:val="20"/>
          <w:color w:val="auto"/>
        </w:rPr>
      </w:pPr>
      <w:r>
        <w:rPr>
          <w:rFonts w:ascii="Courier New" w:cs="Courier New" w:eastAsia="Courier New" w:hAnsi="Courier New"/>
          <w:sz w:val="16"/>
          <w:szCs w:val="16"/>
          <w:color w:val="auto"/>
        </w:rPr>
        <w:t>First Trust National Association 180 East Fifth Street, Suite 200 St. Paul, Minnesota 55101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Bank National Association</w:t>
      </w:r>
    </w:p>
    <w:p>
      <w:pPr>
        <w:spacing w:after="0" w:line="238" w:lineRule="auto"/>
        <w:rPr>
          <w:sz w:val="20"/>
          <w:szCs w:val="20"/>
          <w:color w:val="auto"/>
        </w:rPr>
      </w:pPr>
      <w:r>
        <w:rPr>
          <w:rFonts w:ascii="Courier New" w:cs="Courier New" w:eastAsia="Courier New" w:hAnsi="Courier New"/>
          <w:sz w:val="18"/>
          <w:szCs w:val="18"/>
          <w:color w:val="auto"/>
        </w:rPr>
        <w:t>601 2nd Ave South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 55402-4302</w:t>
      </w:r>
    </w:p>
    <w:p>
      <w:pPr>
        <w:spacing w:after="0" w:line="223"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ind w:right="960"/>
        <w:spacing w:after="0" w:line="275" w:lineRule="auto"/>
        <w:rPr>
          <w:sz w:val="20"/>
          <w:szCs w:val="20"/>
          <w:color w:val="auto"/>
        </w:rPr>
      </w:pPr>
      <w:r>
        <w:rPr>
          <w:rFonts w:ascii="Courier New" w:cs="Courier New" w:eastAsia="Courier New" w:hAnsi="Courier New"/>
          <w:sz w:val="16"/>
          <w:szCs w:val="16"/>
          <w:color w:val="auto"/>
        </w:rPr>
        <w:t>First Trust Company of North Dakota National Association 505 Second Avenue North Fargo, North Dakota 58102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Colorado National Bank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5548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 80217</w:t>
      </w:r>
    </w:p>
    <w:p>
      <w:pPr>
        <w:sectPr>
          <w:pgSz w:w="11900" w:h="16838" w:orient="portrait"/>
          <w:cols w:equalWidth="0" w:num="2">
            <w:col w:w="3920" w:space="720"/>
            <w:col w:w="5579"/>
          </w:cols>
          <w:pgMar w:left="240" w:top="717"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6 of 6</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B - DISCLAIMER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Information on the attached Schedule 13G is provided solely for the purpose of complying with Section 13(d) and 13(g) of the Securities Exchange Act of 1934 and Regulations promulgated under authority thereof and is not intended as an admission that First Bank System, Inc. or any of its subsidiaries, is a beneficial owner of the securities described herein for any other purpose (including without limitation for purposes of the Minnesota Control Share Acquisition Act).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2019-12-12T06:12:51Z</dcterms:created>
  <dcterms:modified xsi:type="dcterms:W3CDTF">2019-12-12T06:12:51Z</dcterms:modified>
</cp:coreProperties>
</file>