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35560</wp:posOffset>
            </wp:positionV>
            <wp:extent cx="6969125" cy="1605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60591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Mullen Joyce A</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11/02/2020</w:t>
      </w:r>
    </w:p>
    <w:p>
      <w:pPr>
        <w:spacing w:after="0" w:line="20" w:lineRule="exact"/>
        <w:rPr>
          <w:sz w:val="24"/>
          <w:szCs w:val="24"/>
          <w:color w:val="auto"/>
        </w:rPr>
      </w:pPr>
      <w:r>
        <w:rPr>
          <w:sz w:val="24"/>
          <w:szCs w:val="24"/>
          <w:color w:val="auto"/>
        </w:rPr>
        <w:br w:type="column"/>
      </w:r>
    </w:p>
    <w:p>
      <w:pPr>
        <w:ind w:left="-10" w:right="640" w:firstLine="10"/>
        <w:spacing w:after="0" w:line="260"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6"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6"/>
              <w:spacing w:after="0"/>
              <w:rPr>
                <w:sz w:val="20"/>
                <w:szCs w:val="20"/>
                <w:color w:val="auto"/>
              </w:rPr>
            </w:pPr>
            <w:r>
              <w:rPr>
                <w:rFonts w:ascii="Times New Roman" w:cs="Times New Roman" w:eastAsia="Times New Roman" w:hAnsi="Times New Roman"/>
                <w:sz w:val="17"/>
                <w:szCs w:val="17"/>
                <w:color w:val="0000FF"/>
              </w:rPr>
              <w:t>55420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33"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198755</wp:posOffset>
            </wp:positionV>
            <wp:extent cx="6969125" cy="1083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1083945"/>
                    </a:xfrm>
                    <a:prstGeom prst="rect">
                      <a:avLst/>
                    </a:prstGeom>
                    <a:noFill/>
                  </pic:spPr>
                </pic:pic>
              </a:graphicData>
            </a:graphic>
          </wp:anchor>
        </w:drawing>
      </w:r>
    </w:p>
    <w:p>
      <w:pPr>
        <w:spacing w:after="0" w:line="371"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820"/>
              <w:spacing w:after="0" w:line="12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540" w:type="dxa"/>
            <w:vAlign w:val="bottom"/>
            <w:gridSpan w:val="4"/>
          </w:tcPr>
          <w:p>
            <w:pPr>
              <w:ind w:left="60"/>
              <w:spacing w:after="0" w:line="124"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7"/>
              </w:rPr>
              <w:t>Common Stock Units</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11/02/2020</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line="307" w:lineRule="exact"/>
              <w:rPr>
                <w:sz w:val="20"/>
                <w:szCs w:val="20"/>
                <w:color w:val="auto"/>
              </w:rPr>
            </w:pPr>
            <w:r>
              <w:rPr>
                <w:rFonts w:ascii="Times New Roman" w:cs="Times New Roman" w:eastAsia="Times New Roman" w:hAnsi="Times New Roman"/>
                <w:sz w:val="33"/>
                <w:szCs w:val="33"/>
                <w:color w:val="0000FF"/>
                <w:w w:val="82"/>
                <w:vertAlign w:val="subscript"/>
              </w:rPr>
              <w:t>807</w:t>
            </w:r>
            <w:r>
              <w:rPr>
                <w:rFonts w:ascii="Times New Roman" w:cs="Times New Roman" w:eastAsia="Times New Roman" w:hAnsi="Times New Roman"/>
                <w:sz w:val="11"/>
                <w:szCs w:val="11"/>
                <w:color w:val="008000"/>
                <w:w w:val="82"/>
              </w:rPr>
              <w:t>(1)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1,711.212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9"/>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83.12</w:t>
            </w:r>
          </w:p>
        </w:tc>
        <w:tc>
          <w:tcPr>
            <w:tcW w:w="98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11/02/2020</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0000FF"/>
              </w:rPr>
              <w:t>3,201</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11/02/2030</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3" w:lineRule="exact"/>
              <w:rPr>
                <w:sz w:val="20"/>
                <w:szCs w:val="20"/>
                <w:color w:val="auto"/>
              </w:rPr>
            </w:pPr>
            <w:r>
              <w:rPr>
                <w:rFonts w:ascii="Times New Roman" w:cs="Times New Roman" w:eastAsia="Times New Roman" w:hAnsi="Times New Roman"/>
                <w:sz w:val="17"/>
                <w:szCs w:val="17"/>
                <w:color w:val="0000FF"/>
              </w:rPr>
              <w:t>3,201</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3,201</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ind w:left="14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-1784985</wp:posOffset>
            </wp:positionV>
            <wp:extent cx="7033895" cy="1923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192341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common stock award for service as a non-employee director issued under The Toro Company Amended and Restated 2010 Equity and Incentive Plan, as amended and restated (the "Amended and Restated 2010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option grant for service as a non-employee director issued under the Amended and Restated 2010 Plan.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 which was November 2, 2020.</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2"/>
              </w:rPr>
              <w:t>11/04/2020</w:t>
            </w:r>
          </w:p>
        </w:tc>
        <w:tc>
          <w:tcPr>
            <w:tcW w:w="0" w:type="dxa"/>
            <w:vAlign w:val="bottom"/>
          </w:tcPr>
          <w:p>
            <w:pPr>
              <w:spacing w:after="0"/>
              <w:rPr>
                <w:sz w:val="1"/>
                <w:szCs w:val="1"/>
                <w:color w:val="auto"/>
              </w:rPr>
            </w:pPr>
          </w:p>
        </w:tc>
      </w:tr>
      <w:tr>
        <w:trPr>
          <w:trHeight w:val="83"/>
        </w:trPr>
        <w:tc>
          <w:tcPr>
            <w:tcW w:w="20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398"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2020-11-04T16:26:38Z</dcterms:created>
  <dcterms:modified xsi:type="dcterms:W3CDTF">2020-11-04T16:26:38Z</dcterms:modified>
</cp:coreProperties>
</file>