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74295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120650</wp:posOffset>
            </wp:positionV>
            <wp:extent cx="175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p>
      <w:pPr>
        <w:spacing w:after="0" w:line="321"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54" w:lineRule="exact"/>
        <w:rPr>
          <w:sz w:val="24"/>
          <w:szCs w:val="24"/>
          <w:color w:val="auto"/>
        </w:rPr>
      </w:pPr>
    </w:p>
    <w:p>
      <w:pPr>
        <w:sectPr>
          <w:pgSz w:w="11900" w:h="16838" w:orient="portrait"/>
          <w:cols w:equalWidth="0" w:num="3">
            <w:col w:w="4640" w:space="720"/>
            <w:col w:w="2660" w:space="720"/>
            <w:col w:w="2500"/>
          </w:cols>
          <w:pgMar w:left="320" w:top="1187" w:right="339" w:bottom="1440" w:gutter="0" w:footer="0" w:header="0"/>
          <w:type w:val="continuous"/>
        </w:sectPr>
      </w:pPr>
    </w:p>
    <w:p>
      <w:pPr>
        <w:ind w:left="62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000" w:space="720"/>
            <w:col w:w="2560" w:space="720"/>
            <w:col w:w="3240"/>
          </w:cols>
          <w:pgMar w:left="320" w:top="1187" w:right="339" w:bottom="1440" w:gutter="0" w:footer="0" w:header="0"/>
          <w:type w:val="continuous"/>
        </w:sectPr>
      </w:pP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8111 Lyndale Avenue South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Bloomington, Minnesota 55420-1196</w:t>
      </w:r>
    </w:p>
    <w:p>
      <w:pPr>
        <w:jc w:val="center"/>
        <w:spacing w:after="0"/>
        <w:rPr>
          <w:sz w:val="20"/>
          <w:szCs w:val="20"/>
          <w:color w:val="auto"/>
        </w:rPr>
      </w:pPr>
      <w:r>
        <w:rPr>
          <w:rFonts w:ascii="Arial" w:cs="Arial" w:eastAsia="Arial" w:hAnsi="Arial"/>
          <w:sz w:val="20"/>
          <w:szCs w:val="20"/>
          <w:b w:val="1"/>
          <w:bCs w:val="1"/>
          <w:color w:val="auto"/>
        </w:rPr>
        <w:t>Telephone number: (952) 888-8801</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120650</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50" w:type="dxa"/>
        <w:tblCellMar>
          <w:top w:w="0" w:type="dxa"/>
          <w:left w:w="0" w:type="dxa"/>
          <w:bottom w:w="0" w:type="dxa"/>
          <w:right w:w="0" w:type="dxa"/>
        </w:tblCellMar>
      </w:tblPr>
      <w:tr>
        <w:trPr>
          <w:trHeight w:val="226"/>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5" w:lineRule="exact"/>
        <w:rPr>
          <w:sz w:val="24"/>
          <w:szCs w:val="24"/>
          <w:color w:val="auto"/>
        </w:rPr>
      </w:pPr>
    </w:p>
    <w:p>
      <w:pPr>
        <w:jc w:val="both"/>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9" w:lineRule="exact"/>
        <w:rPr>
          <w:sz w:val="24"/>
          <w:szCs w:val="24"/>
          <w:color w:val="auto"/>
        </w:rPr>
      </w:pPr>
    </w:p>
    <w:p>
      <w:pPr>
        <w:jc w:val="both"/>
        <w:spacing w:after="0" w:line="24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96520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On June 3, 2021, The Toro Company announced its earnings for the three and six month periods ended April 30, 2021.</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(d)  Exhibits.</w:t>
            </w:r>
          </w:p>
        </w:tc>
        <w:tc>
          <w:tcPr>
            <w:tcW w:w="428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479"/>
        </w:trPr>
        <w:tc>
          <w:tcPr>
            <w:tcW w:w="238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886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06"/>
        </w:trPr>
        <w:tc>
          <w:tcPr>
            <w:tcW w:w="2380" w:type="dxa"/>
            <w:vAlign w:val="bottom"/>
          </w:tcPr>
          <w:p>
            <w:pPr>
              <w:ind w:left="220"/>
              <w:spacing w:after="0" w:line="206" w:lineRule="exact"/>
              <w:rPr>
                <w:sz w:val="20"/>
                <w:szCs w:val="20"/>
                <w:color w:val="auto"/>
              </w:rPr>
            </w:pPr>
            <w:r>
              <w:rPr>
                <w:rFonts w:ascii="Arial" w:cs="Arial" w:eastAsia="Arial" w:hAnsi="Arial"/>
                <w:sz w:val="20"/>
                <w:szCs w:val="20"/>
                <w:color w:val="auto"/>
              </w:rPr>
              <w:t>99.1</w:t>
            </w:r>
          </w:p>
        </w:tc>
        <w:tc>
          <w:tcPr>
            <w:tcW w:w="4280" w:type="dxa"/>
            <w:vAlign w:val="bottom"/>
            <w:tcBorders>
              <w:bottom w:val="single" w:sz="8" w:color="0000FF"/>
            </w:tcBorders>
          </w:tcPr>
          <w:p>
            <w:pPr>
              <w:spacing w:after="0" w:line="206" w:lineRule="exact"/>
              <w:rPr>
                <w:rFonts w:ascii="Arial" w:cs="Arial" w:eastAsia="Arial" w:hAnsi="Arial"/>
                <w:sz w:val="20"/>
                <w:szCs w:val="20"/>
                <w:color w:val="0000FF"/>
                <w:w w:val="87"/>
              </w:rPr>
            </w:pPr>
            <w:hyperlink w:anchor="page5">
              <w:r>
                <w:rPr>
                  <w:rFonts w:ascii="Arial" w:cs="Arial" w:eastAsia="Arial" w:hAnsi="Arial"/>
                  <w:sz w:val="20"/>
                  <w:szCs w:val="20"/>
                  <w:color w:val="0000FF"/>
                  <w:w w:val="87"/>
                </w:rPr>
                <w:t>Press release dated June 3, 2021 (furnished herewith).</w:t>
              </w:r>
            </w:hyperlink>
          </w:p>
        </w:tc>
        <w:tc>
          <w:tcPr>
            <w:tcW w:w="4580" w:type="dxa"/>
            <w:vAlign w:val="bottom"/>
          </w:tcPr>
          <w:p>
            <w:pPr>
              <w:spacing w:after="0"/>
              <w:rPr>
                <w:sz w:val="17"/>
                <w:szCs w:val="17"/>
                <w:color w:val="auto"/>
              </w:rPr>
            </w:pPr>
          </w:p>
        </w:tc>
      </w:tr>
      <w:tr>
        <w:trPr>
          <w:trHeight w:val="268"/>
        </w:trPr>
        <w:tc>
          <w:tcPr>
            <w:tcW w:w="2380" w:type="dxa"/>
            <w:vAlign w:val="bottom"/>
          </w:tcPr>
          <w:p>
            <w:pPr>
              <w:ind w:left="220"/>
              <w:spacing w:after="0"/>
              <w:rPr>
                <w:sz w:val="20"/>
                <w:szCs w:val="20"/>
                <w:color w:val="auto"/>
              </w:rPr>
            </w:pPr>
            <w:r>
              <w:rPr>
                <w:rFonts w:ascii="Arial" w:cs="Arial" w:eastAsia="Arial" w:hAnsi="Arial"/>
                <w:sz w:val="20"/>
                <w:szCs w:val="20"/>
                <w:color w:val="auto"/>
              </w:rPr>
              <w:t>104</w:t>
            </w:r>
          </w:p>
        </w:tc>
        <w:tc>
          <w:tcPr>
            <w:tcW w:w="8860" w:type="dxa"/>
            <w:vAlign w:val="bottom"/>
            <w:gridSpan w:val="2"/>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61"/>
        </w:trPr>
        <w:tc>
          <w:tcPr>
            <w:tcW w:w="23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THE TORO COMPANY</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(Registrant)</w:t>
            </w:r>
          </w:p>
        </w:tc>
      </w:tr>
      <w:tr>
        <w:trPr>
          <w:trHeight w:val="509"/>
        </w:trPr>
        <w:tc>
          <w:tcPr>
            <w:tcW w:w="6320" w:type="dxa"/>
            <w:vAlign w:val="bottom"/>
          </w:tcPr>
          <w:p>
            <w:pPr>
              <w:spacing w:after="0"/>
              <w:rPr>
                <w:sz w:val="20"/>
                <w:szCs w:val="20"/>
                <w:color w:val="auto"/>
              </w:rPr>
            </w:pPr>
            <w:r>
              <w:rPr>
                <w:rFonts w:ascii="Arial" w:cs="Arial" w:eastAsia="Arial" w:hAnsi="Arial"/>
                <w:sz w:val="20"/>
                <w:szCs w:val="20"/>
                <w:color w:val="auto"/>
              </w:rPr>
              <w:t>Date: June 3,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Renee J. Peterson</w:t>
            </w:r>
          </w:p>
        </w:tc>
      </w:tr>
      <w:tr>
        <w:trPr>
          <w:trHeight w:val="233"/>
        </w:trPr>
        <w:tc>
          <w:tcPr>
            <w:tcW w:w="63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Renee J. Peterson</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Vice President, Chief Financial Officer</w:t>
            </w:r>
          </w:p>
        </w:tc>
      </w:tr>
    </w:tbl>
    <w:p>
      <w:pPr>
        <w:sectPr>
          <w:pgSz w:w="11900" w:h="16838" w:orient="portrait"/>
          <w:cols w:equalWidth="0" w:num="1">
            <w:col w:w="11220"/>
          </w:cols>
          <w:pgMar w:left="320" w:top="892"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Managing Director, Treasurer, Global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887-8846, </w:t>
      </w:r>
      <w:r>
        <w:rPr>
          <w:rFonts w:ascii="Arial" w:cs="Arial" w:eastAsia="Arial" w:hAnsi="Arial"/>
          <w:sz w:val="18"/>
          <w:szCs w:val="18"/>
          <w:u w:val="single" w:color="auto"/>
          <w:color w:val="0000FF"/>
        </w:rPr>
        <w:t>julie.kerekes@toro.com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The Toro Company Reports Strong Second-Quarter Fiscal 2021 Results</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Broad-Based Demand and Operational Execution Drive Record Results for Both Segments</w:t>
      </w:r>
    </w:p>
    <w:p>
      <w:pPr>
        <w:spacing w:after="0" w:line="263" w:lineRule="exact"/>
        <w:rPr>
          <w:sz w:val="20"/>
          <w:szCs w:val="20"/>
          <w:color w:val="auto"/>
        </w:rPr>
      </w:pPr>
    </w:p>
    <w:p>
      <w:pPr>
        <w:ind w:left="660" w:right="900" w:hanging="328"/>
        <w:spacing w:after="0" w:line="22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net sales up 23.6% year over year, to $1.15 billion; Professional segment net sales up 25.3%, Residential segment net sales up 20.2%</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diluted EPS of $1.31; *Adjusted diluted EPS of $1.29, up 40.2%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Raises full-year fiscal 2021 net sales and *adjusted diluted EPS guidance</w:t>
      </w:r>
    </w:p>
    <w:p>
      <w:pPr>
        <w:spacing w:after="0" w:line="313"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BLOOMINGTON, Minn.—(BUSINESS WIRE) — June 3, 2021—</w:t>
      </w:r>
      <w:r>
        <w:rPr>
          <w:rFonts w:ascii="Arial" w:cs="Arial" w:eastAsia="Arial" w:hAnsi="Arial"/>
          <w:sz w:val="20"/>
          <w:szCs w:val="20"/>
          <w:color w:val="auto"/>
        </w:rPr>
        <w:t>The Toro Company (NYSE: TTC) today reported results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fiscal second quarter ended April 30, 2021.</w:t>
      </w:r>
    </w:p>
    <w:p>
      <w:pPr>
        <w:spacing w:after="0" w:line="71"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“We delivered record results in the quarter, with continued momentum across our professional and residential segments,” said Richard M. Olson, chairman and chief executive officer. “Sales grew at a robust pace, and earnings grew at nearly twice the sales growth rate. These excellent results point to a strong overall demand environment and continued favorable reception of our innovative products, along with our ability to successfully manage the dynamic supply chain environment and execute well operationally. Our team and channel partners delivered these results while remaining focused on serving our customers and keeping each other safe.</w:t>
      </w:r>
    </w:p>
    <w:p>
      <w:pPr>
        <w:spacing w:after="0" w:line="87"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“Sales of professional products connected to golf, landscape contractor, and irrigation markets, as well as residential zero-turn riding mowers and Flex-Force battery-powered product offerings, drove growth in the second quarter,” continued Olson. “Our expanding line of battery-powered products across residential and professional markets continues to underscore our commitment to offering sustainable solutions.</w:t>
      </w:r>
    </w:p>
    <w:p>
      <w:pPr>
        <w:spacing w:after="0" w:line="90"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“As we capitalize on robust demand in an increasingly dynamic operating environment, we remain committed to positioning the company for the future,” added Olson. “We are actively prioritizing investments in key technology areas such as alternative power, smart connected and autonomous, and ensuring we have capacity to meet future growth.”</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2021 FINANCIAL HIGHLIGHTS</w:t>
      </w:r>
    </w:p>
    <w:p>
      <w:pPr>
        <w:spacing w:after="0" w:line="15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sales of $1.15 billion, up 23.6% from $929.4 million in the second quarter of fiscal 2020.</w:t>
      </w:r>
    </w:p>
    <w:p>
      <w:pPr>
        <w:sectPr>
          <w:pgSz w:w="11900" w:h="16838" w:orient="portrait"/>
          <w:cols w:equalWidth="0" w:num="1">
            <w:col w:w="11140"/>
          </w:cols>
          <w:pgMar w:left="320" w:top="1440" w:right="43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660" w:right="160" w:hanging="328"/>
        <w:spacing w:after="0" w:line="236"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earnings of $142.2 million, up 44.4% from $98.4 million in the second quarter of fiscal 2020; *adjusted net earnings of $140.3 million, up 40.1% from $100.2 million in the second quarter of fiscal 2020.</w:t>
      </w:r>
    </w:p>
    <w:p>
      <w:pPr>
        <w:spacing w:after="0" w:line="222" w:lineRule="exact"/>
        <w:rPr>
          <w:rFonts w:ascii="Arial" w:cs="Arial" w:eastAsia="Arial" w:hAnsi="Arial"/>
          <w:sz w:val="20"/>
          <w:szCs w:val="20"/>
          <w:b w:val="1"/>
          <w:bCs w:val="1"/>
          <w:color w:val="auto"/>
        </w:rPr>
      </w:pPr>
    </w:p>
    <w:p>
      <w:pPr>
        <w:jc w:val="both"/>
        <w:ind w:left="660" w:right="300" w:hanging="328"/>
        <w:spacing w:after="0" w:line="257"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9"/>
          <w:szCs w:val="19"/>
          <w:color w:val="auto"/>
        </w:rPr>
        <w:t>Reported EPS of $1.31 per diluted share, up 44.0% from $0.91 per diluted share in the second quarter of fiscal 2020; *adjusted EPS of $1.29 per diluted share, up 40.2% from $0.92 per diluted share in the second quarter of fiscal 2020.</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YEAR-TO-DATE FISCAL 2021 FINANCIAL HIGHLIGHTS</w:t>
      </w:r>
    </w:p>
    <w:p>
      <w:pPr>
        <w:spacing w:after="0" w:line="15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Net sales of $2.02 billion, up 19.2% from $1.70 billion in the same prior-year period.</w:t>
      </w:r>
    </w:p>
    <w:p>
      <w:pPr>
        <w:spacing w:after="0" w:line="229" w:lineRule="exact"/>
        <w:rPr>
          <w:rFonts w:ascii="Arial" w:cs="Arial" w:eastAsia="Arial" w:hAnsi="Arial"/>
          <w:sz w:val="20"/>
          <w:szCs w:val="20"/>
          <w:b w:val="1"/>
          <w:bCs w:val="1"/>
          <w:color w:val="auto"/>
        </w:rPr>
      </w:pPr>
    </w:p>
    <w:p>
      <w:pPr>
        <w:ind w:left="660" w:right="380" w:hanging="328"/>
        <w:spacing w:after="0" w:line="23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Net earnings of $253.5 million, up 50.4% from $168.5 million in the same prior-year period; *adjusted net earnings of $233.5 million, up 37.5% from $169.8 million in the first six months of fiscal 2020.</w:t>
      </w:r>
    </w:p>
    <w:p>
      <w:pPr>
        <w:spacing w:after="0" w:line="222" w:lineRule="exact"/>
        <w:rPr>
          <w:rFonts w:ascii="Arial" w:cs="Arial" w:eastAsia="Arial" w:hAnsi="Arial"/>
          <w:sz w:val="20"/>
          <w:szCs w:val="20"/>
          <w:color w:val="auto"/>
        </w:rPr>
      </w:pPr>
    </w:p>
    <w:p>
      <w:pPr>
        <w:ind w:left="660" w:hanging="328"/>
        <w:spacing w:after="0" w:line="23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Reported EPS of $2.32 per diluted share, up 49.7% from $1.55 per diluted share in the same prior-year period; *adjusted EPS of $2.14 per diluted share, up 37.2% from $1.56 per diluted share in the first six months of fiscal 2020.</w:t>
      </w:r>
    </w:p>
    <w:p>
      <w:pPr>
        <w:spacing w:after="0" w:line="222" w:lineRule="exact"/>
        <w:rPr>
          <w:rFonts w:ascii="Arial" w:cs="Arial" w:eastAsia="Arial" w:hAnsi="Arial"/>
          <w:sz w:val="20"/>
          <w:szCs w:val="20"/>
          <w:color w:val="auto"/>
        </w:rPr>
      </w:pPr>
    </w:p>
    <w:p>
      <w:pPr>
        <w:ind w:left="660" w:right="420" w:hanging="328"/>
        <w:spacing w:after="0" w:line="23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Deployed $100.0 million to pay down debt and returned $163.8 million to shareholders through regular dividends of $56.6 million and share repurchases of $107.2 million. As of April 30, 2021, the company had ample liquidity of $1.1 billion.</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45"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“As we look ahead to the second half of the year, we are encouraged by the positive demand trends across our businesses, the enthusiastic customer response to innovative new product offerings, and the benefits from our productivity and synergy initiatives. At the same time, the escalation of supply chain and inflationary pressure is likely to create near-term headwinds. We anticipate the impact of this pressure to be most pronounced in the third quarter, before mitigating actions can be more fully realized. All in, we expect enhanced operating performance for the full fiscal year. Our sharp focus on The Toro Company’s enterprise strategic priorities of accelerating profitable growth, driving productivity and operational excellence, and empowering people positions us well to navigate through these dynamic times and capitalize on our unique position in key growth markets,” concluded Olson.</w:t>
      </w:r>
    </w:p>
    <w:p>
      <w:pPr>
        <w:spacing w:after="0" w:line="12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company is raising its full-year fiscal 2021 guidance, and now expects total net sales growth in the range of 12.0% to 15.0% and *adjusted EPS in the range of $ 3.45 to $3.55 per diluted share. The company’s updated guidance is based on management’s current visibility, and reflects expectations of a continuing increased demand environment, as well as escalation of supply chain disruption and inflation. The *adjusted diluted EPS guidance range excludes the benefit of the excess tax deduction for stock-based compensation and the net impact of certain legal settlements.</w:t>
      </w:r>
    </w:p>
    <w:p>
      <w:pPr>
        <w:sectPr>
          <w:pgSz w:w="11900" w:h="16838" w:orient="portrait"/>
          <w:cols w:equalWidth="0" w:num="1">
            <w:col w:w="11200"/>
          </w:cols>
          <w:pgMar w:left="320" w:top="827" w:right="37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SECOND-QUARTER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59" w:lineRule="exact"/>
        <w:rPr>
          <w:sz w:val="20"/>
          <w:szCs w:val="20"/>
          <w:color w:val="auto"/>
        </w:rPr>
      </w:pPr>
    </w:p>
    <w:p>
      <w:pPr>
        <w:ind w:left="660" w:right="320" w:hanging="328"/>
        <w:spacing w:after="0" w:line="23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$828.4 million, up 25.3% compared with $661.1 million in the same period last year. The increase was largely driven by strong demand for golf, landscape contractor, irrigation, and rental and specialty construction products, slightly offset by decreased sales of underground construction equipment.</w:t>
      </w:r>
    </w:p>
    <w:p>
      <w:pPr>
        <w:spacing w:after="0" w:line="225" w:lineRule="exact"/>
        <w:rPr>
          <w:rFonts w:ascii="Arial" w:cs="Arial" w:eastAsia="Arial" w:hAnsi="Arial"/>
          <w:sz w:val="20"/>
          <w:szCs w:val="20"/>
          <w:color w:val="auto"/>
        </w:rPr>
      </w:pPr>
    </w:p>
    <w:p>
      <w:pPr>
        <w:jc w:val="both"/>
        <w:ind w:left="660" w:hanging="328"/>
        <w:spacing w:after="0" w:line="229" w:lineRule="auto"/>
        <w:tabs>
          <w:tab w:leader="none" w:pos="648"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Professional segment earnings for the second quarter were $167.1 million, up 57.3% compared with $106.3 million in the same period last year, and when expressed as a percentage of net sales, up 410 basis points to 20.2% from 16.1%. The increase was primarily driven by productivity improvements, including COVID-related manufacturing inefficiencies in the second quarter of last year that did not repeat, net price realization and volume leverage, partially offset by higher commodity costs.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59" w:lineRule="exact"/>
        <w:rPr>
          <w:sz w:val="20"/>
          <w:szCs w:val="20"/>
          <w:color w:val="auto"/>
        </w:rPr>
      </w:pPr>
    </w:p>
    <w:p>
      <w:pPr>
        <w:jc w:val="both"/>
        <w:ind w:left="660" w:hanging="328"/>
        <w:spacing w:after="0" w:line="23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$315.0 million, up 20.2% compared with $262.0 million in the same period last year. The increase was primarily due to strong retail demand for zero-turn riding mowers and expanded Flex-Force battery-powered product offerings, as well as snow equipment, due to late season snowstorms and enhanced retail placement.</w:t>
      </w:r>
    </w:p>
    <w:p>
      <w:pPr>
        <w:spacing w:after="0" w:line="225" w:lineRule="exact"/>
        <w:rPr>
          <w:rFonts w:ascii="Arial" w:cs="Arial" w:eastAsia="Arial" w:hAnsi="Arial"/>
          <w:sz w:val="20"/>
          <w:szCs w:val="20"/>
          <w:color w:val="auto"/>
        </w:rPr>
      </w:pPr>
    </w:p>
    <w:p>
      <w:pPr>
        <w:ind w:left="660" w:right="100" w:hanging="328"/>
        <w:spacing w:after="0" w:line="22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$46.0 million, up 23.9% compared with $37.1 million in the same period last year, and when expressed as a percentage of net sales, up 40 basis points to 14.6% from 14.2%. The increase was largely driven by productivity improvements, including COVID-related manufacturing inefficiencies in the second quarter of last year that did not repeat, net price realization and product mix, partially offset by higher commodity costs.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59"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Gross margin for the second quarter was 35.1%, up 210 basis points compared with 33.0% for the same prior-year period. *Adjusted gross margin for the second quarter was 35.1%, up 170 basis points compared with 33.4% for the prior-year period. The increases in gross margin and adjusted gross margin were primarily due to productivity improvements, including COVID-related manufacturing inefficiencies in the second quarter of last year that did not repeat, net price realization and product mix, partially offset by higher commodity costs.</w:t>
      </w:r>
    </w:p>
    <w:p>
      <w:pPr>
        <w:spacing w:after="0" w:line="104"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SG&amp;A expense as a percentage of net sales for the second quarter decreased 10 basis points to 19.4% from 19.5% in the prior-year period. The decrease was primarily due to volume leverage and reduced indirect marketing expenses, partially offset by higher incentives due to improved performance and the reinstatement of certain costs that had been part of the company’s fiscal 2020 pandemic-driven expense reductions.</w:t>
      </w:r>
    </w:p>
    <w:p>
      <w:pPr>
        <w:spacing w:after="0" w:line="104" w:lineRule="exact"/>
        <w:rPr>
          <w:sz w:val="20"/>
          <w:szCs w:val="20"/>
          <w:color w:val="auto"/>
        </w:rPr>
      </w:pPr>
    </w:p>
    <w:p>
      <w:pPr>
        <w:ind w:right="840"/>
        <w:spacing w:after="0" w:line="257" w:lineRule="auto"/>
        <w:rPr>
          <w:sz w:val="20"/>
          <w:szCs w:val="20"/>
          <w:color w:val="auto"/>
        </w:rPr>
      </w:pPr>
      <w:r>
        <w:rPr>
          <w:rFonts w:ascii="Arial" w:cs="Arial" w:eastAsia="Arial" w:hAnsi="Arial"/>
          <w:sz w:val="19"/>
          <w:szCs w:val="19"/>
          <w:color w:val="auto"/>
        </w:rPr>
        <w:t>Operating earnings as a percentage of net sales increased 220 basis points to 15.7% for the second quarter. *Adjusted operating earnings as a percentage of net sales increased 170 basis points to 15.7% for the second quarter.</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Interest expense was down $1.5 million for the second quarter to $7.1 million, driven by lower debt levels and decreased interest rates.</w:t>
      </w:r>
    </w:p>
    <w:p>
      <w:pPr>
        <w:spacing w:after="0" w:line="101" w:lineRule="exact"/>
        <w:rPr>
          <w:sz w:val="20"/>
          <w:szCs w:val="20"/>
          <w:color w:val="auto"/>
        </w:rPr>
      </w:pPr>
    </w:p>
    <w:p>
      <w:pPr>
        <w:ind w:right="280"/>
        <w:spacing w:after="0" w:line="247" w:lineRule="auto"/>
        <w:rPr>
          <w:sz w:val="20"/>
          <w:szCs w:val="20"/>
          <w:color w:val="auto"/>
        </w:rPr>
      </w:pPr>
      <w:r>
        <w:rPr>
          <w:rFonts w:ascii="Arial" w:cs="Arial" w:eastAsia="Arial" w:hAnsi="Arial"/>
          <w:sz w:val="19"/>
          <w:szCs w:val="19"/>
          <w:color w:val="auto"/>
        </w:rPr>
        <w:t>The effective tax rate for the second quarter was 19.8% compared with 18.9% for the second quarter of fiscal 2020. The *adjusted effective tax rate for the second quarter was 20.9% compared with 20.0% for the second quarter of fiscal 2020. The increases in the effective tax rate and adjusted effective tax rate were primarily driven by the geographic mix of earnings.</w:t>
      </w:r>
    </w:p>
    <w:p>
      <w:pPr>
        <w:spacing w:after="0" w:line="80"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i w:val="1"/>
          <w:iCs w:val="1"/>
          <w:color w:val="auto"/>
        </w:rPr>
        <w:t>*Non-GAAP financial measure. Please see the tables provided for a reconciliation of historical non-GAAP financial measures to the most comparable GAAP measures.</w:t>
      </w:r>
    </w:p>
    <w:p>
      <w:pPr>
        <w:sectPr>
          <w:pgSz w:w="11900" w:h="16838" w:orient="portrait"/>
          <w:cols w:equalWidth="0" w:num="1">
            <w:col w:w="11240"/>
          </w:cols>
          <w:pgMar w:left="320" w:top="827"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5" w:lineRule="auto"/>
        <w:rPr>
          <w:sz w:val="20"/>
          <w:szCs w:val="20"/>
          <w:color w:val="auto"/>
        </w:rPr>
      </w:pPr>
      <w:r>
        <w:rPr>
          <w:rFonts w:ascii="Arial" w:cs="Arial" w:eastAsia="Arial" w:hAnsi="Arial"/>
          <w:sz w:val="20"/>
          <w:szCs w:val="20"/>
          <w:b w:val="1"/>
          <w:bCs w:val="1"/>
          <w:color w:val="auto"/>
        </w:rPr>
        <w:t>June 3, 2021 at 10:00 a.m. CDT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ind w:right="220"/>
        <w:spacing w:after="0" w:line="247" w:lineRule="auto"/>
        <w:rPr>
          <w:sz w:val="20"/>
          <w:szCs w:val="20"/>
          <w:color w:val="auto"/>
        </w:rPr>
      </w:pPr>
      <w:r>
        <w:rPr>
          <w:rFonts w:ascii="Arial" w:cs="Arial" w:eastAsia="Arial" w:hAnsi="Arial"/>
          <w:sz w:val="19"/>
          <w:szCs w:val="19"/>
          <w:color w:val="auto"/>
        </w:rPr>
        <w:t xml:space="preserve">The Toro Company will conduct its earnings call and webcast for investors beginning at 10:00 a.m. CDT on June 3, 2021. The webcast will be available at </w:t>
      </w:r>
      <w:r>
        <w:rPr>
          <w:rFonts w:ascii="Arial" w:cs="Arial" w:eastAsia="Arial" w:hAnsi="Arial"/>
          <w:sz w:val="19"/>
          <w:szCs w:val="19"/>
          <w:u w:val="single" w:color="auto"/>
          <w:color w:val="auto"/>
        </w:rPr>
        <w:t>www.thetorocompany.com/invest</w:t>
      </w:r>
      <w:r>
        <w:rPr>
          <w:rFonts w:ascii="Arial" w:cs="Arial" w:eastAsia="Arial" w:hAnsi="Arial"/>
          <w:sz w:val="19"/>
          <w:szCs w:val="19"/>
          <w:color w:val="auto"/>
        </w:rPr>
        <w:t>. Webcast participants will need to complete a brief registration form and should allocate extra time before the webcast begins to register and, if necessary, install audio software.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45"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$3.4 billion in fiscal 2020, The Toro Company’s global presence extends to more than 125 countries through a family of brands that includes Toro, Ditch Witch, Exmark, BOSS Snowplow, Ventrac, American Augers, Subsite Electronics, HammerHead, Trencor, Unique Lighting Systems, Irritrol, Hayter, Pope, Perrot, Lawn-Boy and Radius HDD.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45" w:lineRule="exact"/>
        <w:rPr>
          <w:sz w:val="20"/>
          <w:szCs w:val="20"/>
          <w:color w:val="auto"/>
        </w:rPr>
      </w:pPr>
    </w:p>
    <w:p>
      <w:pPr>
        <w:ind w:right="100"/>
        <w:spacing w:after="0"/>
        <w:rPr>
          <w:sz w:val="20"/>
          <w:szCs w:val="20"/>
          <w:color w:val="auto"/>
        </w:rPr>
      </w:pPr>
      <w:r>
        <w:rPr>
          <w:rFonts w:ascii="Arial" w:cs="Arial" w:eastAsia="Arial" w:hAnsi="Arial"/>
          <w:sz w:val="19"/>
          <w:szCs w:val="19"/>
          <w:color w:val="auto"/>
        </w:rPr>
        <w:t>This press release and our related earnings call references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net earnings per diluted share,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7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liquidity and provide the company with a better understanding of how to allocate resources to both ongoing and prospective business initiatives. Additionally, these non-GAAP financial measures facilitate its internal comparisons for both historical operating results and competitors' operating results by factoring out potential differences caused by charges not related to its regular ongoing business, including, without limitation, non-cash charges, certain large and unpredictable charges, acquisitions and dispositions, and tax positions. Further, the company believes that these non-GAAP financial measures, when considered in conjunction with the financial measures prepared in accordance with U.S. GAAP, provide investors with useful supplemental financial information to better understand its core operational performance and liquidity.</w:t>
      </w:r>
    </w:p>
    <w:p>
      <w:pPr>
        <w:spacing w:after="0" w:line="162"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ectPr>
          <w:pgSz w:w="11900" w:h="16838" w:orient="portrait"/>
          <w:cols w:equalWidth="0" w:num="1">
            <w:col w:w="11220"/>
          </w:cols>
          <w:pgMar w:left="320" w:top="827" w:right="3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acquisition-related costs, management actions and tax impact of stock-based compensation.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Forward-looking statements in this release include the company’s fiscal 2021 financial guidance. Particular risks and uncertainties that may affect the company’s operating results or financial position include: COVID-19 related factors, risks and challenges; adverse worldwide economic conditions;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00"/>
          </w:cols>
          <w:pgMar w:left="320" w:top="827" w:right="37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8"/>
          <w:szCs w:val="18"/>
          <w:color w:val="auto"/>
        </w:rPr>
        <w:t>6 -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2"/>
        </w:trPr>
        <w:tc>
          <w:tcPr>
            <w:tcW w:w="4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8"/>
              </w:rPr>
              <w:t>April 30, 2021</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May 1, 2020</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April 30, 2021</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1,149,107</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929,398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2,022,093</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1,696,881</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746,154</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622,681</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1,304,104</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1,102,076</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402,953</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306,717</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717,989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594,805</w:t>
            </w:r>
          </w:p>
        </w:tc>
        <w:tc>
          <w:tcPr>
            <w:tcW w:w="0" w:type="dxa"/>
            <w:vAlign w:val="bottom"/>
          </w:tcPr>
          <w:p>
            <w:pPr>
              <w:spacing w:after="0"/>
              <w:rPr>
                <w:sz w:val="1"/>
                <w:szCs w:val="1"/>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6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35.1 %</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33.0 %</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35.5 %</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35.1 %</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6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222,237</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180,922</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395,808</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377,881</w:t>
            </w:r>
          </w:p>
        </w:tc>
        <w:tc>
          <w:tcPr>
            <w:tcW w:w="0" w:type="dxa"/>
            <w:vAlign w:val="bottom"/>
          </w:tcPr>
          <w:p>
            <w:pPr>
              <w:spacing w:after="0"/>
              <w:rPr>
                <w:sz w:val="1"/>
                <w:szCs w:val="1"/>
                <w:color w:val="auto"/>
              </w:rPr>
            </w:pPr>
          </w:p>
        </w:tc>
      </w:tr>
      <w:tr>
        <w:trPr>
          <w:trHeight w:val="209"/>
        </w:trPr>
        <w:tc>
          <w:tcPr>
            <w:tcW w:w="418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64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180,716</w:t>
            </w:r>
          </w:p>
        </w:tc>
        <w:tc>
          <w:tcPr>
            <w:tcW w:w="28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Arial" w:cs="Arial" w:eastAsia="Arial" w:hAnsi="Arial"/>
                <w:sz w:val="17"/>
                <w:szCs w:val="17"/>
                <w:color w:val="auto"/>
              </w:rPr>
              <w:t>125,795</w:t>
            </w:r>
          </w:p>
        </w:tc>
        <w:tc>
          <w:tcPr>
            <w:tcW w:w="240" w:type="dxa"/>
            <w:vAlign w:val="bottom"/>
          </w:tcPr>
          <w:p>
            <w:pPr>
              <w:spacing w:after="0"/>
              <w:rPr>
                <w:sz w:val="18"/>
                <w:szCs w:val="18"/>
                <w:color w:val="auto"/>
              </w:rPr>
            </w:pPr>
          </w:p>
        </w:tc>
        <w:tc>
          <w:tcPr>
            <w:tcW w:w="1440" w:type="dxa"/>
            <w:vAlign w:val="bottom"/>
          </w:tcPr>
          <w:p>
            <w:pPr>
              <w:jc w:val="right"/>
              <w:ind w:right="175"/>
              <w:spacing w:after="0"/>
              <w:rPr>
                <w:sz w:val="20"/>
                <w:szCs w:val="20"/>
                <w:color w:val="auto"/>
              </w:rPr>
            </w:pPr>
            <w:r>
              <w:rPr>
                <w:rFonts w:ascii="Arial" w:cs="Arial" w:eastAsia="Arial" w:hAnsi="Arial"/>
                <w:sz w:val="17"/>
                <w:szCs w:val="17"/>
                <w:color w:val="auto"/>
              </w:rPr>
              <w:t>322,181</w:t>
            </w:r>
          </w:p>
        </w:tc>
        <w:tc>
          <w:tcPr>
            <w:tcW w:w="28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216,924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(7,124)</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(8,659)</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(14,646)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(16,815)</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3,651</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4,235</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5,534</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7,401</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177,243</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121,371</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313,069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207,510</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income taxes</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35,072</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22,925</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59,617</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38,973</w:t>
            </w:r>
          </w:p>
        </w:tc>
        <w:tc>
          <w:tcPr>
            <w:tcW w:w="0" w:type="dxa"/>
            <w:vAlign w:val="bottom"/>
          </w:tcPr>
          <w:p>
            <w:pPr>
              <w:spacing w:after="0"/>
              <w:rPr>
                <w:sz w:val="1"/>
                <w:szCs w:val="1"/>
                <w:color w:val="auto"/>
              </w:rPr>
            </w:pPr>
          </w:p>
        </w:tc>
      </w:tr>
      <w:tr>
        <w:trPr>
          <w:trHeight w:val="234"/>
        </w:trPr>
        <w:tc>
          <w:tcPr>
            <w:tcW w:w="4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142,171</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98,446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253,452</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168,537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1.32</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2.35</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1.31</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2.32</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w:t>
            </w:r>
          </w:p>
        </w:tc>
        <w:tc>
          <w:tcPr>
            <w:tcW w:w="6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107,753</w:t>
            </w:r>
          </w:p>
        </w:tc>
        <w:tc>
          <w:tcPr>
            <w:tcW w:w="2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107,552</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107,937</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107,487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Basic</w:t>
            </w:r>
          </w:p>
        </w:tc>
        <w:tc>
          <w:tcPr>
            <w:tcW w:w="6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w:t>
            </w:r>
          </w:p>
        </w:tc>
        <w:tc>
          <w:tcPr>
            <w:tcW w:w="6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108,898</w:t>
            </w:r>
          </w:p>
        </w:tc>
        <w:tc>
          <w:tcPr>
            <w:tcW w:w="2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108,500</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109,052</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108,581</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outstanding — Diluted</w:t>
            </w:r>
          </w:p>
        </w:tc>
        <w:tc>
          <w:tcPr>
            <w:tcW w:w="6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ind w:left="700"/>
              <w:spacing w:after="0"/>
              <w:rPr>
                <w:sz w:val="20"/>
                <w:szCs w:val="20"/>
                <w:color w:val="auto"/>
              </w:rPr>
            </w:pPr>
            <w:r>
              <w:rPr>
                <w:rFonts w:ascii="Arial" w:cs="Arial" w:eastAsia="Arial" w:hAnsi="Arial"/>
                <w:sz w:val="17"/>
                <w:szCs w:val="17"/>
                <w:b w:val="1"/>
                <w:bCs w:val="1"/>
                <w:color w:val="auto"/>
              </w:rPr>
              <w:t>Six Months Ended</w:t>
            </w:r>
          </w:p>
        </w:tc>
      </w:tr>
      <w:tr>
        <w:trPr>
          <w:trHeight w:val="21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8"/>
              </w:rPr>
              <w:t>April 30, 2021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May 1, 2020</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6"/>
              </w:rPr>
              <w:t>April 30, 2021</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May 1, 2020</w:t>
            </w: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828,358</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661,087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1,478,581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1,255,808</w:t>
            </w:r>
          </w:p>
        </w:tc>
      </w:tr>
      <w:tr>
        <w:trPr>
          <w:trHeight w:val="216"/>
        </w:trPr>
        <w:tc>
          <w:tcPr>
            <w:tcW w:w="37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4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315,035</w:t>
            </w:r>
          </w:p>
        </w:tc>
        <w:tc>
          <w:tcPr>
            <w:tcW w:w="260" w:type="dxa"/>
            <w:vAlign w:val="bottom"/>
          </w:tcPr>
          <w:p>
            <w:pPr>
              <w:spacing w:after="0"/>
              <w:rPr>
                <w:sz w:val="18"/>
                <w:szCs w:val="18"/>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261,998</w:t>
            </w:r>
          </w:p>
        </w:tc>
        <w:tc>
          <w:tcPr>
            <w:tcW w:w="2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532,735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427,846</w:t>
            </w: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5,714</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6,313</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10,777</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13,227</w:t>
            </w:r>
          </w:p>
        </w:tc>
      </w:tr>
      <w:tr>
        <w:trPr>
          <w:trHeight w:val="210"/>
        </w:trPr>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1,149,107</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929,398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2,022,093</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1,696,881</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3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10"/>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255,575</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182,044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447,256</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357,987</w:t>
            </w:r>
          </w:p>
        </w:tc>
      </w:tr>
      <w:tr>
        <w:trPr>
          <w:trHeight w:val="491"/>
        </w:trPr>
        <w:tc>
          <w:tcPr>
            <w:tcW w:w="37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ind w:left="700"/>
              <w:spacing w:after="0"/>
              <w:rPr>
                <w:sz w:val="20"/>
                <w:szCs w:val="20"/>
                <w:color w:val="auto"/>
              </w:rPr>
            </w:pPr>
            <w:r>
              <w:rPr>
                <w:rFonts w:ascii="Arial" w:cs="Arial" w:eastAsia="Arial" w:hAnsi="Arial"/>
                <w:sz w:val="17"/>
                <w:szCs w:val="17"/>
                <w:b w:val="1"/>
                <w:bCs w:val="1"/>
                <w:color w:val="auto"/>
              </w:rPr>
              <w:t>Six Months Ended</w:t>
            </w:r>
          </w:p>
        </w:tc>
      </w:tr>
      <w:tr>
        <w:trPr>
          <w:trHeight w:val="21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w:t>
            </w: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8"/>
              </w:rPr>
              <w:t>April 30, 2021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May 1, 2020</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6"/>
              </w:rPr>
              <w:t>April 30, 2021</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May 1, 2020</w:t>
            </w: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167,132</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106,259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283,948</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208,733</w:t>
            </w:r>
          </w:p>
        </w:tc>
      </w:tr>
      <w:tr>
        <w:trPr>
          <w:trHeight w:val="216"/>
        </w:trPr>
        <w:tc>
          <w:tcPr>
            <w:tcW w:w="37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40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45,986</w:t>
            </w:r>
          </w:p>
        </w:tc>
        <w:tc>
          <w:tcPr>
            <w:tcW w:w="260" w:type="dxa"/>
            <w:vAlign w:val="bottom"/>
          </w:tcPr>
          <w:p>
            <w:pPr>
              <w:spacing w:after="0"/>
              <w:rPr>
                <w:sz w:val="18"/>
                <w:szCs w:val="18"/>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37,122</w:t>
            </w:r>
          </w:p>
        </w:tc>
        <w:tc>
          <w:tcPr>
            <w:tcW w:w="2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78,094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58,688</w:t>
            </w: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(35,875)</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(22,010)</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(48,973)</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(59,911)</w:t>
            </w:r>
          </w:p>
        </w:tc>
      </w:tr>
      <w:tr>
        <w:trPr>
          <w:trHeight w:val="210"/>
        </w:trPr>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177,243</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121,371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313,069</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207,510</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auto"/>
        </w:rPr>
        <w:t>7 -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7"/>
                <w:szCs w:val="17"/>
                <w:b w:val="1"/>
                <w:bCs w:val="1"/>
                <w:color w:val="auto"/>
                <w:w w:val="96"/>
              </w:rPr>
              <w:t>April 30, 2021</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7"/>
                <w:szCs w:val="17"/>
                <w:b w:val="1"/>
                <w:bCs w:val="1"/>
                <w:color w:val="auto"/>
                <w:w w:val="99"/>
              </w:rPr>
              <w:t>May 1, 2020</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75"/>
              <w:spacing w:after="0" w:line="176" w:lineRule="exact"/>
              <w:rPr>
                <w:sz w:val="20"/>
                <w:szCs w:val="20"/>
                <w:color w:val="auto"/>
              </w:rPr>
            </w:pPr>
            <w:r>
              <w:rPr>
                <w:rFonts w:ascii="Arial" w:cs="Arial" w:eastAsia="Arial" w:hAnsi="Arial"/>
                <w:sz w:val="17"/>
                <w:szCs w:val="17"/>
                <w:b w:val="1"/>
                <w:bCs w:val="1"/>
                <w:color w:val="auto"/>
                <w:w w:val="96"/>
              </w:rPr>
              <w:t>October 31,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22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8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497,635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200,004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479,892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391,236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400,444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628,811</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714,167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652,433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41,809</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59,938</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1,559,491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1,374,553</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1,427,648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453,548</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453,761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467,919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422,250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426,175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432,929</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417,886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408,305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73,774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84,091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25,295</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27,836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19,745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9,183</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4,597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19,639</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22,576</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20,318</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2,996,109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2,811,475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w w:val="99"/>
              </w:rPr>
              <w:t>LIABILITIES AND STOCKHOLDERS’ EQUITY</w:t>
            </w:r>
          </w:p>
        </w:tc>
        <w:tc>
          <w:tcPr>
            <w:tcW w:w="17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Current portion of long-term debt</w:t>
            </w: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99,959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99,868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99,873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421,738</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327,354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451,585</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414,499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376,524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15,622</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14,012</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988,904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855,733</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855,797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591,496</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790,908</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691,250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61,314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72,228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74,440</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70,755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70,435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50,538</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36,901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6"/>
                <w:szCs w:val="16"/>
                <w:color w:val="auto"/>
              </w:rPr>
              <w:t>107,043</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107,111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8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1,151,786</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911,541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1,041,507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8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(33,702)</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1,229,417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984,950</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2,996,109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2,811,475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t>8 -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00" w:lineRule="exact"/>
        <w:rPr>
          <w:sz w:val="20"/>
          <w:szCs w:val="20"/>
          <w:color w:val="auto"/>
        </w:rPr>
      </w:pPr>
    </w:p>
    <w:p>
      <w:pPr>
        <w:ind w:left="9140"/>
        <w:spacing w:after="0"/>
        <w:rPr>
          <w:sz w:val="20"/>
          <w:szCs w:val="20"/>
          <w:color w:val="auto"/>
        </w:rPr>
      </w:pPr>
      <w:r>
        <w:rPr>
          <w:rFonts w:ascii="Arial" w:cs="Arial" w:eastAsia="Arial" w:hAnsi="Arial"/>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4"/>
              </w:rPr>
              <w:t>April 30, 2021</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9"/>
              </w:rPr>
              <w:t>May 1, 2020</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253,452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168,537</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(3,329)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(4,010)</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(Contributions to) distributions from finance affiliate, net</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50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38,045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35,951</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11,134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9,618</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150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2,864</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10,345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150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137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860</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(130,032)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(126,639)</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50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18,652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(43,095)</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(2,870)</w:t>
            </w:r>
          </w:p>
        </w:tc>
      </w:tr>
      <w:tr>
        <w:trPr>
          <w:trHeight w:val="21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122,251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23,606</w:t>
            </w:r>
          </w:p>
        </w:tc>
      </w:tr>
      <w:tr>
        <w:trPr>
          <w:trHeight w:val="209"/>
        </w:trPr>
        <w:tc>
          <w:tcPr>
            <w:tcW w:w="7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318,619</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70,885</w:t>
            </w:r>
          </w:p>
        </w:tc>
      </w:tr>
      <w:tr>
        <w:trPr>
          <w:trHeight w:val="237"/>
        </w:trPr>
        <w:tc>
          <w:tcPr>
            <w:tcW w:w="7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(26,198)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(27,167)</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(136,431)</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Asset acquisitions, net of cash acquired</w:t>
            </w:r>
          </w:p>
        </w:tc>
        <w:tc>
          <w:tcPr>
            <w:tcW w:w="1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(26,976)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asset disposals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Proceeds from sale of a business</w:t>
            </w:r>
          </w:p>
        </w:tc>
        <w:tc>
          <w:tcPr>
            <w:tcW w:w="1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18,432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(49,525)</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(163,552)</w:t>
            </w:r>
          </w:p>
        </w:tc>
      </w:tr>
      <w:tr>
        <w:trPr>
          <w:trHeight w:val="236"/>
        </w:trPr>
        <w:tc>
          <w:tcPr>
            <w:tcW w:w="7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Borrowings under debt arrangements</w:t>
            </w:r>
          </w:p>
        </w:tc>
        <w:tc>
          <w:tcPr>
            <w:tcW w:w="150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636,025</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debt arrangements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(446,025)</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50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10,865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8,347</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Purchases of TTC common stock</w:t>
            </w:r>
          </w:p>
        </w:tc>
        <w:tc>
          <w:tcPr>
            <w:tcW w:w="1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(107,152)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Dividends paid on TTC common stock</w:t>
            </w:r>
          </w:p>
        </w:tc>
        <w:tc>
          <w:tcPr>
            <w:tcW w:w="1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(56,602)</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(53,744)</w:t>
            </w:r>
          </w:p>
        </w:tc>
      </w:tr>
      <w:tr>
        <w:trPr>
          <w:trHeight w:val="209"/>
        </w:trPr>
        <w:tc>
          <w:tcPr>
            <w:tcW w:w="70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provided by financing activities</w:t>
            </w:r>
          </w:p>
        </w:tc>
        <w:tc>
          <w:tcPr>
            <w:tcW w:w="1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(254,058)</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143,121</w:t>
            </w:r>
          </w:p>
        </w:tc>
      </w:tr>
      <w:tr>
        <w:trPr>
          <w:trHeight w:val="237"/>
        </w:trPr>
        <w:tc>
          <w:tcPr>
            <w:tcW w:w="70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2,707</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(2,278)</w:t>
            </w:r>
          </w:p>
        </w:tc>
      </w:tr>
      <w:tr>
        <w:trPr>
          <w:trHeight w:val="237"/>
        </w:trPr>
        <w:tc>
          <w:tcPr>
            <w:tcW w:w="70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17,743</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48,176</w:t>
            </w:r>
          </w:p>
        </w:tc>
      </w:tr>
      <w:tr>
        <w:trPr>
          <w:trHeight w:val="210"/>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479,892</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151,828</w:t>
            </w:r>
          </w:p>
        </w:tc>
      </w:tr>
      <w:tr>
        <w:trPr>
          <w:trHeight w:val="21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497,635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200,004</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t>9 -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 (Unaudited)</w:t>
      </w: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because the company believes they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and benefits not related to the company's regular, ongoing business, including, without limitation, certain non-cash, large, and/or unpredictable charges and benefits; acquisitions or dispositions; legal judgments, settlements or other matters; and tax positions.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and cash flows. These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Performance Measures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provides a reconciliation of financial performance measures calculated and reported in accordance with U.S. GAAP to the most directly comparable non-GAAP financial performance measures included within the accompanying press release for the three and six month periods ended April 30, 2021 and May 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jc w:val="right"/>
              <w:ind w:right="837"/>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7"/>
                <w:szCs w:val="17"/>
                <w:b w:val="1"/>
                <w:bCs w:val="1"/>
                <w:color w:val="auto"/>
              </w:rPr>
              <w:t>Six Months Ended</w:t>
            </w:r>
          </w:p>
        </w:tc>
      </w:tr>
      <w:tr>
        <w:trPr>
          <w:trHeight w:val="211"/>
        </w:trPr>
        <w:tc>
          <w:tcPr>
            <w:tcW w:w="3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8"/>
              </w:rPr>
              <w:t>April 30, 2021</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1, 2020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6"/>
              </w:rPr>
              <w:t>April 30, 2021</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May 1, 2020</w:t>
            </w: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402,953</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306,717</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717,989</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594,805</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2,393</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2,863</w:t>
            </w:r>
          </w:p>
        </w:tc>
      </w:tr>
      <w:tr>
        <w:trPr>
          <w:trHeight w:val="216"/>
        </w:trPr>
        <w:tc>
          <w:tcPr>
            <w:tcW w:w="38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857</w:t>
            </w:r>
          </w:p>
        </w:tc>
      </w:tr>
      <w:tr>
        <w:trPr>
          <w:trHeight w:val="20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profit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402,953</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309,967</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717,989</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598,525</w:t>
            </w:r>
          </w:p>
        </w:tc>
      </w:tr>
      <w:tr>
        <w:trPr>
          <w:trHeight w:val="144"/>
        </w:trPr>
        <w:tc>
          <w:tcPr>
            <w:tcW w:w="3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35.1 %</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33.0 %</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35.5 %</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35.1 %</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0.3 %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0.1 %</w:t>
            </w:r>
          </w:p>
        </w:tc>
      </w:tr>
      <w:tr>
        <w:trPr>
          <w:trHeight w:val="216"/>
        </w:trPr>
        <w:tc>
          <w:tcPr>
            <w:tcW w:w="38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r>
      <w:tr>
        <w:trPr>
          <w:trHeight w:val="20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margin</w:t>
            </w: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35.1 %</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35.5 %</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35.3 %</w:t>
            </w:r>
          </w:p>
        </w:tc>
      </w:tr>
      <w:tr>
        <w:trPr>
          <w:trHeight w:val="144"/>
        </w:trPr>
        <w:tc>
          <w:tcPr>
            <w:tcW w:w="3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180,716</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125,795</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322,181</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216,924</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(17,075)</w:t>
            </w:r>
          </w:p>
        </w:tc>
        <w:tc>
          <w:tcPr>
            <w:tcW w:w="280" w:type="dxa"/>
            <w:vAlign w:val="bottom"/>
          </w:tcPr>
          <w:p>
            <w:pPr>
              <w:spacing w:after="0"/>
              <w:rPr>
                <w:sz w:val="18"/>
                <w:szCs w:val="18"/>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3,004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5,022</w:t>
            </w:r>
          </w:p>
        </w:tc>
      </w:tr>
      <w:tr>
        <w:trPr>
          <w:trHeight w:val="216"/>
        </w:trPr>
        <w:tc>
          <w:tcPr>
            <w:tcW w:w="3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857</w:t>
            </w:r>
          </w:p>
        </w:tc>
      </w:tr>
      <w:tr>
        <w:trPr>
          <w:trHeight w:val="208"/>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operating earnings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180,716</w:t>
            </w:r>
          </w:p>
        </w:tc>
        <w:tc>
          <w:tcPr>
            <w:tcW w:w="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129,656</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305,106</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222,803</w:t>
            </w:r>
          </w:p>
        </w:tc>
      </w:tr>
      <w:tr>
        <w:trPr>
          <w:trHeight w:val="144"/>
        </w:trPr>
        <w:tc>
          <w:tcPr>
            <w:tcW w:w="3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177,243</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121,371</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313,069</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207,510</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(17,075)</w:t>
            </w:r>
          </w:p>
        </w:tc>
        <w:tc>
          <w:tcPr>
            <w:tcW w:w="280" w:type="dxa"/>
            <w:vAlign w:val="bottom"/>
          </w:tcPr>
          <w:p>
            <w:pPr>
              <w:spacing w:after="0"/>
              <w:rPr>
                <w:sz w:val="18"/>
                <w:szCs w:val="18"/>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3,004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5,022</w:t>
            </w:r>
          </w:p>
        </w:tc>
      </w:tr>
      <w:tr>
        <w:trPr>
          <w:trHeight w:val="216"/>
        </w:trPr>
        <w:tc>
          <w:tcPr>
            <w:tcW w:w="38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857</w:t>
            </w:r>
          </w:p>
        </w:tc>
      </w:tr>
      <w:tr>
        <w:trPr>
          <w:trHeight w:val="208"/>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earnings before income taxes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177,243</w:t>
            </w:r>
          </w:p>
        </w:tc>
        <w:tc>
          <w:tcPr>
            <w:tcW w:w="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125,232</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295,994</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213,389</w:t>
            </w:r>
          </w:p>
        </w:tc>
      </w:tr>
      <w:tr>
        <w:trPr>
          <w:trHeight w:val="144"/>
        </w:trPr>
        <w:tc>
          <w:tcPr>
            <w:tcW w:w="3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142,171</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98,446</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253,452</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168,537</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1440" w:type="dxa"/>
            <w:vAlign w:val="bottom"/>
          </w:tcPr>
          <w:p>
            <w:pPr>
              <w:jc w:val="right"/>
              <w:ind w:right="137"/>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(13,472)</w:t>
            </w:r>
          </w:p>
        </w:tc>
        <w:tc>
          <w:tcPr>
            <w:tcW w:w="280" w:type="dxa"/>
            <w:vAlign w:val="bottom"/>
          </w:tcPr>
          <w:p>
            <w:pPr>
              <w:spacing w:after="0"/>
              <w:rPr>
                <w:sz w:val="18"/>
                <w:szCs w:val="18"/>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8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2,365</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3,998</w:t>
            </w:r>
          </w:p>
        </w:tc>
      </w:tr>
      <w:tr>
        <w:trPr>
          <w:trHeight w:val="216"/>
        </w:trPr>
        <w:tc>
          <w:tcPr>
            <w:tcW w:w="3800" w:type="dxa"/>
            <w:vAlign w:val="bottom"/>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1"/>
                <w:szCs w:val="21"/>
                <w:color w:val="auto"/>
                <w:vertAlign w:val="superscript"/>
              </w:rPr>
              <w:t>3</w:t>
            </w:r>
          </w:p>
        </w:tc>
        <w:tc>
          <w:tcPr>
            <w:tcW w:w="1040" w:type="dxa"/>
            <w:vAlign w:val="bottom"/>
          </w:tcPr>
          <w:p>
            <w:pPr>
              <w:spacing w:after="0"/>
              <w:rPr>
                <w:sz w:val="18"/>
                <w:szCs w:val="18"/>
                <w:color w:val="auto"/>
              </w:rPr>
            </w:pPr>
          </w:p>
        </w:tc>
        <w:tc>
          <w:tcPr>
            <w:tcW w:w="1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Arial" w:cs="Arial" w:eastAsia="Arial" w:hAnsi="Arial"/>
                <w:sz w:val="17"/>
                <w:szCs w:val="17"/>
                <w:color w:val="auto"/>
              </w:rPr>
              <w:t>682</w:t>
            </w:r>
          </w:p>
        </w:tc>
        <w:tc>
          <w:tcPr>
            <w:tcW w:w="26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682</w:t>
            </w:r>
          </w:p>
        </w:tc>
      </w:tr>
      <w:tr>
        <w:trPr>
          <w:trHeight w:val="216"/>
        </w:trPr>
        <w:tc>
          <w:tcPr>
            <w:tcW w:w="38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4</w:t>
            </w:r>
          </w:p>
        </w:tc>
        <w:tc>
          <w:tcPr>
            <w:tcW w:w="10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(1,871)</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(1,342)</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(6,449)</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(3,377)</w:t>
            </w:r>
          </w:p>
        </w:tc>
      </w:tr>
      <w:tr>
        <w:trPr>
          <w:trHeight w:val="20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earnings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140,283</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100,151</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233,531</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169,840</w:t>
            </w: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10 - The Toro Company Reports Strong Second-Quarter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837"/>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7"/>
                <w:szCs w:val="17"/>
                <w:b w:val="1"/>
                <w:bCs w:val="1"/>
                <w:color w:val="auto"/>
              </w:rPr>
              <w:t>Six Months Ended</w:t>
            </w:r>
          </w:p>
        </w:tc>
      </w:tr>
      <w:tr>
        <w:trPr>
          <w:trHeight w:val="212"/>
        </w:trPr>
        <w:tc>
          <w:tcPr>
            <w:tcW w:w="3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6"/>
              </w:rPr>
              <w:t>April 30, 2021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1, 2020</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w w:val="96"/>
              </w:rPr>
              <w:t>April 30, 2021</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May 1, 2020</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1.31</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0.91</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2.32</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1.55</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1</w:t>
            </w:r>
          </w:p>
        </w:tc>
        <w:tc>
          <w:tcPr>
            <w:tcW w:w="108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(0.13)</w:t>
            </w:r>
          </w:p>
        </w:tc>
        <w:tc>
          <w:tcPr>
            <w:tcW w:w="280" w:type="dxa"/>
            <w:vAlign w:val="bottom"/>
          </w:tcPr>
          <w:p>
            <w:pPr>
              <w:spacing w:after="0"/>
              <w:rPr>
                <w:sz w:val="18"/>
                <w:szCs w:val="18"/>
                <w:color w:val="auto"/>
              </w:rPr>
            </w:pPr>
          </w:p>
        </w:tc>
        <w:tc>
          <w:tcPr>
            <w:tcW w:w="13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0.02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0.04</w:t>
            </w:r>
          </w:p>
        </w:tc>
      </w:tr>
      <w:tr>
        <w:trPr>
          <w:trHeight w:val="216"/>
        </w:trPr>
        <w:tc>
          <w:tcPr>
            <w:tcW w:w="38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4</w:t>
            </w:r>
          </w:p>
        </w:tc>
        <w:tc>
          <w:tcPr>
            <w:tcW w:w="1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(0.02)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(0.01)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(0.05)</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(0.03)</w:t>
            </w:r>
          </w:p>
        </w:tc>
      </w:tr>
      <w:tr>
        <w:trPr>
          <w:trHeight w:val="233"/>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diluted EPS</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1.29</w:t>
            </w:r>
          </w:p>
        </w:tc>
        <w:tc>
          <w:tcPr>
            <w:tcW w:w="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0.92</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2.14</w:t>
            </w:r>
          </w:p>
        </w:tc>
        <w:tc>
          <w:tcPr>
            <w:tcW w:w="2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1.56</w:t>
            </w: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8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08"/>
        </w:trPr>
        <w:tc>
          <w:tcPr>
            <w:tcW w:w="38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0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19.8 %</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18.9 %</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19.0 %</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18.8 %</w:t>
            </w:r>
          </w:p>
        </w:tc>
      </w:tr>
      <w:tr>
        <w:trPr>
          <w:trHeight w:val="218"/>
        </w:trPr>
        <w:tc>
          <w:tcPr>
            <w:tcW w:w="3820" w:type="dxa"/>
            <w:vAlign w:val="bottom"/>
            <w:tcBorders>
              <w:bottom w:val="single" w:sz="8" w:color="auto"/>
            </w:tcBorders>
            <w:shd w:val="clear" w:color="auto" w:fill="CCEEFF"/>
          </w:tcPr>
          <w:p>
            <w:pPr>
              <w:ind w:left="140"/>
              <w:spacing w:after="0" w:line="218"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4</w:t>
            </w:r>
          </w:p>
        </w:tc>
        <w:tc>
          <w:tcPr>
            <w:tcW w:w="10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r>
      <w:tr>
        <w:trPr>
          <w:trHeight w:val="208"/>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effective tax rate</w:t>
            </w:r>
          </w:p>
        </w:tc>
        <w:tc>
          <w:tcPr>
            <w:tcW w:w="1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20.9 %</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20.0 %</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21.1 %</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20.4 %</w:t>
            </w:r>
          </w:p>
        </w:tc>
      </w:tr>
      <w:tr>
        <w:trPr>
          <w:trHeight w:val="22"/>
        </w:trPr>
        <w:tc>
          <w:tcPr>
            <w:tcW w:w="3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260" w:right="160" w:hanging="171"/>
        <w:spacing w:after="0" w:line="257" w:lineRule="auto"/>
        <w:tabs>
          <w:tab w:leader="none" w:pos="274"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 Accordingly, litigation settlement, net represents the net amount recorded in selling, general and administrative expense within the Condensed Consolidated Statements of Earnings for the settlement of the Infringement Action during the six month period ended April 30, 2021. The Infringement Action and Settlement Amount did not impact the three month period ended April 30, 2021.</w:t>
      </w:r>
    </w:p>
    <w:p>
      <w:pPr>
        <w:spacing w:after="0" w:line="81" w:lineRule="exact"/>
        <w:rPr>
          <w:sz w:val="20"/>
          <w:szCs w:val="20"/>
          <w:color w:val="auto"/>
        </w:rPr>
      </w:pPr>
    </w:p>
    <w:p>
      <w:pPr>
        <w:jc w:val="both"/>
        <w:ind w:left="260" w:right="160" w:hanging="171"/>
        <w:spacing w:after="0" w:line="233" w:lineRule="auto"/>
        <w:tabs>
          <w:tab w:leader="none" w:pos="26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On March 2, 2020, the company completed the acquisition of Venture Products, Inc. ("Venture Products") and on April 1, 2019, the company completed the acquisition of The Charles Machine Works, Inc. ("CMW"). Acquisition-related costs for the three and six month periods ended May 1, 2020 represent transaction costs incurred for the company's acquisition of Venture Products, as well as integration costs and charges incurred for the take-down of the inventory fair value step-up amount resulting from purchase accounting adjustments related to the acquisitions of Venture Products and CMW. No acquisition-related costs were incurred during the three and six month periods ended April 30, 2021.</w:t>
      </w:r>
    </w:p>
    <w:p>
      <w:pPr>
        <w:spacing w:after="0" w:line="92" w:lineRule="exact"/>
        <w:rPr>
          <w:sz w:val="20"/>
          <w:szCs w:val="20"/>
          <w:color w:val="auto"/>
        </w:rPr>
      </w:pPr>
    </w:p>
    <w:p>
      <w:pPr>
        <w:jc w:val="both"/>
        <w:ind w:left="260" w:right="160" w:hanging="171"/>
        <w:spacing w:after="0" w:line="227" w:lineRule="auto"/>
        <w:tabs>
          <w:tab w:leader="none" w:pos="287"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During the third quarter of fiscal 2019, the company announced the wind down of its Toro-branded large horizontal directional drill and riding trencher product line ("Toro underground wind down"). Management actions represent inventory write-down charges incurred during the three and six month periods ended May 1, 2020 for the Toro underground wind down. No charges were incurred for the Toro underground wind down for three and six month periods ended April 30, 2021.</w:t>
      </w:r>
    </w:p>
    <w:p>
      <w:pPr>
        <w:spacing w:after="0" w:line="91" w:lineRule="exact"/>
        <w:rPr>
          <w:sz w:val="20"/>
          <w:szCs w:val="20"/>
          <w:color w:val="auto"/>
        </w:rPr>
      </w:pPr>
    </w:p>
    <w:p>
      <w:pPr>
        <w:jc w:val="both"/>
        <w:ind w:left="260" w:right="160" w:hanging="171"/>
        <w:spacing w:after="0" w:line="233" w:lineRule="auto"/>
        <w:tabs>
          <w:tab w:leader="none" w:pos="341"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can be unpredictable and can significantly impact the company's net earnings, diluted EPS, and effective tax rate. These amounts represent the discrete tax benefits recorded as excess tax deductions for stock-based compensation during the three and six month periods ended April 30, 2021 and May 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Liquidity Measures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defines non-GAAP free cash flow as net cash provided by operating activities less purchases of property, plant and equipment. Non-GAAP free cash flow conversion percentage represents non-GAAP free cash flow as a percentage of net earnings. The company considers non-GAAP free cash flow and non-GAAP free cash flow conversion percentage to be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net cash provided by operating activities, the most directly comparable GAAP financial measure, to non-GAAP free cash flow for the six month period ended April 30, 2021 and May 1, 2020:</w:t>
      </w:r>
    </w:p>
    <w:p>
      <w:pPr>
        <w:spacing w:after="0" w:line="95" w:lineRule="exact"/>
        <w:rPr>
          <w:sz w:val="20"/>
          <w:szCs w:val="20"/>
          <w:color w:val="auto"/>
        </w:rPr>
      </w:pPr>
    </w:p>
    <w:p>
      <w:pPr>
        <w:ind w:left="8800"/>
        <w:spacing w:after="0"/>
        <w:rPr>
          <w:sz w:val="20"/>
          <w:szCs w:val="20"/>
          <w:color w:val="auto"/>
        </w:rPr>
      </w:pPr>
      <w:r>
        <w:rPr>
          <w:rFonts w:ascii="Arial" w:cs="Arial" w:eastAsia="Arial" w:hAnsi="Arial"/>
          <w:sz w:val="17"/>
          <w:szCs w:val="17"/>
          <w:b w:val="1"/>
          <w:bCs w:val="1"/>
          <w:color w:val="auto"/>
        </w:rPr>
        <w:t>Six Months Ended</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8"/>
              </w:rPr>
              <w:t>April 30, 2021</w:t>
            </w: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May 1, 2020</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318,619</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70,885</w:t>
            </w:r>
          </w:p>
        </w:tc>
      </w:tr>
      <w:tr>
        <w:trPr>
          <w:trHeight w:val="214"/>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w:t>
            </w:r>
          </w:p>
        </w:tc>
        <w:tc>
          <w:tcPr>
            <w:tcW w:w="2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26,198</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27,167</w:t>
            </w:r>
          </w:p>
        </w:tc>
      </w:tr>
      <w:tr>
        <w:trPr>
          <w:trHeight w:val="211"/>
        </w:trPr>
        <w:tc>
          <w:tcPr>
            <w:tcW w:w="5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Non-GAAP free cash flow</w:t>
            </w:r>
          </w:p>
        </w:tc>
        <w:tc>
          <w:tcPr>
            <w:tcW w:w="2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292,421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43,718</w:t>
            </w:r>
          </w:p>
        </w:tc>
      </w:tr>
      <w:tr>
        <w:trPr>
          <w:trHeight w:val="214"/>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253,452</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168,537</w:t>
            </w:r>
          </w:p>
        </w:tc>
      </w:tr>
      <w:tr>
        <w:trPr>
          <w:trHeight w:val="235"/>
        </w:trPr>
        <w:tc>
          <w:tcPr>
            <w:tcW w:w="5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Non-GAAP free cash flow conversion percentage</w:t>
            </w:r>
          </w:p>
        </w:tc>
        <w:tc>
          <w:tcPr>
            <w:tcW w:w="2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115.4 %</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52"/>
    </w:lvl>
  </w:abstractNum>
  <w:abstractNum w:abstractNumId="2">
    <w:nsid w:val="7545E146"/>
    <w:multiLevelType w:val="hybridMultilevel"/>
    <w:lvl w:ilvl="0">
      <w:lvlJc w:val="left"/>
      <w:lvlText w:val="(%1)"/>
      <w:numFmt w:val="decimal"/>
      <w:start w:val="95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3"/>
      <w:numFmt w:val="bullet"/>
      <w:start w:val="1"/>
    </w:lvl>
  </w:abstractNum>
  <w:abstractNum w:abstractNumId="12">
    <w:nsid w:val="3352255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2021-06-03T07:48:09Z</dcterms:created>
  <dcterms:modified xsi:type="dcterms:W3CDTF">2021-06-03T07:48:09Z</dcterms:modified>
</cp:coreProperties>
</file>