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July 29, 2005</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THE TORO COMPANY</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594" w:right="239" w:bottom="0" w:gutter="0" w:footer="0" w:header="0"/>
        </w:sectPr>
      </w:pPr>
    </w:p>
    <w:p>
      <w:pPr>
        <w:spacing w:after="0" w:line="208"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jc w:val="center"/>
        <w:ind w:right="2400"/>
        <w:spacing w:after="0"/>
        <w:rPr>
          <w:sz w:val="20"/>
          <w:szCs w:val="20"/>
          <w:color w:val="auto"/>
        </w:rPr>
      </w:pPr>
      <w:r>
        <w:rPr>
          <w:rFonts w:ascii="Arial" w:cs="Arial" w:eastAsia="Arial" w:hAnsi="Arial"/>
          <w:sz w:val="16"/>
          <w:szCs w:val="16"/>
          <w:b w:val="1"/>
          <w:bCs w:val="1"/>
          <w:color w:val="auto"/>
        </w:rPr>
        <w:t>1-8649</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41-0580470</w:t>
      </w:r>
    </w:p>
    <w:p>
      <w:pPr>
        <w:spacing w:after="0" w:line="71" w:lineRule="exact"/>
        <w:rPr>
          <w:sz w:val="24"/>
          <w:szCs w:val="24"/>
          <w:color w:val="auto"/>
        </w:rPr>
      </w:pPr>
    </w:p>
    <w:p>
      <w:pPr>
        <w:sectPr>
          <w:pgSz w:w="11900" w:h="16838" w:orient="portrait"/>
          <w:cols w:equalWidth="0" w:num="3">
            <w:col w:w="4720" w:space="720"/>
            <w:col w:w="2960" w:space="720"/>
            <w:col w:w="2300"/>
          </w:cols>
          <w:pgMar w:left="240" w:top="594" w:right="239" w:bottom="0" w:gutter="0" w:footer="0" w:header="0"/>
          <w:type w:val="continuous"/>
        </w:sectPr>
      </w:pPr>
    </w:p>
    <w:p>
      <w:pPr>
        <w:ind w:left="1080"/>
        <w:spacing w:after="0"/>
        <w:rPr>
          <w:sz w:val="20"/>
          <w:szCs w:val="20"/>
          <w:color w:val="auto"/>
        </w:rPr>
      </w:pPr>
      <w:r>
        <w:rPr>
          <w:rFonts w:ascii="Arial" w:cs="Arial" w:eastAsia="Arial" w:hAnsi="Arial"/>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Number)</w:t>
      </w:r>
    </w:p>
    <w:p>
      <w:pPr>
        <w:spacing w:after="0" w:line="200" w:lineRule="exact"/>
        <w:rPr>
          <w:sz w:val="24"/>
          <w:szCs w:val="24"/>
          <w:color w:val="auto"/>
        </w:rPr>
      </w:pPr>
    </w:p>
    <w:p>
      <w:pPr>
        <w:sectPr>
          <w:pgSz w:w="11900" w:h="16838" w:orient="portrait"/>
          <w:cols w:equalWidth="0" w:num="3">
            <w:col w:w="4120" w:space="720"/>
            <w:col w:w="2720" w:space="720"/>
            <w:col w:w="3140"/>
          </w:cols>
          <w:pgMar w:left="240" w:top="594" w:right="239" w:bottom="0" w:gutter="0" w:footer="0" w:header="0"/>
          <w:type w:val="continuous"/>
        </w:sectPr>
      </w:pP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8111 Lyndale Avenue South</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Bloomington, Minnesota 55420</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Telephone number: (952) 888-8801</w:t>
      </w:r>
    </w:p>
    <w:p>
      <w:pPr>
        <w:sectPr>
          <w:pgSz w:w="11900" w:h="16838" w:orient="portrait"/>
          <w:cols w:equalWidth="0" w:num="1">
            <w:col w:w="11420"/>
          </w:cols>
          <w:pgMar w:left="240" w:top="594" w:right="239" w:bottom="0" w:gutter="0" w:footer="0" w:header="0"/>
          <w:type w:val="continuous"/>
        </w:sectPr>
      </w:pPr>
    </w:p>
    <w:p>
      <w:pPr>
        <w:spacing w:after="0" w:line="25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including zip code, and telephone number, including area code, of registrant’s principal executive offices)</w:t>
      </w:r>
    </w:p>
    <w:p>
      <w:pPr>
        <w:spacing w:after="0" w:line="228" w:lineRule="exact"/>
        <w:rPr>
          <w:sz w:val="24"/>
          <w:szCs w:val="24"/>
          <w:color w:val="auto"/>
        </w:rPr>
      </w:pPr>
    </w:p>
    <w:p>
      <w:pPr>
        <w:jc w:val="both"/>
        <w:spacing w:after="0" w:line="250" w:lineRule="auto"/>
        <w:rPr>
          <w:sz w:val="20"/>
          <w:szCs w:val="20"/>
          <w:color w:val="auto"/>
        </w:rPr>
      </w:pPr>
      <w:r>
        <w:rPr>
          <w:rFonts w:ascii="Arial" w:cs="Arial" w:eastAsia="Arial" w:hAnsi="Arial"/>
          <w:sz w:val="20"/>
          <w:szCs w:val="2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0" w:lineRule="exact"/>
        <w:rPr>
          <w:sz w:val="24"/>
          <w:szCs w:val="24"/>
          <w:color w:val="auto"/>
        </w:rPr>
      </w:pPr>
    </w:p>
    <w:p>
      <w:pPr>
        <w:ind w:left="2000"/>
        <w:spacing w:after="0"/>
        <w:tabs>
          <w:tab w:leader="none" w:pos="2860" w:val="left"/>
          <w:tab w:leader="none" w:pos="7080" w:val="left"/>
        </w:tabs>
        <w:rPr>
          <w:sz w:val="20"/>
          <w:szCs w:val="20"/>
          <w:color w:val="auto"/>
        </w:rPr>
      </w:pPr>
      <w:r>
        <w:rPr>
          <w:rFonts w:ascii="Arial" w:cs="Arial" w:eastAsia="Arial" w:hAnsi="Arial"/>
          <w:sz w:val="20"/>
          <w:szCs w:val="20"/>
          <w:color w:val="auto"/>
        </w:rPr>
        <w:t>Yes</w:t>
      </w:r>
      <w:r>
        <w:rPr>
          <w:sz w:val="20"/>
          <w:szCs w:val="20"/>
          <w:color w:val="auto"/>
        </w:rPr>
        <w:tab/>
      </w:r>
      <w:r>
        <w:rPr>
          <w:rFonts w:ascii="Arial" w:cs="Arial" w:eastAsia="Arial" w:hAnsi="Arial"/>
          <w:sz w:val="20"/>
          <w:szCs w:val="20"/>
          <w:color w:val="auto"/>
        </w:rPr>
        <w:t>X</w:t>
      </w:r>
      <w:r>
        <w:rPr>
          <w:sz w:val="20"/>
          <w:szCs w:val="20"/>
          <w:color w:val="auto"/>
        </w:rPr>
        <w:tab/>
      </w:r>
      <w:r>
        <w:rPr>
          <w:rFonts w:ascii="Arial" w:cs="Arial" w:eastAsia="Arial" w:hAnsi="Arial"/>
          <w:sz w:val="18"/>
          <w:szCs w:val="18"/>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4885055</wp:posOffset>
            </wp:positionH>
            <wp:positionV relativeFrom="paragraph">
              <wp:posOffset>10160</wp:posOffset>
            </wp:positionV>
            <wp:extent cx="317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10160</wp:posOffset>
            </wp:positionV>
            <wp:extent cx="3257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5755" cy="8890"/>
                    </a:xfrm>
                    <a:prstGeom prst="rect">
                      <a:avLst/>
                    </a:prstGeom>
                    <a:noFill/>
                  </pic:spPr>
                </pic:pic>
              </a:graphicData>
            </a:graphic>
          </wp:anchor>
        </w:drawing>
      </w:r>
    </w:p>
    <w:p>
      <w:pPr>
        <w:spacing w:after="0" w:line="223" w:lineRule="exact"/>
        <w:rPr>
          <w:sz w:val="24"/>
          <w:szCs w:val="24"/>
          <w:color w:val="auto"/>
        </w:rPr>
      </w:pPr>
    </w:p>
    <w:p>
      <w:pPr>
        <w:jc w:val="center"/>
        <w:ind w:right="2200"/>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Exchange Act).</w:t>
      </w:r>
    </w:p>
    <w:p>
      <w:pPr>
        <w:spacing w:after="0" w:line="252" w:lineRule="exact"/>
        <w:rPr>
          <w:sz w:val="24"/>
          <w:szCs w:val="24"/>
          <w:color w:val="auto"/>
        </w:rPr>
      </w:pPr>
    </w:p>
    <w:p>
      <w:pPr>
        <w:ind w:left="2000"/>
        <w:spacing w:after="0"/>
        <w:tabs>
          <w:tab w:leader="none" w:pos="2880" w:val="left"/>
          <w:tab w:leader="none" w:pos="7080" w:val="left"/>
        </w:tabs>
        <w:rPr>
          <w:sz w:val="20"/>
          <w:szCs w:val="20"/>
          <w:color w:val="auto"/>
        </w:rPr>
      </w:pPr>
      <w:r>
        <w:rPr>
          <w:rFonts w:ascii="Arial" w:cs="Arial" w:eastAsia="Arial" w:hAnsi="Arial"/>
          <w:sz w:val="20"/>
          <w:szCs w:val="20"/>
          <w:color w:val="auto"/>
        </w:rPr>
        <w:t>Yes</w:t>
      </w:r>
      <w:r>
        <w:rPr>
          <w:sz w:val="20"/>
          <w:szCs w:val="20"/>
          <w:color w:val="auto"/>
        </w:rPr>
        <w:tab/>
      </w:r>
      <w:r>
        <w:rPr>
          <w:rFonts w:ascii="Arial" w:cs="Arial" w:eastAsia="Arial" w:hAnsi="Arial"/>
          <w:sz w:val="20"/>
          <w:szCs w:val="20"/>
          <w:color w:val="auto"/>
        </w:rPr>
        <w:t>X</w:t>
      </w:r>
      <w:r>
        <w:rPr>
          <w:sz w:val="20"/>
          <w:szCs w:val="20"/>
          <w:color w:val="auto"/>
        </w:rPr>
        <w:tab/>
      </w:r>
      <w:r>
        <w:rPr>
          <w:rFonts w:ascii="Arial" w:cs="Arial" w:eastAsia="Arial" w:hAnsi="Arial"/>
          <w:sz w:val="18"/>
          <w:szCs w:val="18"/>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4885055</wp:posOffset>
            </wp:positionH>
            <wp:positionV relativeFrom="paragraph">
              <wp:posOffset>10160</wp:posOffset>
            </wp:positionV>
            <wp:extent cx="317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10160</wp:posOffset>
            </wp:positionV>
            <wp:extent cx="342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23" w:lineRule="exact"/>
        <w:rPr>
          <w:sz w:val="24"/>
          <w:szCs w:val="24"/>
          <w:color w:val="auto"/>
        </w:rPr>
      </w:pPr>
    </w:p>
    <w:p>
      <w:pPr>
        <w:spacing w:after="0"/>
        <w:rPr>
          <w:sz w:val="20"/>
          <w:szCs w:val="20"/>
          <w:color w:val="auto"/>
        </w:rPr>
      </w:pPr>
      <w:r>
        <w:rPr>
          <w:rFonts w:ascii="Arial" w:cs="Arial" w:eastAsia="Arial" w:hAnsi="Arial"/>
          <w:sz w:val="20"/>
          <w:szCs w:val="20"/>
          <w:color w:val="auto"/>
        </w:rPr>
        <w:t>Indicate by check mark whether the registrant is a shell company (as defined in Rule 12b-2 of the Exchange Act).</w:t>
      </w:r>
    </w:p>
    <w:p>
      <w:pPr>
        <w:spacing w:after="0" w:line="229" w:lineRule="exact"/>
        <w:rPr>
          <w:sz w:val="24"/>
          <w:szCs w:val="24"/>
          <w:color w:val="auto"/>
        </w:rPr>
      </w:pPr>
    </w:p>
    <w:p>
      <w:pPr>
        <w:ind w:left="2000"/>
        <w:spacing w:after="0"/>
        <w:tabs>
          <w:tab w:leader="none" w:pos="7100" w:val="left"/>
          <w:tab w:leader="none" w:pos="7860" w:val="left"/>
        </w:tabs>
        <w:rPr>
          <w:sz w:val="20"/>
          <w:szCs w:val="20"/>
          <w:color w:val="auto"/>
        </w:rPr>
      </w:pPr>
      <w:r>
        <w:rPr>
          <w:rFonts w:ascii="Arial" w:cs="Arial" w:eastAsia="Arial" w:hAnsi="Arial"/>
          <w:sz w:val="20"/>
          <w:szCs w:val="20"/>
          <w:color w:val="auto"/>
        </w:rPr>
        <w:t>Yes</w:t>
      </w:r>
      <w:r>
        <w:rPr>
          <w:sz w:val="20"/>
          <w:szCs w:val="20"/>
          <w:color w:val="auto"/>
        </w:rPr>
        <w:tab/>
      </w:r>
      <w:r>
        <w:rPr>
          <w:rFonts w:ascii="Arial" w:cs="Arial" w:eastAsia="Arial" w:hAnsi="Arial"/>
          <w:sz w:val="20"/>
          <w:szCs w:val="20"/>
          <w:color w:val="auto"/>
        </w:rPr>
        <w:t>No</w:t>
      </w:r>
      <w:r>
        <w:rPr>
          <w:sz w:val="20"/>
          <w:szCs w:val="20"/>
          <w:color w:val="auto"/>
        </w:rPr>
        <w:tab/>
      </w:r>
      <w:r>
        <w:rPr>
          <w:rFonts w:ascii="Arial" w:cs="Arial" w:eastAsia="Arial" w:hAnsi="Arial"/>
          <w:sz w:val="20"/>
          <w:szCs w:val="20"/>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4893310</wp:posOffset>
            </wp:positionH>
            <wp:positionV relativeFrom="paragraph">
              <wp:posOffset>10160</wp:posOffset>
            </wp:positionV>
            <wp:extent cx="317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10160</wp:posOffset>
            </wp:positionV>
            <wp:extent cx="3429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23" w:lineRule="exact"/>
        <w:rPr>
          <w:sz w:val="24"/>
          <w:szCs w:val="24"/>
          <w:color w:val="auto"/>
        </w:rPr>
      </w:pPr>
    </w:p>
    <w:p>
      <w:pPr>
        <w:spacing w:after="0"/>
        <w:rPr>
          <w:sz w:val="20"/>
          <w:szCs w:val="20"/>
          <w:color w:val="auto"/>
        </w:rPr>
      </w:pPr>
      <w:r>
        <w:rPr>
          <w:rFonts w:ascii="Arial" w:cs="Arial" w:eastAsia="Arial" w:hAnsi="Arial"/>
          <w:sz w:val="20"/>
          <w:szCs w:val="20"/>
          <w:color w:val="auto"/>
        </w:rPr>
        <w:t>The number of shares of Common Stock outstanding as of August 26, 2005 was 42,056,056.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445770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600"/>
        <w:spacing w:after="0"/>
        <w:rPr>
          <w:sz w:val="20"/>
          <w:szCs w:val="20"/>
          <w:color w:val="auto"/>
        </w:rPr>
      </w:pPr>
      <w:r>
        <w:rPr>
          <w:rFonts w:ascii="Arial" w:cs="Arial" w:eastAsia="Arial" w:hAnsi="Arial"/>
          <w:sz w:val="40"/>
          <w:szCs w:val="40"/>
          <w:b w:val="1"/>
          <w:bCs w:val="1"/>
          <w:color w:val="auto"/>
        </w:rPr>
        <w:t>THE TORO COMPANY</w:t>
      </w:r>
    </w:p>
    <w:p>
      <w:pPr>
        <w:spacing w:after="0" w:line="32" w:lineRule="exact"/>
        <w:rPr>
          <w:sz w:val="24"/>
          <w:szCs w:val="24"/>
          <w:color w:val="auto"/>
        </w:rPr>
      </w:pPr>
    </w:p>
    <w:p>
      <w:pPr>
        <w:ind w:left="3620"/>
        <w:spacing w:after="0"/>
        <w:rPr>
          <w:sz w:val="20"/>
          <w:szCs w:val="20"/>
          <w:color w:val="auto"/>
        </w:rPr>
      </w:pPr>
      <w:r>
        <w:rPr>
          <w:rFonts w:ascii="Arial" w:cs="Arial" w:eastAsia="Arial" w:hAnsi="Arial"/>
          <w:sz w:val="40"/>
          <w:szCs w:val="40"/>
          <w:b w:val="1"/>
          <w:bCs w:val="1"/>
          <w:color w:val="auto"/>
        </w:rPr>
        <w:t>INDEX TO FORM 10-Q</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46"/>
        </w:trPr>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420" w:type="dxa"/>
            <w:vAlign w:val="bottom"/>
            <w:tcBorders>
              <w:bottom w:val="single" w:sz="8" w:color="auto"/>
            </w:tcBorders>
            <w:gridSpan w:val="5"/>
          </w:tcPr>
          <w:p>
            <w:pPr>
              <w:ind w:left="160"/>
              <w:spacing w:after="0"/>
              <w:rPr>
                <w:sz w:val="20"/>
                <w:szCs w:val="20"/>
                <w:color w:val="auto"/>
              </w:rPr>
            </w:pPr>
            <w:r>
              <w:rPr>
                <w:rFonts w:ascii="Arial" w:cs="Arial" w:eastAsia="Arial" w:hAnsi="Arial"/>
                <w:sz w:val="20"/>
                <w:szCs w:val="20"/>
                <w:color w:val="auto"/>
              </w:rPr>
              <w:t>Page Number</w:t>
            </w:r>
          </w:p>
        </w:tc>
      </w:tr>
      <w:tr>
        <w:trPr>
          <w:trHeight w:val="412"/>
        </w:trPr>
        <w:tc>
          <w:tcPr>
            <w:tcW w:w="700" w:type="dxa"/>
            <w:vAlign w:val="bottom"/>
            <w:tcBorders>
              <w:bottom w:val="single" w:sz="8" w:color="0000EE"/>
            </w:tcBorders>
            <w:gridSpan w:val="2"/>
          </w:tcPr>
          <w:p>
            <w:pPr>
              <w:spacing w:after="0"/>
              <w:rPr>
                <w:rFonts w:ascii="Arial" w:cs="Arial" w:eastAsia="Arial" w:hAnsi="Arial"/>
                <w:sz w:val="20"/>
                <w:szCs w:val="20"/>
                <w:b w:val="1"/>
                <w:bCs w:val="1"/>
                <w:color w:val="0000EE"/>
                <w:w w:val="95"/>
              </w:rPr>
            </w:pPr>
            <w:hyperlink w:anchor="page2">
              <w:r>
                <w:rPr>
                  <w:rFonts w:ascii="Arial" w:cs="Arial" w:eastAsia="Arial" w:hAnsi="Arial"/>
                  <w:sz w:val="20"/>
                  <w:szCs w:val="20"/>
                  <w:b w:val="1"/>
                  <w:bCs w:val="1"/>
                  <w:color w:val="0000EE"/>
                  <w:w w:val="95"/>
                </w:rPr>
                <w:t>PART I.</w:t>
              </w:r>
            </w:hyperlink>
          </w:p>
        </w:tc>
        <w:tc>
          <w:tcPr>
            <w:tcW w:w="520" w:type="dxa"/>
            <w:vAlign w:val="bottom"/>
          </w:tcPr>
          <w:p>
            <w:pPr>
              <w:spacing w:after="0"/>
              <w:rPr>
                <w:sz w:val="24"/>
                <w:szCs w:val="24"/>
                <w:color w:val="auto"/>
              </w:rPr>
            </w:pPr>
          </w:p>
        </w:tc>
        <w:tc>
          <w:tcPr>
            <w:tcW w:w="2700" w:type="dxa"/>
            <w:vAlign w:val="bottom"/>
            <w:tcBorders>
              <w:bottom w:val="single" w:sz="8" w:color="0000EE"/>
            </w:tcBorders>
            <w:gridSpan w:val="5"/>
          </w:tcPr>
          <w:p>
            <w:pPr>
              <w:spacing w:after="0"/>
              <w:rPr>
                <w:rFonts w:ascii="Arial" w:cs="Arial" w:eastAsia="Arial" w:hAnsi="Arial"/>
                <w:sz w:val="20"/>
                <w:szCs w:val="20"/>
                <w:b w:val="1"/>
                <w:bCs w:val="1"/>
                <w:color w:val="0000EE"/>
              </w:rPr>
            </w:pPr>
            <w:hyperlink w:anchor="page2">
              <w:r>
                <w:rPr>
                  <w:rFonts w:ascii="Arial" w:cs="Arial" w:eastAsia="Arial" w:hAnsi="Arial"/>
                  <w:sz w:val="20"/>
                  <w:szCs w:val="20"/>
                  <w:b w:val="1"/>
                  <w:bCs w:val="1"/>
                  <w:color w:val="0000EE"/>
                </w:rPr>
                <w:t>FINANCIAL INFORMATION:</w:t>
              </w:r>
            </w:hyperlink>
          </w:p>
        </w:tc>
        <w:tc>
          <w:tcPr>
            <w:tcW w:w="6080" w:type="dxa"/>
            <w:vAlign w:val="bottom"/>
            <w:gridSpan w:val="7"/>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39"/>
        </w:trPr>
        <w:tc>
          <w:tcPr>
            <w:tcW w:w="1220" w:type="dxa"/>
            <w:vAlign w:val="bottom"/>
            <w:gridSpan w:val="3"/>
          </w:tcPr>
          <w:p>
            <w:pPr>
              <w:spacing w:after="0"/>
              <w:rPr>
                <w:rFonts w:ascii="Arial" w:cs="Arial" w:eastAsia="Arial" w:hAnsi="Arial"/>
                <w:sz w:val="20"/>
                <w:szCs w:val="20"/>
                <w:b w:val="1"/>
                <w:bCs w:val="1"/>
                <w:color w:val="0000EE"/>
              </w:rPr>
            </w:pPr>
            <w:hyperlink w:anchor="page2">
              <w:r>
                <w:rPr>
                  <w:rFonts w:ascii="Arial" w:cs="Arial" w:eastAsia="Arial" w:hAnsi="Arial"/>
                  <w:sz w:val="20"/>
                  <w:szCs w:val="20"/>
                  <w:b w:val="1"/>
                  <w:bCs w:val="1"/>
                  <w:color w:val="0000EE"/>
                </w:rPr>
                <w:t>Item 1.</w:t>
              </w:r>
            </w:hyperlink>
          </w:p>
        </w:tc>
        <w:tc>
          <w:tcPr>
            <w:tcW w:w="8780" w:type="dxa"/>
            <w:vAlign w:val="bottom"/>
            <w:gridSpan w:val="12"/>
          </w:tcPr>
          <w:p>
            <w:pPr>
              <w:spacing w:after="0"/>
              <w:rPr>
                <w:rFonts w:ascii="Arial" w:cs="Arial" w:eastAsia="Arial" w:hAnsi="Arial"/>
                <w:sz w:val="20"/>
                <w:szCs w:val="20"/>
                <w:color w:val="0000EE"/>
              </w:rPr>
            </w:pPr>
            <w:hyperlink w:anchor="page2">
              <w:r>
                <w:rPr>
                  <w:rFonts w:ascii="Arial" w:cs="Arial" w:eastAsia="Arial" w:hAnsi="Arial"/>
                  <w:sz w:val="20"/>
                  <w:szCs w:val="20"/>
                  <w:color w:val="0000EE"/>
                </w:rPr>
                <w:t>Financial Statements</w:t>
              </w:r>
            </w:hyperlink>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10"/>
        </w:trPr>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0" w:type="dxa"/>
            <w:vAlign w:val="bottom"/>
            <w:gridSpan w:val="11"/>
          </w:tcPr>
          <w:p>
            <w:pPr>
              <w:spacing w:after="0" w:line="209" w:lineRule="exact"/>
              <w:rPr>
                <w:rFonts w:ascii="Arial" w:cs="Arial" w:eastAsia="Arial" w:hAnsi="Arial"/>
                <w:sz w:val="20"/>
                <w:szCs w:val="20"/>
                <w:color w:val="0000EE"/>
              </w:rPr>
            </w:pPr>
            <w:hyperlink w:anchor="page2">
              <w:r>
                <w:rPr>
                  <w:rFonts w:ascii="Arial" w:cs="Arial" w:eastAsia="Arial" w:hAnsi="Arial"/>
                  <w:sz w:val="20"/>
                  <w:szCs w:val="20"/>
                  <w:color w:val="0000EE"/>
                </w:rPr>
                <w:t>Condensed Consolidated Statements of Earnings (Unaudited) -</w:t>
              </w:r>
            </w:hyperlink>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0"/>
        </w:trPr>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10"/>
        </w:trPr>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gridSpan w:val="10"/>
          </w:tcPr>
          <w:p>
            <w:pPr>
              <w:spacing w:after="0" w:line="209" w:lineRule="exact"/>
              <w:rPr>
                <w:rFonts w:ascii="Arial" w:cs="Arial" w:eastAsia="Arial" w:hAnsi="Arial"/>
                <w:sz w:val="20"/>
                <w:szCs w:val="20"/>
                <w:color w:val="0000EE"/>
              </w:rPr>
            </w:pPr>
            <w:hyperlink w:anchor="page2">
              <w:r>
                <w:rPr>
                  <w:rFonts w:ascii="Arial" w:cs="Arial" w:eastAsia="Arial" w:hAnsi="Arial"/>
                  <w:sz w:val="20"/>
                  <w:szCs w:val="20"/>
                  <w:color w:val="0000EE"/>
                </w:rPr>
                <w:t>Three and Nine Months Ended July 29, 2005 and July 30, 2004</w:t>
              </w:r>
            </w:hyperlink>
          </w:p>
        </w:tc>
        <w:tc>
          <w:tcPr>
            <w:tcW w:w="940" w:type="dxa"/>
            <w:vAlign w:val="bottom"/>
            <w:gridSpan w:val="4"/>
          </w:tcPr>
          <w:p>
            <w:pPr>
              <w:jc w:val="center"/>
              <w:ind w:left="381"/>
              <w:spacing w:after="0" w:line="209" w:lineRule="exact"/>
              <w:rPr>
                <w:rFonts w:ascii="Arial" w:cs="Arial" w:eastAsia="Arial" w:hAnsi="Arial"/>
                <w:sz w:val="20"/>
                <w:szCs w:val="20"/>
                <w:color w:val="0000EE"/>
                <w:w w:val="89"/>
              </w:rPr>
            </w:pPr>
            <w:hyperlink w:anchor="page2">
              <w:r>
                <w:rPr>
                  <w:rFonts w:ascii="Arial" w:cs="Arial" w:eastAsia="Arial" w:hAnsi="Arial"/>
                  <w:sz w:val="20"/>
                  <w:szCs w:val="20"/>
                  <w:color w:val="0000EE"/>
                  <w:w w:val="89"/>
                </w:rPr>
                <w:t>3</w:t>
              </w:r>
            </w:hyperlink>
          </w:p>
        </w:tc>
        <w:tc>
          <w:tcPr>
            <w:tcW w:w="480" w:type="dxa"/>
            <w:vAlign w:val="bottom"/>
          </w:tcPr>
          <w:p>
            <w:pPr>
              <w:spacing w:after="0"/>
              <w:rPr>
                <w:sz w:val="18"/>
                <w:szCs w:val="18"/>
                <w:color w:val="auto"/>
              </w:rPr>
            </w:pPr>
          </w:p>
        </w:tc>
      </w:tr>
      <w:tr>
        <w:trPr>
          <w:trHeight w:val="20"/>
        </w:trPr>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39"/>
        </w:trPr>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60" w:type="dxa"/>
            <w:vAlign w:val="bottom"/>
            <w:tcBorders>
              <w:bottom w:val="single" w:sz="8" w:color="0000EE"/>
            </w:tcBorders>
            <w:gridSpan w:val="6"/>
          </w:tcPr>
          <w:p>
            <w:pPr>
              <w:spacing w:after="0"/>
              <w:rPr>
                <w:rFonts w:ascii="Arial" w:cs="Arial" w:eastAsia="Arial" w:hAnsi="Arial"/>
                <w:sz w:val="20"/>
                <w:szCs w:val="20"/>
                <w:color w:val="0000EE"/>
                <w:w w:val="88"/>
              </w:rPr>
            </w:pPr>
            <w:hyperlink w:anchor="page2">
              <w:r>
                <w:rPr>
                  <w:rFonts w:ascii="Arial" w:cs="Arial" w:eastAsia="Arial" w:hAnsi="Arial"/>
                  <w:sz w:val="20"/>
                  <w:szCs w:val="20"/>
                  <w:color w:val="0000EE"/>
                  <w:w w:val="88"/>
                </w:rPr>
                <w:t>Condensed Consolidated Balance Sheets (Unaudited) -</w:t>
              </w:r>
            </w:hyperlink>
          </w:p>
        </w:tc>
        <w:tc>
          <w:tcPr>
            <w:tcW w:w="4240" w:type="dxa"/>
            <w:vAlign w:val="bottom"/>
            <w:gridSpan w:val="5"/>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10"/>
        </w:trPr>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20" w:type="dxa"/>
            <w:vAlign w:val="bottom"/>
            <w:gridSpan w:val="10"/>
          </w:tcPr>
          <w:p>
            <w:pPr>
              <w:spacing w:after="0" w:line="209" w:lineRule="exact"/>
              <w:rPr>
                <w:rFonts w:ascii="Arial" w:cs="Arial" w:eastAsia="Arial" w:hAnsi="Arial"/>
                <w:sz w:val="20"/>
                <w:szCs w:val="20"/>
                <w:color w:val="0000EE"/>
              </w:rPr>
            </w:pPr>
            <w:hyperlink w:anchor="page2">
              <w:r>
                <w:rPr>
                  <w:rFonts w:ascii="Arial" w:cs="Arial" w:eastAsia="Arial" w:hAnsi="Arial"/>
                  <w:sz w:val="20"/>
                  <w:szCs w:val="20"/>
                  <w:color w:val="0000EE"/>
                </w:rPr>
                <w:t>July 29, 2005, July 30, 2004, and October 31, 2004</w:t>
              </w:r>
            </w:hyperlink>
          </w:p>
        </w:tc>
        <w:tc>
          <w:tcPr>
            <w:tcW w:w="940" w:type="dxa"/>
            <w:vAlign w:val="bottom"/>
            <w:gridSpan w:val="4"/>
          </w:tcPr>
          <w:p>
            <w:pPr>
              <w:jc w:val="center"/>
              <w:ind w:left="381"/>
              <w:spacing w:after="0" w:line="209" w:lineRule="exact"/>
              <w:rPr>
                <w:rFonts w:ascii="Arial" w:cs="Arial" w:eastAsia="Arial" w:hAnsi="Arial"/>
                <w:sz w:val="20"/>
                <w:szCs w:val="20"/>
                <w:color w:val="0000EE"/>
                <w:w w:val="89"/>
              </w:rPr>
            </w:pPr>
            <w:hyperlink w:anchor="page2">
              <w:r>
                <w:rPr>
                  <w:rFonts w:ascii="Arial" w:cs="Arial" w:eastAsia="Arial" w:hAnsi="Arial"/>
                  <w:sz w:val="20"/>
                  <w:szCs w:val="20"/>
                  <w:color w:val="0000EE"/>
                  <w:w w:val="89"/>
                </w:rPr>
                <w:t>4</w:t>
              </w:r>
            </w:hyperlink>
          </w:p>
        </w:tc>
        <w:tc>
          <w:tcPr>
            <w:tcW w:w="480" w:type="dxa"/>
            <w:vAlign w:val="bottom"/>
          </w:tcPr>
          <w:p>
            <w:pPr>
              <w:spacing w:after="0"/>
              <w:rPr>
                <w:sz w:val="18"/>
                <w:szCs w:val="18"/>
                <w:color w:val="auto"/>
              </w:rPr>
            </w:pPr>
          </w:p>
        </w:tc>
      </w:tr>
      <w:tr>
        <w:trPr>
          <w:trHeight w:val="20"/>
        </w:trPr>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39"/>
        </w:trPr>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0" w:type="dxa"/>
            <w:vAlign w:val="bottom"/>
            <w:gridSpan w:val="11"/>
          </w:tcPr>
          <w:p>
            <w:pPr>
              <w:spacing w:after="0"/>
              <w:rPr>
                <w:rFonts w:ascii="Arial" w:cs="Arial" w:eastAsia="Arial" w:hAnsi="Arial"/>
                <w:sz w:val="20"/>
                <w:szCs w:val="20"/>
                <w:color w:val="0000EE"/>
              </w:rPr>
            </w:pPr>
            <w:hyperlink w:anchor="page3">
              <w:r>
                <w:rPr>
                  <w:rFonts w:ascii="Arial" w:cs="Arial" w:eastAsia="Arial" w:hAnsi="Arial"/>
                  <w:sz w:val="20"/>
                  <w:szCs w:val="20"/>
                  <w:color w:val="0000EE"/>
                </w:rPr>
                <w:t>Condensed Consolidated Statements of Cash Flows (Unaudited) -</w:t>
              </w:r>
            </w:hyperlink>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10"/>
        </w:trPr>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180" w:type="dxa"/>
            <w:vAlign w:val="bottom"/>
            <w:tcBorders>
              <w:top w:val="single" w:sz="8" w:color="0000EE"/>
            </w:tcBorders>
            <w:gridSpan w:val="5"/>
          </w:tcPr>
          <w:p>
            <w:pPr>
              <w:spacing w:after="0" w:line="209" w:lineRule="exact"/>
              <w:rPr>
                <w:rFonts w:ascii="Arial" w:cs="Arial" w:eastAsia="Arial" w:hAnsi="Arial"/>
                <w:sz w:val="20"/>
                <w:szCs w:val="20"/>
                <w:color w:val="0000EE"/>
                <w:w w:val="89"/>
              </w:rPr>
            </w:pPr>
            <w:hyperlink w:anchor="page3">
              <w:r>
                <w:rPr>
                  <w:rFonts w:ascii="Arial" w:cs="Arial" w:eastAsia="Arial" w:hAnsi="Arial"/>
                  <w:sz w:val="20"/>
                  <w:szCs w:val="20"/>
                  <w:color w:val="0000EE"/>
                  <w:w w:val="89"/>
                </w:rPr>
                <w:t>Nine Months Ended July 29, 2005 and July 30, 2004</w:t>
              </w:r>
            </w:hyperlink>
          </w:p>
        </w:tc>
        <w:tc>
          <w:tcPr>
            <w:tcW w:w="840" w:type="dxa"/>
            <w:vAlign w:val="bottom"/>
            <w:tcBorders>
              <w:top w:val="single" w:sz="8" w:color="0000EE"/>
            </w:tcBorders>
            <w:gridSpan w:val="3"/>
          </w:tcPr>
          <w:p>
            <w:pPr>
              <w:spacing w:after="0"/>
              <w:rPr>
                <w:sz w:val="18"/>
                <w:szCs w:val="18"/>
                <w:color w:val="auto"/>
              </w:rPr>
            </w:pPr>
          </w:p>
        </w:tc>
        <w:tc>
          <w:tcPr>
            <w:tcW w:w="3400" w:type="dxa"/>
            <w:vAlign w:val="bottom"/>
            <w:gridSpan w:val="2"/>
          </w:tcPr>
          <w:p>
            <w:pPr>
              <w:spacing w:after="0"/>
              <w:rPr>
                <w:sz w:val="18"/>
                <w:szCs w:val="18"/>
                <w:color w:val="auto"/>
              </w:rPr>
            </w:pPr>
          </w:p>
        </w:tc>
        <w:tc>
          <w:tcPr>
            <w:tcW w:w="660" w:type="dxa"/>
            <w:vAlign w:val="bottom"/>
            <w:gridSpan w:val="2"/>
          </w:tcPr>
          <w:p>
            <w:pPr>
              <w:spacing w:after="0"/>
              <w:rPr>
                <w:sz w:val="18"/>
                <w:szCs w:val="18"/>
                <w:color w:val="auto"/>
              </w:rPr>
            </w:pPr>
          </w:p>
        </w:tc>
        <w:tc>
          <w:tcPr>
            <w:tcW w:w="280" w:type="dxa"/>
            <w:vAlign w:val="bottom"/>
            <w:gridSpan w:val="2"/>
          </w:tcPr>
          <w:p>
            <w:pPr>
              <w:jc w:val="center"/>
              <w:ind w:right="180"/>
              <w:spacing w:after="0" w:line="209" w:lineRule="exact"/>
              <w:rPr>
                <w:rFonts w:ascii="Arial" w:cs="Arial" w:eastAsia="Arial" w:hAnsi="Arial"/>
                <w:sz w:val="20"/>
                <w:szCs w:val="20"/>
                <w:color w:val="0000EE"/>
                <w:w w:val="89"/>
              </w:rPr>
            </w:pPr>
            <w:hyperlink w:anchor="page3">
              <w:r>
                <w:rPr>
                  <w:rFonts w:ascii="Arial" w:cs="Arial" w:eastAsia="Arial" w:hAnsi="Arial"/>
                  <w:sz w:val="20"/>
                  <w:szCs w:val="20"/>
                  <w:color w:val="0000EE"/>
                  <w:w w:val="89"/>
                </w:rPr>
                <w:t>5</w:t>
              </w:r>
            </w:hyperlink>
          </w:p>
        </w:tc>
        <w:tc>
          <w:tcPr>
            <w:tcW w:w="480" w:type="dxa"/>
            <w:vAlign w:val="bottom"/>
          </w:tcPr>
          <w:p>
            <w:pPr>
              <w:spacing w:after="0"/>
              <w:rPr>
                <w:sz w:val="18"/>
                <w:szCs w:val="18"/>
                <w:color w:val="auto"/>
              </w:rPr>
            </w:pPr>
          </w:p>
        </w:tc>
      </w:tr>
      <w:tr>
        <w:trPr>
          <w:trHeight w:val="20"/>
        </w:trPr>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39"/>
        </w:trPr>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0" w:type="dxa"/>
            <w:vAlign w:val="bottom"/>
            <w:gridSpan w:val="11"/>
          </w:tcPr>
          <w:p>
            <w:pPr>
              <w:spacing w:after="0"/>
              <w:rPr>
                <w:rFonts w:ascii="Arial" w:cs="Arial" w:eastAsia="Arial" w:hAnsi="Arial"/>
                <w:sz w:val="20"/>
                <w:szCs w:val="20"/>
                <w:color w:val="0000EE"/>
              </w:rPr>
            </w:pPr>
            <w:hyperlink w:anchor="page4">
              <w:r>
                <w:rPr>
                  <w:rFonts w:ascii="Arial" w:cs="Arial" w:eastAsia="Arial" w:hAnsi="Arial"/>
                  <w:sz w:val="20"/>
                  <w:szCs w:val="20"/>
                  <w:color w:val="0000EE"/>
                </w:rPr>
                <w:t>Notes to Condensed Consolidated Financial Statements (Unaudited)</w:t>
              </w:r>
            </w:hyperlink>
          </w:p>
        </w:tc>
        <w:tc>
          <w:tcPr>
            <w:tcW w:w="940" w:type="dxa"/>
            <w:vAlign w:val="bottom"/>
            <w:gridSpan w:val="4"/>
          </w:tcPr>
          <w:p>
            <w:pPr>
              <w:jc w:val="center"/>
              <w:ind w:left="381"/>
              <w:spacing w:after="0"/>
              <w:rPr>
                <w:rFonts w:ascii="Arial" w:cs="Arial" w:eastAsia="Arial" w:hAnsi="Arial"/>
                <w:sz w:val="20"/>
                <w:szCs w:val="20"/>
                <w:color w:val="0000EE"/>
                <w:w w:val="94"/>
              </w:rPr>
            </w:pPr>
            <w:hyperlink w:anchor="page4">
              <w:r>
                <w:rPr>
                  <w:rFonts w:ascii="Arial" w:cs="Arial" w:eastAsia="Arial" w:hAnsi="Arial"/>
                  <w:sz w:val="20"/>
                  <w:szCs w:val="20"/>
                  <w:color w:val="0000EE"/>
                  <w:w w:val="94"/>
                </w:rPr>
                <w:t>6-12</w:t>
              </w:r>
            </w:hyperlink>
          </w:p>
        </w:tc>
        <w:tc>
          <w:tcPr>
            <w:tcW w:w="480" w:type="dxa"/>
            <w:vAlign w:val="bottom"/>
          </w:tcPr>
          <w:p>
            <w:pPr>
              <w:spacing w:after="0"/>
              <w:rPr>
                <w:sz w:val="24"/>
                <w:szCs w:val="24"/>
                <w:color w:val="auto"/>
              </w:rPr>
            </w:pPr>
          </w:p>
        </w:tc>
      </w:tr>
      <w:tr>
        <w:trPr>
          <w:trHeight w:val="439"/>
        </w:trPr>
        <w:tc>
          <w:tcPr>
            <w:tcW w:w="1220" w:type="dxa"/>
            <w:vAlign w:val="bottom"/>
            <w:gridSpan w:val="3"/>
          </w:tcPr>
          <w:p>
            <w:pPr>
              <w:spacing w:after="0"/>
              <w:rPr>
                <w:rFonts w:ascii="Arial" w:cs="Arial" w:eastAsia="Arial" w:hAnsi="Arial"/>
                <w:sz w:val="20"/>
                <w:szCs w:val="20"/>
                <w:b w:val="1"/>
                <w:bCs w:val="1"/>
                <w:color w:val="0000EE"/>
              </w:rPr>
            </w:pPr>
            <w:hyperlink w:anchor="page9">
              <w:r>
                <w:rPr>
                  <w:rFonts w:ascii="Arial" w:cs="Arial" w:eastAsia="Arial" w:hAnsi="Arial"/>
                  <w:sz w:val="20"/>
                  <w:szCs w:val="20"/>
                  <w:b w:val="1"/>
                  <w:bCs w:val="1"/>
                  <w:color w:val="0000EE"/>
                </w:rPr>
                <w:t>Item 2.</w:t>
              </w:r>
            </w:hyperlink>
          </w:p>
        </w:tc>
        <w:tc>
          <w:tcPr>
            <w:tcW w:w="180" w:type="dxa"/>
            <w:vAlign w:val="bottom"/>
          </w:tcPr>
          <w:p>
            <w:pPr>
              <w:spacing w:after="0"/>
              <w:rPr>
                <w:sz w:val="24"/>
                <w:szCs w:val="24"/>
                <w:color w:val="auto"/>
              </w:rPr>
            </w:pPr>
          </w:p>
        </w:tc>
        <w:tc>
          <w:tcPr>
            <w:tcW w:w="5400" w:type="dxa"/>
            <w:vAlign w:val="bottom"/>
            <w:tcBorders>
              <w:top w:val="single" w:sz="8" w:color="0000EE"/>
            </w:tcBorders>
            <w:gridSpan w:val="10"/>
          </w:tcPr>
          <w:p>
            <w:pPr>
              <w:spacing w:after="0"/>
              <w:rPr>
                <w:rFonts w:ascii="Arial" w:cs="Arial" w:eastAsia="Arial" w:hAnsi="Arial"/>
                <w:sz w:val="20"/>
                <w:szCs w:val="20"/>
                <w:color w:val="0000EE"/>
                <w:w w:val="97"/>
              </w:rPr>
            </w:pPr>
            <w:hyperlink w:anchor="page9">
              <w:r>
                <w:rPr>
                  <w:rFonts w:ascii="Arial" w:cs="Arial" w:eastAsia="Arial" w:hAnsi="Arial"/>
                  <w:sz w:val="20"/>
                  <w:szCs w:val="20"/>
                  <w:color w:val="0000EE"/>
                  <w:w w:val="97"/>
                </w:rPr>
                <w:t>Management’s Discussion and Analysis of Financial Condition</w:t>
              </w:r>
            </w:hyperlink>
          </w:p>
        </w:tc>
        <w:tc>
          <w:tcPr>
            <w:tcW w:w="3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r>
      <w:tr>
        <w:trPr>
          <w:trHeight w:val="210"/>
        </w:trPr>
        <w:tc>
          <w:tcPr>
            <w:tcW w:w="60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60" w:type="dxa"/>
            <w:vAlign w:val="bottom"/>
            <w:tcBorders>
              <w:top w:val="single" w:sz="8" w:color="0000EE"/>
            </w:tcBorders>
            <w:gridSpan w:val="2"/>
          </w:tcPr>
          <w:p>
            <w:pPr>
              <w:spacing w:after="0" w:line="209" w:lineRule="exact"/>
              <w:rPr>
                <w:rFonts w:ascii="Arial" w:cs="Arial" w:eastAsia="Arial" w:hAnsi="Arial"/>
                <w:sz w:val="20"/>
                <w:szCs w:val="20"/>
                <w:color w:val="0000EE"/>
                <w:w w:val="88"/>
              </w:rPr>
            </w:pPr>
            <w:hyperlink w:anchor="page9">
              <w:r>
                <w:rPr>
                  <w:rFonts w:ascii="Arial" w:cs="Arial" w:eastAsia="Arial" w:hAnsi="Arial"/>
                  <w:sz w:val="20"/>
                  <w:szCs w:val="20"/>
                  <w:color w:val="0000EE"/>
                  <w:w w:val="88"/>
                </w:rPr>
                <w:t>and Results of Operations</w:t>
              </w:r>
            </w:hyperlink>
          </w:p>
        </w:tc>
        <w:tc>
          <w:tcPr>
            <w:tcW w:w="2760" w:type="dxa"/>
            <w:vAlign w:val="bottom"/>
            <w:tcBorders>
              <w:top w:val="single" w:sz="8" w:color="0000EE"/>
            </w:tcBorders>
            <w:gridSpan w:val="5"/>
          </w:tcPr>
          <w:p>
            <w:pPr>
              <w:spacing w:after="0"/>
              <w:rPr>
                <w:sz w:val="18"/>
                <w:szCs w:val="18"/>
                <w:color w:val="auto"/>
              </w:rPr>
            </w:pPr>
          </w:p>
        </w:tc>
        <w:tc>
          <w:tcPr>
            <w:tcW w:w="3600" w:type="dxa"/>
            <w:vAlign w:val="bottom"/>
            <w:gridSpan w:val="3"/>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4"/>
          </w:tcPr>
          <w:p>
            <w:pPr>
              <w:jc w:val="center"/>
              <w:ind w:right="480"/>
              <w:spacing w:after="0" w:line="209" w:lineRule="exact"/>
              <w:rPr>
                <w:rFonts w:ascii="Arial" w:cs="Arial" w:eastAsia="Arial" w:hAnsi="Arial"/>
                <w:sz w:val="20"/>
                <w:szCs w:val="20"/>
                <w:color w:val="0000EE"/>
                <w:w w:val="82"/>
              </w:rPr>
            </w:pPr>
            <w:hyperlink w:anchor="page9">
              <w:r>
                <w:rPr>
                  <w:rFonts w:ascii="Arial" w:cs="Arial" w:eastAsia="Arial" w:hAnsi="Arial"/>
                  <w:sz w:val="20"/>
                  <w:szCs w:val="20"/>
                  <w:color w:val="0000EE"/>
                  <w:w w:val="82"/>
                </w:rPr>
                <w:t>13-22</w:t>
              </w:r>
            </w:hyperlink>
          </w:p>
        </w:tc>
      </w:tr>
      <w:tr>
        <w:trPr>
          <w:trHeight w:val="20"/>
        </w:trPr>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ectPr>
          <w:pgSz w:w="11900" w:h="16838" w:orient="portrait"/>
          <w:cols w:equalWidth="0" w:num="1">
            <w:col w:w="11420"/>
          </w:cols>
          <w:pgMar w:left="240" w:top="594"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20" w:type="dxa"/>
            <w:vAlign w:val="bottom"/>
            <w:gridSpan w:val="3"/>
          </w:tcPr>
          <w:p>
            <w:pPr>
              <w:spacing w:after="0"/>
              <w:rPr>
                <w:rFonts w:ascii="Arial" w:cs="Arial" w:eastAsia="Arial" w:hAnsi="Arial"/>
                <w:sz w:val="20"/>
                <w:szCs w:val="20"/>
                <w:b w:val="1"/>
                <w:bCs w:val="1"/>
                <w:color w:val="0000EE"/>
              </w:rPr>
            </w:pPr>
            <w:hyperlink w:anchor="page16">
              <w:r>
                <w:rPr>
                  <w:rFonts w:ascii="Arial" w:cs="Arial" w:eastAsia="Arial" w:hAnsi="Arial"/>
                  <w:sz w:val="20"/>
                  <w:szCs w:val="20"/>
                  <w:b w:val="1"/>
                  <w:bCs w:val="1"/>
                  <w:color w:val="0000EE"/>
                </w:rPr>
                <w:t>Item 3.</w:t>
              </w:r>
            </w:hyperlink>
          </w:p>
        </w:tc>
        <w:tc>
          <w:tcPr>
            <w:tcW w:w="180" w:type="dxa"/>
            <w:vAlign w:val="bottom"/>
          </w:tcPr>
          <w:p>
            <w:pPr>
              <w:spacing w:after="0"/>
              <w:rPr>
                <w:sz w:val="19"/>
                <w:szCs w:val="19"/>
                <w:color w:val="auto"/>
              </w:rPr>
            </w:pPr>
          </w:p>
        </w:tc>
        <w:tc>
          <w:tcPr>
            <w:tcW w:w="9220" w:type="dxa"/>
            <w:vAlign w:val="bottom"/>
            <w:gridSpan w:val="8"/>
          </w:tcPr>
          <w:p>
            <w:pPr>
              <w:spacing w:after="0"/>
              <w:rPr>
                <w:rFonts w:ascii="Arial" w:cs="Arial" w:eastAsia="Arial" w:hAnsi="Arial"/>
                <w:sz w:val="20"/>
                <w:szCs w:val="20"/>
                <w:color w:val="0000EE"/>
              </w:rPr>
            </w:pPr>
            <w:hyperlink w:anchor="page16">
              <w:r>
                <w:rPr>
                  <w:rFonts w:ascii="Arial" w:cs="Arial" w:eastAsia="Arial" w:hAnsi="Arial"/>
                  <w:sz w:val="20"/>
                  <w:szCs w:val="20"/>
                  <w:color w:val="0000EE"/>
                </w:rPr>
                <w:t>Quantitative and Qualitative Disclosures about Market Risk</w:t>
              </w:r>
            </w:hyperlink>
          </w:p>
        </w:tc>
        <w:tc>
          <w:tcPr>
            <w:tcW w:w="200" w:type="dxa"/>
            <w:vAlign w:val="bottom"/>
            <w:gridSpan w:val="2"/>
          </w:tcPr>
          <w:p>
            <w:pPr>
              <w:jc w:val="right"/>
              <w:spacing w:after="0"/>
              <w:rPr>
                <w:rFonts w:ascii="Arial" w:cs="Arial" w:eastAsia="Arial" w:hAnsi="Arial"/>
                <w:sz w:val="20"/>
                <w:szCs w:val="20"/>
                <w:color w:val="0000EE"/>
                <w:w w:val="80"/>
              </w:rPr>
            </w:pPr>
            <w:hyperlink w:anchor="page16">
              <w:r>
                <w:rPr>
                  <w:rFonts w:ascii="Arial" w:cs="Arial" w:eastAsia="Arial" w:hAnsi="Arial"/>
                  <w:sz w:val="20"/>
                  <w:szCs w:val="20"/>
                  <w:color w:val="0000EE"/>
                  <w:w w:val="80"/>
                </w:rPr>
                <w:t>23</w:t>
              </w:r>
            </w:hyperlink>
          </w:p>
        </w:tc>
      </w:tr>
      <w:tr>
        <w:trPr>
          <w:trHeight w:val="20"/>
        </w:trPr>
        <w:tc>
          <w:tcPr>
            <w:tcW w:w="6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20" w:type="dxa"/>
            <w:vAlign w:val="bottom"/>
            <w:gridSpan w:val="3"/>
          </w:tcPr>
          <w:p>
            <w:pPr>
              <w:spacing w:after="0"/>
              <w:rPr>
                <w:rFonts w:ascii="Arial" w:cs="Arial" w:eastAsia="Arial" w:hAnsi="Arial"/>
                <w:sz w:val="20"/>
                <w:szCs w:val="20"/>
                <w:b w:val="1"/>
                <w:bCs w:val="1"/>
                <w:color w:val="0000EE"/>
              </w:rPr>
            </w:pPr>
            <w:hyperlink w:anchor="page17">
              <w:r>
                <w:rPr>
                  <w:rFonts w:ascii="Arial" w:cs="Arial" w:eastAsia="Arial" w:hAnsi="Arial"/>
                  <w:sz w:val="20"/>
                  <w:szCs w:val="20"/>
                  <w:b w:val="1"/>
                  <w:bCs w:val="1"/>
                  <w:color w:val="0000EE"/>
                </w:rPr>
                <w:t>Item 4.</w:t>
              </w:r>
            </w:hyperlink>
          </w:p>
        </w:tc>
        <w:tc>
          <w:tcPr>
            <w:tcW w:w="180" w:type="dxa"/>
            <w:vAlign w:val="bottom"/>
          </w:tcPr>
          <w:p>
            <w:pPr>
              <w:spacing w:after="0"/>
              <w:rPr>
                <w:sz w:val="24"/>
                <w:szCs w:val="24"/>
                <w:color w:val="auto"/>
              </w:rPr>
            </w:pPr>
          </w:p>
        </w:tc>
        <w:tc>
          <w:tcPr>
            <w:tcW w:w="9220" w:type="dxa"/>
            <w:vAlign w:val="bottom"/>
            <w:gridSpan w:val="8"/>
          </w:tcPr>
          <w:p>
            <w:pPr>
              <w:spacing w:after="0"/>
              <w:rPr>
                <w:rFonts w:ascii="Arial" w:cs="Arial" w:eastAsia="Arial" w:hAnsi="Arial"/>
                <w:sz w:val="20"/>
                <w:szCs w:val="20"/>
                <w:color w:val="0000EE"/>
              </w:rPr>
            </w:pPr>
            <w:hyperlink w:anchor="page17">
              <w:r>
                <w:rPr>
                  <w:rFonts w:ascii="Arial" w:cs="Arial" w:eastAsia="Arial" w:hAnsi="Arial"/>
                  <w:sz w:val="20"/>
                  <w:szCs w:val="20"/>
                  <w:color w:val="0000EE"/>
                </w:rPr>
                <w:t>Controls and Procedures</w:t>
              </w:r>
            </w:hyperlink>
          </w:p>
        </w:tc>
        <w:tc>
          <w:tcPr>
            <w:tcW w:w="200" w:type="dxa"/>
            <w:vAlign w:val="bottom"/>
            <w:gridSpan w:val="2"/>
          </w:tcPr>
          <w:p>
            <w:pPr>
              <w:jc w:val="right"/>
              <w:spacing w:after="0"/>
              <w:rPr>
                <w:rFonts w:ascii="Arial" w:cs="Arial" w:eastAsia="Arial" w:hAnsi="Arial"/>
                <w:sz w:val="20"/>
                <w:szCs w:val="20"/>
                <w:color w:val="0000EE"/>
                <w:w w:val="80"/>
              </w:rPr>
            </w:pPr>
            <w:hyperlink w:anchor="page17">
              <w:r>
                <w:rPr>
                  <w:rFonts w:ascii="Arial" w:cs="Arial" w:eastAsia="Arial" w:hAnsi="Arial"/>
                  <w:sz w:val="20"/>
                  <w:szCs w:val="20"/>
                  <w:color w:val="0000EE"/>
                  <w:w w:val="80"/>
                </w:rPr>
                <w:t>24</w:t>
              </w:r>
            </w:hyperlink>
          </w:p>
        </w:tc>
      </w:tr>
      <w:tr>
        <w:trPr>
          <w:trHeight w:val="20"/>
        </w:trPr>
        <w:tc>
          <w:tcPr>
            <w:tcW w:w="6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780" w:type="dxa"/>
            <w:vAlign w:val="bottom"/>
            <w:tcBorders>
              <w:bottom w:val="single" w:sz="8" w:color="0000EE"/>
            </w:tcBorders>
            <w:gridSpan w:val="2"/>
          </w:tcPr>
          <w:p>
            <w:pPr>
              <w:spacing w:after="0"/>
              <w:rPr>
                <w:rFonts w:ascii="Arial" w:cs="Arial" w:eastAsia="Arial" w:hAnsi="Arial"/>
                <w:sz w:val="20"/>
                <w:szCs w:val="20"/>
                <w:b w:val="1"/>
                <w:bCs w:val="1"/>
                <w:color w:val="0000EE"/>
                <w:w w:val="99"/>
              </w:rPr>
            </w:pPr>
            <w:hyperlink w:anchor="page18">
              <w:r>
                <w:rPr>
                  <w:rFonts w:ascii="Arial" w:cs="Arial" w:eastAsia="Arial" w:hAnsi="Arial"/>
                  <w:sz w:val="20"/>
                  <w:szCs w:val="20"/>
                  <w:b w:val="1"/>
                  <w:bCs w:val="1"/>
                  <w:color w:val="0000EE"/>
                  <w:w w:val="99"/>
                </w:rPr>
                <w:t>PART II.</w:t>
              </w:r>
            </w:hyperlink>
          </w:p>
        </w:tc>
        <w:tc>
          <w:tcPr>
            <w:tcW w:w="440" w:type="dxa"/>
            <w:vAlign w:val="bottom"/>
          </w:tcPr>
          <w:p>
            <w:pPr>
              <w:spacing w:after="0"/>
              <w:rPr>
                <w:sz w:val="24"/>
                <w:szCs w:val="24"/>
                <w:color w:val="auto"/>
              </w:rPr>
            </w:pPr>
          </w:p>
        </w:tc>
        <w:tc>
          <w:tcPr>
            <w:tcW w:w="2300" w:type="dxa"/>
            <w:vAlign w:val="bottom"/>
            <w:tcBorders>
              <w:bottom w:val="single" w:sz="8" w:color="0000EE"/>
            </w:tcBorders>
            <w:gridSpan w:val="6"/>
          </w:tcPr>
          <w:p>
            <w:pPr>
              <w:spacing w:after="0"/>
              <w:rPr>
                <w:rFonts w:ascii="Arial" w:cs="Arial" w:eastAsia="Arial" w:hAnsi="Arial"/>
                <w:sz w:val="20"/>
                <w:szCs w:val="20"/>
                <w:b w:val="1"/>
                <w:bCs w:val="1"/>
                <w:color w:val="0000EE"/>
              </w:rPr>
            </w:pPr>
            <w:hyperlink w:anchor="page18">
              <w:r>
                <w:rPr>
                  <w:rFonts w:ascii="Arial" w:cs="Arial" w:eastAsia="Arial" w:hAnsi="Arial"/>
                  <w:sz w:val="20"/>
                  <w:szCs w:val="20"/>
                  <w:b w:val="1"/>
                  <w:bCs w:val="1"/>
                  <w:color w:val="0000EE"/>
                </w:rPr>
                <w:t>OTHER INFORMATION:</w:t>
              </w:r>
            </w:hyperlink>
          </w:p>
        </w:tc>
        <w:tc>
          <w:tcPr>
            <w:tcW w:w="710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1220" w:type="dxa"/>
            <w:vAlign w:val="bottom"/>
            <w:gridSpan w:val="3"/>
          </w:tcPr>
          <w:p>
            <w:pPr>
              <w:spacing w:after="0"/>
              <w:rPr>
                <w:rFonts w:ascii="Arial" w:cs="Arial" w:eastAsia="Arial" w:hAnsi="Arial"/>
                <w:sz w:val="20"/>
                <w:szCs w:val="20"/>
                <w:b w:val="1"/>
                <w:bCs w:val="1"/>
                <w:color w:val="0000EE"/>
              </w:rPr>
            </w:pPr>
            <w:hyperlink w:anchor="page18">
              <w:r>
                <w:rPr>
                  <w:rFonts w:ascii="Arial" w:cs="Arial" w:eastAsia="Arial" w:hAnsi="Arial"/>
                  <w:sz w:val="20"/>
                  <w:szCs w:val="20"/>
                  <w:b w:val="1"/>
                  <w:bCs w:val="1"/>
                  <w:color w:val="0000EE"/>
                </w:rPr>
                <w:t>Item 1.</w:t>
              </w:r>
            </w:hyperlink>
          </w:p>
        </w:tc>
        <w:tc>
          <w:tcPr>
            <w:tcW w:w="180" w:type="dxa"/>
            <w:vAlign w:val="bottom"/>
          </w:tcPr>
          <w:p>
            <w:pPr>
              <w:spacing w:after="0"/>
              <w:rPr>
                <w:sz w:val="24"/>
                <w:szCs w:val="24"/>
                <w:color w:val="auto"/>
              </w:rPr>
            </w:pPr>
          </w:p>
        </w:tc>
        <w:tc>
          <w:tcPr>
            <w:tcW w:w="9220" w:type="dxa"/>
            <w:vAlign w:val="bottom"/>
            <w:gridSpan w:val="8"/>
          </w:tcPr>
          <w:p>
            <w:pPr>
              <w:spacing w:after="0"/>
              <w:rPr>
                <w:rFonts w:ascii="Arial" w:cs="Arial" w:eastAsia="Arial" w:hAnsi="Arial"/>
                <w:sz w:val="20"/>
                <w:szCs w:val="20"/>
                <w:color w:val="0000EE"/>
              </w:rPr>
            </w:pPr>
            <w:hyperlink w:anchor="page18">
              <w:r>
                <w:rPr>
                  <w:rFonts w:ascii="Arial" w:cs="Arial" w:eastAsia="Arial" w:hAnsi="Arial"/>
                  <w:sz w:val="20"/>
                  <w:szCs w:val="20"/>
                  <w:color w:val="0000EE"/>
                </w:rPr>
                <w:t>Legal Proceedings</w:t>
              </w:r>
            </w:hyperlink>
          </w:p>
        </w:tc>
        <w:tc>
          <w:tcPr>
            <w:tcW w:w="200" w:type="dxa"/>
            <w:vAlign w:val="bottom"/>
            <w:gridSpan w:val="2"/>
          </w:tcPr>
          <w:p>
            <w:pPr>
              <w:jc w:val="right"/>
              <w:spacing w:after="0"/>
              <w:rPr>
                <w:rFonts w:ascii="Arial" w:cs="Arial" w:eastAsia="Arial" w:hAnsi="Arial"/>
                <w:sz w:val="20"/>
                <w:szCs w:val="20"/>
                <w:color w:val="0000EE"/>
                <w:w w:val="80"/>
              </w:rPr>
            </w:pPr>
            <w:hyperlink w:anchor="page18">
              <w:r>
                <w:rPr>
                  <w:rFonts w:ascii="Arial" w:cs="Arial" w:eastAsia="Arial" w:hAnsi="Arial"/>
                  <w:sz w:val="20"/>
                  <w:szCs w:val="20"/>
                  <w:color w:val="0000EE"/>
                  <w:w w:val="80"/>
                </w:rPr>
                <w:t>24</w:t>
              </w:r>
            </w:hyperlink>
          </w:p>
        </w:tc>
      </w:tr>
      <w:tr>
        <w:trPr>
          <w:trHeight w:val="20"/>
        </w:trPr>
        <w:tc>
          <w:tcPr>
            <w:tcW w:w="60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340" w:type="dxa"/>
            <w:vAlign w:val="bottom"/>
            <w:tcBorders>
              <w:left w:val="single" w:sz="8" w:color="0000EE"/>
            </w:tcBorders>
            <w:gridSpan w:val="4"/>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20" w:type="dxa"/>
            <w:vAlign w:val="bottom"/>
            <w:gridSpan w:val="3"/>
          </w:tcPr>
          <w:p>
            <w:pPr>
              <w:spacing w:after="0"/>
              <w:rPr>
                <w:rFonts w:ascii="Arial" w:cs="Arial" w:eastAsia="Arial" w:hAnsi="Arial"/>
                <w:sz w:val="20"/>
                <w:szCs w:val="20"/>
                <w:b w:val="1"/>
                <w:bCs w:val="1"/>
                <w:color w:val="0000EE"/>
              </w:rPr>
            </w:pPr>
            <w:hyperlink w:anchor="page18">
              <w:r>
                <w:rPr>
                  <w:rFonts w:ascii="Arial" w:cs="Arial" w:eastAsia="Arial" w:hAnsi="Arial"/>
                  <w:sz w:val="20"/>
                  <w:szCs w:val="20"/>
                  <w:b w:val="1"/>
                  <w:bCs w:val="1"/>
                  <w:color w:val="0000EE"/>
                </w:rPr>
                <w:t>Item 2.</w:t>
              </w:r>
            </w:hyperlink>
          </w:p>
        </w:tc>
        <w:tc>
          <w:tcPr>
            <w:tcW w:w="180" w:type="dxa"/>
            <w:vAlign w:val="bottom"/>
          </w:tcPr>
          <w:p>
            <w:pPr>
              <w:spacing w:after="0"/>
              <w:rPr>
                <w:sz w:val="24"/>
                <w:szCs w:val="24"/>
                <w:color w:val="auto"/>
              </w:rPr>
            </w:pPr>
          </w:p>
        </w:tc>
        <w:tc>
          <w:tcPr>
            <w:tcW w:w="9220" w:type="dxa"/>
            <w:vAlign w:val="bottom"/>
            <w:gridSpan w:val="8"/>
          </w:tcPr>
          <w:p>
            <w:pPr>
              <w:spacing w:after="0"/>
              <w:rPr>
                <w:rFonts w:ascii="Arial" w:cs="Arial" w:eastAsia="Arial" w:hAnsi="Arial"/>
                <w:sz w:val="20"/>
                <w:szCs w:val="20"/>
                <w:color w:val="0000EE"/>
              </w:rPr>
            </w:pPr>
            <w:hyperlink w:anchor="page18">
              <w:r>
                <w:rPr>
                  <w:rFonts w:ascii="Arial" w:cs="Arial" w:eastAsia="Arial" w:hAnsi="Arial"/>
                  <w:sz w:val="20"/>
                  <w:szCs w:val="20"/>
                  <w:color w:val="0000EE"/>
                </w:rPr>
                <w:t>Unregistered Sales of Equity Securities and Use of Proceeds</w:t>
              </w:r>
            </w:hyperlink>
          </w:p>
        </w:tc>
        <w:tc>
          <w:tcPr>
            <w:tcW w:w="200" w:type="dxa"/>
            <w:vAlign w:val="bottom"/>
            <w:gridSpan w:val="2"/>
          </w:tcPr>
          <w:p>
            <w:pPr>
              <w:jc w:val="right"/>
              <w:spacing w:after="0"/>
              <w:rPr>
                <w:rFonts w:ascii="Arial" w:cs="Arial" w:eastAsia="Arial" w:hAnsi="Arial"/>
                <w:sz w:val="20"/>
                <w:szCs w:val="20"/>
                <w:color w:val="0000EE"/>
                <w:w w:val="80"/>
              </w:rPr>
            </w:pPr>
            <w:hyperlink w:anchor="page18">
              <w:r>
                <w:rPr>
                  <w:rFonts w:ascii="Arial" w:cs="Arial" w:eastAsia="Arial" w:hAnsi="Arial"/>
                  <w:sz w:val="20"/>
                  <w:szCs w:val="20"/>
                  <w:color w:val="0000EE"/>
                  <w:w w:val="80"/>
                </w:rPr>
                <w:t>25</w:t>
              </w:r>
            </w:hyperlink>
          </w:p>
        </w:tc>
      </w:tr>
      <w:tr>
        <w:trPr>
          <w:trHeight w:val="20"/>
        </w:trPr>
        <w:tc>
          <w:tcPr>
            <w:tcW w:w="60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0000EE"/>
            </w:tcBorders>
            <w:shd w:val="clear" w:color="auto" w:fill="0000EE"/>
          </w:tcPr>
          <w:p>
            <w:pPr>
              <w:spacing w:after="0" w:line="20" w:lineRule="exact"/>
              <w:rPr>
                <w:sz w:val="1"/>
                <w:szCs w:val="1"/>
                <w:color w:val="auto"/>
              </w:rPr>
            </w:pPr>
          </w:p>
        </w:tc>
        <w:tc>
          <w:tcPr>
            <w:tcW w:w="180" w:type="dxa"/>
            <w:vAlign w:val="bottom"/>
            <w:tcBorders>
              <w:bottom w:val="single" w:sz="8" w:color="0000EE"/>
            </w:tcBorders>
            <w:shd w:val="clear" w:color="auto" w:fill="0000EE"/>
          </w:tcPr>
          <w:p>
            <w:pPr>
              <w:spacing w:after="0" w:line="20" w:lineRule="exact"/>
              <w:rPr>
                <w:sz w:val="1"/>
                <w:szCs w:val="1"/>
                <w:color w:val="auto"/>
              </w:rPr>
            </w:pPr>
          </w:p>
        </w:tc>
        <w:tc>
          <w:tcPr>
            <w:tcW w:w="600" w:type="dxa"/>
            <w:vAlign w:val="bottom"/>
            <w:tcBorders>
              <w:bottom w:val="single" w:sz="8" w:color="0000EE"/>
            </w:tcBorders>
            <w:shd w:val="clear" w:color="auto" w:fill="0000EE"/>
          </w:tcPr>
          <w:p>
            <w:pPr>
              <w:spacing w:after="0" w:line="20" w:lineRule="exact"/>
              <w:rPr>
                <w:sz w:val="1"/>
                <w:szCs w:val="1"/>
                <w:color w:val="auto"/>
              </w:rPr>
            </w:pPr>
          </w:p>
        </w:tc>
        <w:tc>
          <w:tcPr>
            <w:tcW w:w="3340" w:type="dxa"/>
            <w:vAlign w:val="bottom"/>
            <w:tcBorders>
              <w:left w:val="single" w:sz="8" w:color="0000EE"/>
              <w:bottom w:val="single" w:sz="8" w:color="0000EE"/>
            </w:tcBorders>
            <w:gridSpan w:val="4"/>
            <w:shd w:val="clear" w:color="auto" w:fill="0000EE"/>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9"/>
        </w:trPr>
        <w:tc>
          <w:tcPr>
            <w:tcW w:w="1220" w:type="dxa"/>
            <w:vAlign w:val="bottom"/>
            <w:gridSpan w:val="3"/>
          </w:tcPr>
          <w:p>
            <w:pPr>
              <w:spacing w:after="0"/>
              <w:rPr>
                <w:rFonts w:ascii="Arial" w:cs="Arial" w:eastAsia="Arial" w:hAnsi="Arial"/>
                <w:sz w:val="20"/>
                <w:szCs w:val="20"/>
                <w:b w:val="1"/>
                <w:bCs w:val="1"/>
                <w:color w:val="0000EE"/>
              </w:rPr>
            </w:pPr>
            <w:hyperlink w:anchor="page18">
              <w:r>
                <w:rPr>
                  <w:rFonts w:ascii="Arial" w:cs="Arial" w:eastAsia="Arial" w:hAnsi="Arial"/>
                  <w:sz w:val="20"/>
                  <w:szCs w:val="20"/>
                  <w:b w:val="1"/>
                  <w:bCs w:val="1"/>
                  <w:color w:val="0000EE"/>
                </w:rPr>
                <w:t>Item 5.</w:t>
              </w:r>
            </w:hyperlink>
          </w:p>
        </w:tc>
        <w:tc>
          <w:tcPr>
            <w:tcW w:w="180" w:type="dxa"/>
            <w:vAlign w:val="bottom"/>
          </w:tcPr>
          <w:p>
            <w:pPr>
              <w:spacing w:after="0"/>
              <w:rPr>
                <w:sz w:val="24"/>
                <w:szCs w:val="24"/>
                <w:color w:val="auto"/>
              </w:rPr>
            </w:pPr>
          </w:p>
        </w:tc>
        <w:tc>
          <w:tcPr>
            <w:tcW w:w="9220" w:type="dxa"/>
            <w:vAlign w:val="bottom"/>
            <w:gridSpan w:val="8"/>
          </w:tcPr>
          <w:p>
            <w:pPr>
              <w:spacing w:after="0"/>
              <w:rPr>
                <w:rFonts w:ascii="Arial" w:cs="Arial" w:eastAsia="Arial" w:hAnsi="Arial"/>
                <w:sz w:val="20"/>
                <w:szCs w:val="20"/>
                <w:color w:val="0000EE"/>
              </w:rPr>
            </w:pPr>
            <w:hyperlink w:anchor="page18">
              <w:r>
                <w:rPr>
                  <w:rFonts w:ascii="Arial" w:cs="Arial" w:eastAsia="Arial" w:hAnsi="Arial"/>
                  <w:sz w:val="20"/>
                  <w:szCs w:val="20"/>
                  <w:color w:val="0000EE"/>
                </w:rPr>
                <w:t>Other Information</w:t>
              </w:r>
            </w:hyperlink>
          </w:p>
        </w:tc>
        <w:tc>
          <w:tcPr>
            <w:tcW w:w="200" w:type="dxa"/>
            <w:vAlign w:val="bottom"/>
            <w:gridSpan w:val="2"/>
          </w:tcPr>
          <w:p>
            <w:pPr>
              <w:jc w:val="right"/>
              <w:spacing w:after="0"/>
              <w:rPr>
                <w:rFonts w:ascii="Arial" w:cs="Arial" w:eastAsia="Arial" w:hAnsi="Arial"/>
                <w:sz w:val="20"/>
                <w:szCs w:val="20"/>
                <w:color w:val="0000EE"/>
                <w:w w:val="80"/>
              </w:rPr>
            </w:pPr>
            <w:hyperlink w:anchor="page18">
              <w:r>
                <w:rPr>
                  <w:rFonts w:ascii="Arial" w:cs="Arial" w:eastAsia="Arial" w:hAnsi="Arial"/>
                  <w:sz w:val="20"/>
                  <w:szCs w:val="20"/>
                  <w:color w:val="0000EE"/>
                  <w:w w:val="80"/>
                </w:rPr>
                <w:t>25</w:t>
              </w:r>
            </w:hyperlink>
          </w:p>
        </w:tc>
      </w:tr>
      <w:tr>
        <w:trPr>
          <w:trHeight w:val="20"/>
        </w:trPr>
        <w:tc>
          <w:tcPr>
            <w:tcW w:w="60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780" w:type="dxa"/>
            <w:vAlign w:val="bottom"/>
            <w:gridSpan w:val="5"/>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20" w:type="dxa"/>
            <w:vAlign w:val="bottom"/>
            <w:gridSpan w:val="3"/>
          </w:tcPr>
          <w:p>
            <w:pPr>
              <w:spacing w:after="0"/>
              <w:rPr>
                <w:rFonts w:ascii="Arial" w:cs="Arial" w:eastAsia="Arial" w:hAnsi="Arial"/>
                <w:sz w:val="20"/>
                <w:szCs w:val="20"/>
                <w:b w:val="1"/>
                <w:bCs w:val="1"/>
                <w:color w:val="0000EE"/>
              </w:rPr>
            </w:pPr>
            <w:hyperlink w:anchor="page19">
              <w:r>
                <w:rPr>
                  <w:rFonts w:ascii="Arial" w:cs="Arial" w:eastAsia="Arial" w:hAnsi="Arial"/>
                  <w:sz w:val="20"/>
                  <w:szCs w:val="20"/>
                  <w:b w:val="1"/>
                  <w:bCs w:val="1"/>
                  <w:color w:val="0000EE"/>
                </w:rPr>
                <w:t>Item 6.</w:t>
              </w:r>
            </w:hyperlink>
          </w:p>
        </w:tc>
        <w:tc>
          <w:tcPr>
            <w:tcW w:w="180" w:type="dxa"/>
            <w:vAlign w:val="bottom"/>
          </w:tcPr>
          <w:p>
            <w:pPr>
              <w:spacing w:after="0"/>
              <w:rPr>
                <w:sz w:val="24"/>
                <w:szCs w:val="24"/>
                <w:color w:val="auto"/>
              </w:rPr>
            </w:pPr>
          </w:p>
        </w:tc>
        <w:tc>
          <w:tcPr>
            <w:tcW w:w="9220" w:type="dxa"/>
            <w:vAlign w:val="bottom"/>
            <w:gridSpan w:val="8"/>
          </w:tcPr>
          <w:p>
            <w:pPr>
              <w:spacing w:after="0"/>
              <w:rPr>
                <w:rFonts w:ascii="Arial" w:cs="Arial" w:eastAsia="Arial" w:hAnsi="Arial"/>
                <w:sz w:val="20"/>
                <w:szCs w:val="20"/>
                <w:color w:val="0000EE"/>
              </w:rPr>
            </w:pPr>
            <w:hyperlink w:anchor="page19">
              <w:r>
                <w:rPr>
                  <w:rFonts w:ascii="Arial" w:cs="Arial" w:eastAsia="Arial" w:hAnsi="Arial"/>
                  <w:sz w:val="20"/>
                  <w:szCs w:val="20"/>
                  <w:color w:val="0000EE"/>
                </w:rPr>
                <w:t>Exhibits</w:t>
              </w:r>
            </w:hyperlink>
          </w:p>
        </w:tc>
        <w:tc>
          <w:tcPr>
            <w:tcW w:w="200" w:type="dxa"/>
            <w:vAlign w:val="bottom"/>
            <w:gridSpan w:val="2"/>
          </w:tcPr>
          <w:p>
            <w:pPr>
              <w:jc w:val="right"/>
              <w:spacing w:after="0"/>
              <w:rPr>
                <w:rFonts w:ascii="Arial" w:cs="Arial" w:eastAsia="Arial" w:hAnsi="Arial"/>
                <w:sz w:val="20"/>
                <w:szCs w:val="20"/>
                <w:color w:val="0000EE"/>
                <w:w w:val="80"/>
              </w:rPr>
            </w:pPr>
            <w:hyperlink w:anchor="page19">
              <w:r>
                <w:rPr>
                  <w:rFonts w:ascii="Arial" w:cs="Arial" w:eastAsia="Arial" w:hAnsi="Arial"/>
                  <w:sz w:val="20"/>
                  <w:szCs w:val="20"/>
                  <w:color w:val="0000EE"/>
                  <w:w w:val="80"/>
                </w:rPr>
                <w:t>26</w:t>
              </w:r>
            </w:hyperlink>
          </w:p>
        </w:tc>
      </w:tr>
      <w:tr>
        <w:trPr>
          <w:trHeight w:val="20"/>
        </w:trPr>
        <w:tc>
          <w:tcPr>
            <w:tcW w:w="6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380" w:type="dxa"/>
            <w:vAlign w:val="bottom"/>
            <w:gridSpan w:val="6"/>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spacing w:after="0"/>
              <w:rPr>
                <w:rFonts w:ascii="Arial" w:cs="Arial" w:eastAsia="Arial" w:hAnsi="Arial"/>
                <w:sz w:val="20"/>
                <w:szCs w:val="20"/>
                <w:color w:val="0000EE"/>
                <w:w w:val="85"/>
              </w:rPr>
            </w:pPr>
            <w:hyperlink w:anchor="page19">
              <w:r>
                <w:rPr>
                  <w:rFonts w:ascii="Arial" w:cs="Arial" w:eastAsia="Arial" w:hAnsi="Arial"/>
                  <w:sz w:val="20"/>
                  <w:szCs w:val="20"/>
                  <w:color w:val="0000EE"/>
                  <w:w w:val="85"/>
                </w:rPr>
                <w:t>Signatures</w:t>
              </w:r>
            </w:hyperlink>
          </w:p>
        </w:tc>
        <w:tc>
          <w:tcPr>
            <w:tcW w:w="8380" w:type="dxa"/>
            <w:vAlign w:val="bottom"/>
            <w:gridSpan w:val="6"/>
          </w:tcPr>
          <w:p>
            <w:pPr>
              <w:spacing w:after="0"/>
              <w:rPr>
                <w:sz w:val="24"/>
                <w:szCs w:val="24"/>
                <w:color w:val="auto"/>
              </w:rPr>
            </w:pPr>
          </w:p>
        </w:tc>
        <w:tc>
          <w:tcPr>
            <w:tcW w:w="200" w:type="dxa"/>
            <w:vAlign w:val="bottom"/>
            <w:gridSpan w:val="2"/>
          </w:tcPr>
          <w:p>
            <w:pPr>
              <w:jc w:val="right"/>
              <w:spacing w:after="0"/>
              <w:rPr>
                <w:rFonts w:ascii="Arial" w:cs="Arial" w:eastAsia="Arial" w:hAnsi="Arial"/>
                <w:sz w:val="20"/>
                <w:szCs w:val="20"/>
                <w:color w:val="0000EE"/>
                <w:w w:val="80"/>
              </w:rPr>
            </w:pPr>
            <w:hyperlink w:anchor="page19">
              <w:r>
                <w:rPr>
                  <w:rFonts w:ascii="Arial" w:cs="Arial" w:eastAsia="Arial" w:hAnsi="Arial"/>
                  <w:sz w:val="20"/>
                  <w:szCs w:val="20"/>
                  <w:color w:val="0000EE"/>
                  <w:w w:val="80"/>
                </w:rPr>
                <w:t>27</w:t>
              </w:r>
            </w:hyperlink>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PART I. ITEM 1. FINANCIAL INFORMATION</w:t>
      </w:r>
    </w:p>
    <w:p>
      <w:pPr>
        <w:spacing w:after="0" w:line="276" w:lineRule="exact"/>
        <w:rPr>
          <w:sz w:val="20"/>
          <w:szCs w:val="20"/>
          <w:color w:val="auto"/>
        </w:rPr>
      </w:pPr>
    </w:p>
    <w:p>
      <w:pPr>
        <w:jc w:val="center"/>
        <w:spacing w:after="0" w:line="280" w:lineRule="auto"/>
        <w:rPr>
          <w:sz w:val="20"/>
          <w:szCs w:val="20"/>
          <w:color w:val="auto"/>
        </w:rPr>
      </w:pPr>
      <w:r>
        <w:rPr>
          <w:rFonts w:ascii="Arial" w:cs="Arial" w:eastAsia="Arial" w:hAnsi="Arial"/>
          <w:sz w:val="22"/>
          <w:szCs w:val="22"/>
          <w:b w:val="1"/>
          <w:bCs w:val="1"/>
          <w:color w:val="auto"/>
        </w:rPr>
        <w:t>THE TORO COMPANY AND SUBSIDIARIES Condensed Consolidated Statements of Earnings (Unaudited) (Dollars and shares in thousands, except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80" w:type="dxa"/>
            <w:vAlign w:val="bottom"/>
            <w:gridSpan w:val="6"/>
          </w:tcPr>
          <w:p>
            <w:pPr>
              <w:jc w:val="right"/>
              <w:ind w:right="680"/>
              <w:spacing w:after="0"/>
              <w:rPr>
                <w:sz w:val="20"/>
                <w:szCs w:val="20"/>
                <w:color w:val="auto"/>
              </w:rPr>
            </w:pPr>
            <w:r>
              <w:rPr>
                <w:rFonts w:ascii="Arial" w:cs="Arial" w:eastAsia="Arial" w:hAnsi="Arial"/>
                <w:sz w:val="20"/>
                <w:szCs w:val="20"/>
                <w:color w:val="auto"/>
              </w:rPr>
              <w:t>Three Months Ended</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20" w:type="dxa"/>
            <w:vAlign w:val="bottom"/>
            <w:gridSpan w:val="6"/>
          </w:tcPr>
          <w:p>
            <w:pPr>
              <w:jc w:val="right"/>
              <w:ind w:right="680"/>
              <w:spacing w:after="0"/>
              <w:rPr>
                <w:sz w:val="20"/>
                <w:szCs w:val="20"/>
                <w:color w:val="auto"/>
              </w:rPr>
            </w:pPr>
            <w:r>
              <w:rPr>
                <w:rFonts w:ascii="Arial" w:cs="Arial" w:eastAsia="Arial" w:hAnsi="Arial"/>
                <w:sz w:val="20"/>
                <w:szCs w:val="20"/>
                <w:color w:val="auto"/>
              </w:rPr>
              <w:t>Nine Months Ended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460"/>
              <w:spacing w:after="0" w:line="207" w:lineRule="exact"/>
              <w:rPr>
                <w:sz w:val="20"/>
                <w:szCs w:val="20"/>
                <w:color w:val="auto"/>
              </w:rPr>
            </w:pPr>
            <w:r>
              <w:rPr>
                <w:rFonts w:ascii="Arial" w:cs="Arial" w:eastAsia="Arial" w:hAnsi="Arial"/>
                <w:sz w:val="20"/>
                <w:szCs w:val="20"/>
                <w:color w:val="auto"/>
              </w:rPr>
              <w:t>July 29,</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221"/>
              <w:spacing w:after="0" w:line="207" w:lineRule="exact"/>
              <w:rPr>
                <w:sz w:val="20"/>
                <w:szCs w:val="20"/>
                <w:color w:val="auto"/>
              </w:rPr>
            </w:pPr>
            <w:r>
              <w:rPr>
                <w:rFonts w:ascii="Arial" w:cs="Arial" w:eastAsia="Arial" w:hAnsi="Arial"/>
                <w:sz w:val="20"/>
                <w:szCs w:val="20"/>
                <w:color w:val="auto"/>
              </w:rPr>
              <w:t>July 30,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460"/>
              <w:spacing w:after="0" w:line="207" w:lineRule="exact"/>
              <w:rPr>
                <w:sz w:val="20"/>
                <w:szCs w:val="20"/>
                <w:color w:val="auto"/>
              </w:rPr>
            </w:pPr>
            <w:r>
              <w:rPr>
                <w:rFonts w:ascii="Arial" w:cs="Arial" w:eastAsia="Arial" w:hAnsi="Arial"/>
                <w:sz w:val="20"/>
                <w:szCs w:val="20"/>
                <w:color w:val="auto"/>
              </w:rPr>
              <w:t>July 29,</w:t>
            </w: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221"/>
              <w:spacing w:after="0" w:line="207" w:lineRule="exact"/>
              <w:rPr>
                <w:sz w:val="20"/>
                <w:szCs w:val="20"/>
                <w:color w:val="auto"/>
              </w:rPr>
            </w:pPr>
            <w:r>
              <w:rPr>
                <w:rFonts w:ascii="Arial" w:cs="Arial" w:eastAsia="Arial" w:hAnsi="Arial"/>
                <w:sz w:val="20"/>
                <w:szCs w:val="20"/>
                <w:color w:val="auto"/>
              </w:rPr>
              <w:t>July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2005</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2004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2005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2004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20"/>
                <w:szCs w:val="20"/>
                <w:color w:val="auto"/>
              </w:rPr>
              <w:t>Net sales</w:t>
            </w:r>
          </w:p>
        </w:tc>
        <w:tc>
          <w:tcPr>
            <w:tcW w:w="2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466,942</w:t>
            </w:r>
          </w:p>
        </w:tc>
        <w:tc>
          <w:tcPr>
            <w:tcW w:w="280" w:type="dxa"/>
            <w:vAlign w:val="bottom"/>
            <w:gridSpan w:val="2"/>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454,044</w:t>
            </w:r>
          </w:p>
        </w:tc>
        <w:tc>
          <w:tcPr>
            <w:tcW w:w="30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1,442,296</w:t>
            </w:r>
          </w:p>
        </w:tc>
        <w:tc>
          <w:tcPr>
            <w:tcW w:w="1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1,315,644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20"/>
                <w:szCs w:val="20"/>
                <w:color w:val="auto"/>
              </w:rPr>
              <w:t>Cost of sales</w:t>
            </w: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20"/>
                <w:szCs w:val="20"/>
                <w:color w:val="auto"/>
              </w:rPr>
              <w:t>303,681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20"/>
                <w:szCs w:val="20"/>
                <w:color w:val="auto"/>
              </w:rPr>
              <w:t>289,842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20"/>
                <w:szCs w:val="20"/>
                <w:color w:val="auto"/>
              </w:rPr>
              <w:t>940,729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20"/>
                <w:szCs w:val="20"/>
                <w:color w:val="auto"/>
              </w:rPr>
              <w:t>839,953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tcBorders>
            <w:shd w:val="clear" w:color="auto" w:fill="CCEEFF"/>
          </w:tcPr>
          <w:p>
            <w:pPr>
              <w:ind w:left="160"/>
              <w:spacing w:after="0" w:line="223" w:lineRule="exact"/>
              <w:rPr>
                <w:sz w:val="20"/>
                <w:szCs w:val="20"/>
                <w:color w:val="auto"/>
              </w:rPr>
            </w:pPr>
            <w:r>
              <w:rPr>
                <w:rFonts w:ascii="Arial" w:cs="Arial" w:eastAsia="Arial" w:hAnsi="Arial"/>
                <w:sz w:val="20"/>
                <w:szCs w:val="20"/>
                <w:color w:val="auto"/>
              </w:rPr>
              <w:t>Gross profit</w:t>
            </w:r>
          </w:p>
        </w:tc>
        <w:tc>
          <w:tcPr>
            <w:tcW w:w="2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163,261</w:t>
            </w: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164,202</w:t>
            </w: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501,567</w:t>
            </w: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475,691</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20"/>
                <w:szCs w:val="20"/>
                <w:color w:val="auto"/>
              </w:rPr>
              <w:t>Selling, general, and administrative expense</w:t>
            </w: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20"/>
                <w:szCs w:val="20"/>
                <w:color w:val="auto"/>
              </w:rPr>
              <w:t>108,595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20"/>
                <w:szCs w:val="20"/>
                <w:color w:val="auto"/>
              </w:rPr>
              <w:t>111,468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20"/>
                <w:szCs w:val="20"/>
                <w:color w:val="auto"/>
              </w:rPr>
              <w:t>330,376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20"/>
                <w:szCs w:val="20"/>
                <w:color w:val="auto"/>
              </w:rPr>
              <w:t>324,630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tcBorders>
            <w:shd w:val="clear" w:color="auto" w:fill="CCEEFF"/>
          </w:tcPr>
          <w:p>
            <w:pPr>
              <w:ind w:left="160"/>
              <w:spacing w:after="0" w:line="223" w:lineRule="exact"/>
              <w:rPr>
                <w:sz w:val="20"/>
                <w:szCs w:val="20"/>
                <w:color w:val="auto"/>
              </w:rPr>
            </w:pPr>
            <w:r>
              <w:rPr>
                <w:rFonts w:ascii="Arial" w:cs="Arial" w:eastAsia="Arial" w:hAnsi="Arial"/>
                <w:sz w:val="20"/>
                <w:szCs w:val="20"/>
                <w:color w:val="auto"/>
              </w:rPr>
              <w:t>Earnings from operations</w:t>
            </w:r>
          </w:p>
        </w:tc>
        <w:tc>
          <w:tcPr>
            <w:tcW w:w="2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54,666</w:t>
            </w: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52,734</w:t>
            </w: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171,191</w:t>
            </w: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151,061</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20"/>
                <w:szCs w:val="20"/>
                <w:color w:val="auto"/>
              </w:rPr>
              <w:t>Interest expense</w:t>
            </w:r>
          </w:p>
        </w:tc>
        <w:tc>
          <w:tcPr>
            <w:tcW w:w="20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20"/>
                <w:szCs w:val="20"/>
                <w:color w:val="auto"/>
              </w:rPr>
              <w:t>(4,820)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20"/>
                <w:szCs w:val="20"/>
                <w:color w:val="auto"/>
              </w:rPr>
              <w:t>(3,893)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20"/>
                <w:szCs w:val="20"/>
                <w:color w:val="auto"/>
              </w:rPr>
              <w:t>(13,453)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20"/>
                <w:szCs w:val="20"/>
                <w:color w:val="auto"/>
              </w:rPr>
              <w:t>(11,477)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20"/>
                <w:szCs w:val="20"/>
                <w:color w:val="auto"/>
              </w:rPr>
              <w:t>Other income, net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642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1,533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2,725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3,307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340"/>
              <w:spacing w:after="0" w:line="223" w:lineRule="exact"/>
              <w:rPr>
                <w:sz w:val="20"/>
                <w:szCs w:val="20"/>
                <w:color w:val="auto"/>
              </w:rPr>
            </w:pPr>
            <w:r>
              <w:rPr>
                <w:rFonts w:ascii="Arial" w:cs="Arial" w:eastAsia="Arial" w:hAnsi="Arial"/>
                <w:sz w:val="20"/>
                <w:szCs w:val="20"/>
                <w:color w:val="auto"/>
              </w:rPr>
              <w:t>Earnings before income taxes</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0"/>
                <w:szCs w:val="20"/>
                <w:color w:val="auto"/>
              </w:rPr>
              <w:t>50,488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0"/>
                <w:szCs w:val="20"/>
                <w:color w:val="auto"/>
              </w:rPr>
              <w:t>50,374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0"/>
                <w:szCs w:val="20"/>
                <w:color w:val="auto"/>
              </w:rPr>
              <w:t>160,463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0"/>
                <w:szCs w:val="20"/>
                <w:color w:val="auto"/>
              </w:rPr>
              <w:t>142,891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20"/>
                <w:szCs w:val="20"/>
                <w:color w:val="auto"/>
              </w:rPr>
              <w:t>Provision for income taxes</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16,111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16,161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52,953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47,154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Borders>
              <w:bottom w:val="single" w:sz="8" w:color="CCEEFF"/>
            </w:tcBorders>
          </w:tcPr>
          <w:p>
            <w:pPr>
              <w:ind w:left="160"/>
              <w:spacing w:after="0" w:line="223" w:lineRule="exact"/>
              <w:rPr>
                <w:sz w:val="20"/>
                <w:szCs w:val="20"/>
                <w:color w:val="auto"/>
              </w:rPr>
            </w:pPr>
            <w:r>
              <w:rPr>
                <w:rFonts w:ascii="Arial" w:cs="Arial" w:eastAsia="Arial" w:hAnsi="Arial"/>
                <w:sz w:val="20"/>
                <w:szCs w:val="20"/>
                <w:color w:val="auto"/>
              </w:rPr>
              <w:t>Net earnings</w:t>
            </w:r>
          </w:p>
        </w:tc>
        <w:tc>
          <w:tcPr>
            <w:tcW w:w="200" w:type="dxa"/>
            <w:vAlign w:val="bottom"/>
            <w:tcBorders>
              <w:top w:val="single" w:sz="8" w:color="auto"/>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34,377</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w w:val="71"/>
              </w:rPr>
              <w:t>$</w:t>
            </w:r>
          </w:p>
        </w:tc>
        <w:tc>
          <w:tcPr>
            <w:tcW w:w="106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34,213</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107,510</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95,737</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20"/>
                <w:szCs w:val="20"/>
                <w:color w:val="auto"/>
              </w:rPr>
              <w:t>Basic net earnings per share of common stock</w:t>
            </w:r>
          </w:p>
        </w:tc>
        <w:tc>
          <w:tcPr>
            <w:tcW w:w="200" w:type="dxa"/>
            <w:vAlign w:val="bottom"/>
          </w:tcPr>
          <w:p>
            <w:pPr>
              <w:jc w:val="right"/>
              <w:ind w:right="1"/>
              <w:spacing w:after="0"/>
              <w:rPr>
                <w:sz w:val="20"/>
                <w:szCs w:val="20"/>
                <w:color w:val="auto"/>
              </w:rPr>
            </w:pPr>
            <w:r>
              <w:rPr>
                <w:rFonts w:ascii="Arial" w:cs="Arial" w:eastAsia="Arial" w:hAnsi="Arial"/>
                <w:sz w:val="20"/>
                <w:szCs w:val="20"/>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20"/>
                <w:szCs w:val="20"/>
                <w:color w:val="auto"/>
              </w:rPr>
              <w:t>0.77</w:t>
            </w:r>
          </w:p>
        </w:tc>
        <w:tc>
          <w:tcPr>
            <w:tcW w:w="280" w:type="dxa"/>
            <w:vAlign w:val="bottom"/>
            <w:gridSpan w:val="2"/>
          </w:tcPr>
          <w:p>
            <w:pPr>
              <w:jc w:val="right"/>
              <w:ind w:right="1"/>
              <w:spacing w:after="0"/>
              <w:rPr>
                <w:sz w:val="20"/>
                <w:szCs w:val="20"/>
                <w:color w:val="auto"/>
              </w:rPr>
            </w:pPr>
            <w:r>
              <w:rPr>
                <w:rFonts w:ascii="Arial" w:cs="Arial" w:eastAsia="Arial" w:hAnsi="Arial"/>
                <w:sz w:val="20"/>
                <w:szCs w:val="20"/>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20"/>
                <w:szCs w:val="20"/>
                <w:color w:val="auto"/>
              </w:rPr>
              <w:t>0.70</w:t>
            </w:r>
          </w:p>
        </w:tc>
        <w:tc>
          <w:tcPr>
            <w:tcW w:w="30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20"/>
                <w:szCs w:val="20"/>
                <w:color w:val="auto"/>
              </w:rPr>
              <w:t>2.38</w:t>
            </w:r>
          </w:p>
        </w:tc>
        <w:tc>
          <w:tcPr>
            <w:tcW w:w="30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20"/>
                <w:szCs w:val="20"/>
                <w:color w:val="auto"/>
              </w:rPr>
              <w:t>1.94</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6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20"/>
                <w:szCs w:val="20"/>
                <w:color w:val="auto"/>
              </w:rPr>
              <w:t>Diluted net earnings per share of common stock</w:t>
            </w:r>
          </w:p>
        </w:tc>
        <w:tc>
          <w:tcPr>
            <w:tcW w:w="200" w:type="dxa"/>
            <w:vAlign w:val="bottom"/>
          </w:tcPr>
          <w:p>
            <w:pPr>
              <w:jc w:val="right"/>
              <w:ind w:right="1"/>
              <w:spacing w:after="0"/>
              <w:rPr>
                <w:sz w:val="20"/>
                <w:szCs w:val="20"/>
                <w:color w:val="auto"/>
              </w:rPr>
            </w:pPr>
            <w:r>
              <w:rPr>
                <w:rFonts w:ascii="Arial" w:cs="Arial" w:eastAsia="Arial" w:hAnsi="Arial"/>
                <w:sz w:val="20"/>
                <w:szCs w:val="20"/>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20"/>
                <w:szCs w:val="20"/>
                <w:color w:val="auto"/>
              </w:rPr>
              <w:t>0.74</w:t>
            </w:r>
          </w:p>
        </w:tc>
        <w:tc>
          <w:tcPr>
            <w:tcW w:w="280" w:type="dxa"/>
            <w:vAlign w:val="bottom"/>
            <w:gridSpan w:val="2"/>
          </w:tcPr>
          <w:p>
            <w:pPr>
              <w:jc w:val="right"/>
              <w:ind w:right="1"/>
              <w:spacing w:after="0"/>
              <w:rPr>
                <w:sz w:val="20"/>
                <w:szCs w:val="20"/>
                <w:color w:val="auto"/>
              </w:rPr>
            </w:pPr>
            <w:r>
              <w:rPr>
                <w:rFonts w:ascii="Arial" w:cs="Arial" w:eastAsia="Arial" w:hAnsi="Arial"/>
                <w:sz w:val="20"/>
                <w:szCs w:val="20"/>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20"/>
                <w:szCs w:val="20"/>
                <w:color w:val="auto"/>
              </w:rPr>
              <w:t>0.66</w:t>
            </w:r>
          </w:p>
        </w:tc>
        <w:tc>
          <w:tcPr>
            <w:tcW w:w="30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20"/>
                <w:szCs w:val="20"/>
                <w:color w:val="auto"/>
              </w:rPr>
              <w:t>2.29</w:t>
            </w:r>
          </w:p>
        </w:tc>
        <w:tc>
          <w:tcPr>
            <w:tcW w:w="30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20"/>
                <w:szCs w:val="20"/>
                <w:color w:val="auto"/>
              </w:rPr>
              <w:t>1.84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line="213" w:lineRule="exact"/>
              <w:rPr>
                <w:sz w:val="20"/>
                <w:szCs w:val="20"/>
                <w:color w:val="auto"/>
              </w:rPr>
            </w:pPr>
            <w:r>
              <w:rPr>
                <w:rFonts w:ascii="Arial" w:cs="Arial" w:eastAsia="Arial" w:hAnsi="Arial"/>
                <w:sz w:val="20"/>
                <w:szCs w:val="20"/>
                <w:color w:val="auto"/>
                <w:w w:val="94"/>
              </w:rPr>
              <w:t>Weighted average number of shares of common stock outstanding</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 Basic</w:t>
            </w: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44,494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48,738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45,121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49,396</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line="213" w:lineRule="exact"/>
              <w:rPr>
                <w:sz w:val="20"/>
                <w:szCs w:val="20"/>
                <w:color w:val="auto"/>
              </w:rPr>
            </w:pPr>
            <w:r>
              <w:rPr>
                <w:rFonts w:ascii="Arial" w:cs="Arial" w:eastAsia="Arial" w:hAnsi="Arial"/>
                <w:sz w:val="20"/>
                <w:szCs w:val="20"/>
                <w:color w:val="auto"/>
                <w:w w:val="94"/>
              </w:rPr>
              <w:t>Weighted average number of shares of common stock outstanding</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 Dilutive</w:t>
            </w: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46,438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51,587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46,966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52,043</w:t>
            </w: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Shares and per share data have been adjusted for all periods presented to reflect a two-for-one stock split effective March 28, 2005.</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THE TORO COMPANY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Condensed Consolidated Balance Sheets (Unaudited)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(Dollars in thousands, except per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ind w:left="100"/>
              <w:spacing w:after="0"/>
              <w:rPr>
                <w:sz w:val="20"/>
                <w:szCs w:val="20"/>
                <w:color w:val="auto"/>
              </w:rPr>
            </w:pPr>
            <w:r>
              <w:rPr>
                <w:rFonts w:ascii="Arial" w:cs="Arial" w:eastAsia="Arial" w:hAnsi="Arial"/>
                <w:sz w:val="20"/>
                <w:szCs w:val="20"/>
                <w:color w:val="auto"/>
              </w:rPr>
              <w:t>July 29,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ind w:left="120"/>
              <w:spacing w:after="0"/>
              <w:rPr>
                <w:sz w:val="20"/>
                <w:szCs w:val="20"/>
                <w:color w:val="auto"/>
              </w:rPr>
            </w:pPr>
            <w:r>
              <w:rPr>
                <w:rFonts w:ascii="Arial" w:cs="Arial" w:eastAsia="Arial" w:hAnsi="Arial"/>
                <w:sz w:val="20"/>
                <w:szCs w:val="20"/>
                <w:color w:val="auto"/>
              </w:rPr>
              <w:t>July 30,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20"/>
                <w:szCs w:val="20"/>
                <w:color w:val="auto"/>
              </w:rPr>
              <w:t>October 31,</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62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2005</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2004</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2004</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60" w:type="dxa"/>
            <w:vAlign w:val="bottom"/>
            <w:gridSpan w:val="2"/>
            <w:shd w:val="clear" w:color="auto" w:fill="CCEEFF"/>
          </w:tcPr>
          <w:p>
            <w:pPr>
              <w:spacing w:after="0" w:line="169" w:lineRule="exact"/>
              <w:rPr>
                <w:sz w:val="20"/>
                <w:szCs w:val="20"/>
                <w:color w:val="auto"/>
              </w:rPr>
            </w:pPr>
            <w:r>
              <w:rPr>
                <w:rFonts w:ascii="Arial" w:cs="Arial" w:eastAsia="Arial" w:hAnsi="Arial"/>
                <w:sz w:val="19"/>
                <w:szCs w:val="19"/>
                <w:color w:val="auto"/>
              </w:rPr>
              <w:t>ASSETS</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6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60" w:type="dxa"/>
            <w:vAlign w:val="bottom"/>
            <w:gridSpan w:val="2"/>
          </w:tcPr>
          <w:p>
            <w:pPr>
              <w:spacing w:after="0"/>
              <w:rPr>
                <w:sz w:val="20"/>
                <w:szCs w:val="20"/>
                <w:color w:val="auto"/>
              </w:rPr>
            </w:pPr>
            <w:r>
              <w:rPr>
                <w:rFonts w:ascii="Arial" w:cs="Arial" w:eastAsia="Arial" w:hAnsi="Arial"/>
                <w:sz w:val="20"/>
                <w:szCs w:val="20"/>
                <w:color w:val="auto"/>
              </w:rPr>
              <w:t>Cash and cash equivalents</w:t>
            </w:r>
          </w:p>
        </w:tc>
        <w:tc>
          <w:tcPr>
            <w:tcW w:w="200" w:type="dxa"/>
            <w:vAlign w:val="bottom"/>
          </w:tcPr>
          <w:p>
            <w:pPr>
              <w:jc w:val="right"/>
              <w:ind w:right="1"/>
              <w:spacing w:after="0"/>
              <w:rPr>
                <w:sz w:val="20"/>
                <w:szCs w:val="20"/>
                <w:color w:val="auto"/>
              </w:rPr>
            </w:pPr>
            <w:r>
              <w:rPr>
                <w:rFonts w:ascii="Arial" w:cs="Arial" w:eastAsia="Arial" w:hAnsi="Arial"/>
                <w:sz w:val="20"/>
                <w:szCs w:val="20"/>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20"/>
                <w:szCs w:val="20"/>
                <w:color w:val="auto"/>
              </w:rPr>
              <w:t>34,665</w:t>
            </w:r>
          </w:p>
        </w:tc>
        <w:tc>
          <w:tcPr>
            <w:tcW w:w="3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20"/>
                <w:szCs w:val="20"/>
                <w:color w:val="auto"/>
              </w:rPr>
              <w:t>34,022</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20"/>
                <w:szCs w:val="20"/>
                <w:color w:val="auto"/>
              </w:rPr>
              <w:t>90,756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Receivables, net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399,883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381,329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285,736</w:t>
            </w:r>
          </w:p>
        </w:tc>
        <w:tc>
          <w:tcPr>
            <w:tcW w:w="0" w:type="dxa"/>
            <w:vAlign w:val="bottom"/>
          </w:tcPr>
          <w:p>
            <w:pPr>
              <w:spacing w:after="0"/>
              <w:rPr>
                <w:sz w:val="1"/>
                <w:szCs w:val="1"/>
                <w:color w:val="auto"/>
              </w:rPr>
            </w:pPr>
          </w:p>
        </w:tc>
      </w:tr>
    </w:tbl>
    <w:p>
      <w:pPr>
        <w:sectPr>
          <w:pgSz w:w="11900" w:h="16838" w:orient="portrait"/>
          <w:cols w:equalWidth="0" w:num="1">
            <w:col w:w="11420"/>
          </w:cols>
          <w:pgMar w:left="240" w:top="99"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980" w:type="dxa"/>
            <w:vAlign w:val="bottom"/>
            <w:gridSpan w:val="3"/>
          </w:tcPr>
          <w:p>
            <w:pPr>
              <w:spacing w:after="0"/>
              <w:rPr>
                <w:sz w:val="20"/>
                <w:szCs w:val="20"/>
                <w:color w:val="auto"/>
              </w:rPr>
            </w:pPr>
            <w:r>
              <w:rPr>
                <w:rFonts w:ascii="Arial" w:cs="Arial" w:eastAsia="Arial" w:hAnsi="Arial"/>
                <w:sz w:val="20"/>
                <w:szCs w:val="20"/>
                <w:color w:val="auto"/>
              </w:rPr>
              <w:t>Inventories, net</w:t>
            </w:r>
          </w:p>
        </w:tc>
        <w:tc>
          <w:tcPr>
            <w:tcW w:w="28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20"/>
                <w:szCs w:val="20"/>
                <w:color w:val="auto"/>
              </w:rPr>
              <w:t>235,146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20"/>
                <w:szCs w:val="20"/>
                <w:color w:val="auto"/>
              </w:rPr>
              <w:t>217,357</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20"/>
                <w:szCs w:val="20"/>
                <w:color w:val="auto"/>
              </w:rPr>
              <w:t>227,200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Prepaid expenses and other current assets</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14,142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20"/>
                <w:szCs w:val="20"/>
                <w:color w:val="auto"/>
              </w:rPr>
              <w:t>13,968</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16,931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Arial" w:cs="Arial" w:eastAsia="Arial" w:hAnsi="Arial"/>
                <w:sz w:val="20"/>
                <w:szCs w:val="20"/>
                <w:color w:val="auto"/>
              </w:rPr>
              <w:t>Deferred income taxes</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20"/>
                <w:szCs w:val="20"/>
                <w:color w:val="auto"/>
              </w:rPr>
              <w:t>57,526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20"/>
                <w:szCs w:val="20"/>
                <w:color w:val="auto"/>
              </w:rPr>
              <w:t>49,103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20"/>
                <w:szCs w:val="20"/>
                <w:color w:val="auto"/>
              </w:rPr>
              <w:t>44,552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Borders>
              <w:top w:val="single" w:sz="8" w:color="CCEEFF"/>
            </w:tcBorders>
            <w:gridSpan w:val="2"/>
            <w:shd w:val="clear" w:color="auto" w:fill="CCEEFF"/>
          </w:tcPr>
          <w:p>
            <w:pPr>
              <w:ind w:left="340"/>
              <w:spacing w:after="0" w:line="223" w:lineRule="exact"/>
              <w:rPr>
                <w:sz w:val="20"/>
                <w:szCs w:val="20"/>
                <w:color w:val="auto"/>
              </w:rPr>
            </w:pPr>
            <w:r>
              <w:rPr>
                <w:rFonts w:ascii="Arial" w:cs="Arial" w:eastAsia="Arial" w:hAnsi="Arial"/>
                <w:sz w:val="20"/>
                <w:szCs w:val="20"/>
                <w:color w:val="auto"/>
              </w:rPr>
              <w:t>Total current assets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741,362</w:t>
            </w: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695,779</w:t>
            </w:r>
          </w:p>
        </w:tc>
        <w:tc>
          <w:tcPr>
            <w:tcW w:w="2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665,175</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0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Property, plant, and equipment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495,674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20"/>
                <w:szCs w:val="20"/>
                <w:color w:val="auto"/>
              </w:rPr>
              <w:t>468,104</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476,117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gridSpan w:val="2"/>
          </w:tcPr>
          <w:p>
            <w:pPr>
              <w:ind w:left="340"/>
              <w:spacing w:after="0"/>
              <w:rPr>
                <w:sz w:val="20"/>
                <w:szCs w:val="20"/>
                <w:color w:val="auto"/>
              </w:rPr>
            </w:pPr>
            <w:r>
              <w:rPr>
                <w:rFonts w:ascii="Arial" w:cs="Arial" w:eastAsia="Arial" w:hAnsi="Arial"/>
                <w:sz w:val="20"/>
                <w:szCs w:val="20"/>
                <w:color w:val="auto"/>
              </w:rPr>
              <w:t>Less accumulated depreciation</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20"/>
                <w:szCs w:val="20"/>
                <w:color w:val="auto"/>
              </w:rPr>
              <w:t>328,784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20"/>
                <w:szCs w:val="20"/>
                <w:color w:val="auto"/>
              </w:rPr>
              <w:t>303,253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20"/>
                <w:szCs w:val="20"/>
                <w:color w:val="auto"/>
              </w:rPr>
              <w:t>311,452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top w:val="single" w:sz="8" w:color="CCEEFF"/>
            </w:tcBorders>
            <w:shd w:val="clear" w:color="auto" w:fill="CCEEFF"/>
          </w:tcPr>
          <w:p>
            <w:pPr>
              <w:spacing w:after="0"/>
              <w:rPr>
                <w:sz w:val="19"/>
                <w:szCs w:val="19"/>
                <w:color w:val="auto"/>
              </w:rPr>
            </w:pPr>
          </w:p>
        </w:tc>
        <w:tc>
          <w:tcPr>
            <w:tcW w:w="29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166,890</w:t>
            </w: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164,851</w:t>
            </w:r>
          </w:p>
        </w:tc>
        <w:tc>
          <w:tcPr>
            <w:tcW w:w="2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164,665</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0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Deferred income taxes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20"/>
                <w:szCs w:val="20"/>
                <w:color w:val="auto"/>
              </w:rPr>
              <w:t>1,181</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Arial" w:cs="Arial" w:eastAsia="Arial" w:hAnsi="Arial"/>
                <w:sz w:val="20"/>
                <w:szCs w:val="20"/>
                <w:color w:val="auto"/>
              </w:rPr>
              <w:t>Other assets</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20"/>
                <w:szCs w:val="20"/>
                <w:color w:val="auto"/>
              </w:rPr>
              <w:t>17,161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20"/>
                <w:szCs w:val="20"/>
                <w:color w:val="auto"/>
              </w:rPr>
              <w:t>18,581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20"/>
                <w:szCs w:val="20"/>
                <w:color w:val="auto"/>
              </w:rPr>
              <w:t>18,652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Goodwill</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81,475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20"/>
                <w:szCs w:val="20"/>
                <w:color w:val="auto"/>
              </w:rPr>
              <w:t>78,004</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78,055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Arial" w:cs="Arial" w:eastAsia="Arial" w:hAnsi="Arial"/>
                <w:sz w:val="20"/>
                <w:szCs w:val="20"/>
                <w:color w:val="auto"/>
              </w:rPr>
              <w:t>Other intangible assets, net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20"/>
                <w:szCs w:val="20"/>
                <w:color w:val="auto"/>
              </w:rPr>
              <w:t>5,611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20"/>
                <w:szCs w:val="20"/>
                <w:color w:val="auto"/>
              </w:rPr>
              <w:t>2,357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20"/>
                <w:szCs w:val="20"/>
                <w:color w:val="auto"/>
              </w:rPr>
              <w:t>2,200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tcBorders>
              <w:top w:val="single" w:sz="8" w:color="CCEEFF"/>
              <w:bottom w:val="single" w:sz="8" w:color="CCEEFF"/>
            </w:tcBorders>
            <w:gridSpan w:val="2"/>
            <w:shd w:val="clear" w:color="auto" w:fill="CCEEFF"/>
          </w:tcPr>
          <w:p>
            <w:pPr>
              <w:ind w:left="340"/>
              <w:spacing w:after="0" w:line="223" w:lineRule="exact"/>
              <w:rPr>
                <w:sz w:val="20"/>
                <w:szCs w:val="20"/>
                <w:color w:val="auto"/>
              </w:rPr>
            </w:pPr>
            <w:r>
              <w:rPr>
                <w:rFonts w:ascii="Arial" w:cs="Arial" w:eastAsia="Arial" w:hAnsi="Arial"/>
                <w:sz w:val="20"/>
                <w:szCs w:val="20"/>
                <w:color w:val="auto"/>
              </w:rPr>
              <w:t>Total assets</w:t>
            </w:r>
          </w:p>
        </w:tc>
        <w:tc>
          <w:tcPr>
            <w:tcW w:w="280" w:type="dxa"/>
            <w:vAlign w:val="bottom"/>
            <w:tcBorders>
              <w:top w:val="single" w:sz="8" w:color="auto"/>
              <w:bottom w:val="single" w:sz="8" w:color="auto"/>
            </w:tcBorders>
            <w:shd w:val="clear" w:color="auto" w:fill="CCEEFF"/>
          </w:tcPr>
          <w:p>
            <w:pPr>
              <w:jc w:val="right"/>
              <w:ind w:right="81"/>
              <w:spacing w:after="0" w:line="223" w:lineRule="exact"/>
              <w:rPr>
                <w:sz w:val="20"/>
                <w:szCs w:val="20"/>
                <w:color w:val="auto"/>
              </w:rPr>
            </w:pPr>
            <w:r>
              <w:rPr>
                <w:rFonts w:ascii="Arial" w:cs="Arial" w:eastAsia="Arial" w:hAnsi="Arial"/>
                <w:sz w:val="20"/>
                <w:szCs w:val="20"/>
                <w:color w:val="auto"/>
                <w:w w:val="71"/>
              </w:rPr>
              <w:t>$</w:t>
            </w:r>
          </w:p>
        </w:tc>
        <w:tc>
          <w:tcPr>
            <w:tcW w:w="9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1,012,538</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61"/>
              <w:spacing w:after="0" w:line="223" w:lineRule="exact"/>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960,753</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928,747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0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20"/>
                <w:szCs w:val="20"/>
                <w:color w:val="auto"/>
                <w:w w:val="97"/>
              </w:rPr>
              <w:t>LIABILITIES AND STOCKHOLDERS’ EQUITY</w:t>
            </w:r>
          </w:p>
        </w:tc>
        <w:tc>
          <w:tcPr>
            <w:tcW w:w="29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Arial" w:cs="Arial" w:eastAsia="Arial" w:hAnsi="Arial"/>
                <w:sz w:val="20"/>
                <w:szCs w:val="20"/>
                <w:color w:val="auto"/>
              </w:rPr>
              <w:t>Current portion of long-term debt</w:t>
            </w:r>
          </w:p>
        </w:tc>
        <w:tc>
          <w:tcPr>
            <w:tcW w:w="280" w:type="dxa"/>
            <w:vAlign w:val="bottom"/>
          </w:tcPr>
          <w:p>
            <w:pPr>
              <w:jc w:val="right"/>
              <w:ind w:right="81"/>
              <w:spacing w:after="0"/>
              <w:rPr>
                <w:sz w:val="20"/>
                <w:szCs w:val="20"/>
                <w:color w:val="auto"/>
              </w:rPr>
            </w:pPr>
            <w:r>
              <w:rPr>
                <w:rFonts w:ascii="Arial" w:cs="Arial" w:eastAsia="Arial" w:hAnsi="Arial"/>
                <w:sz w:val="20"/>
                <w:szCs w:val="20"/>
                <w:color w:val="auto"/>
                <w:w w:val="71"/>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45</w:t>
            </w:r>
          </w:p>
        </w:tc>
        <w:tc>
          <w:tcPr>
            <w:tcW w:w="180" w:type="dxa"/>
            <w:vAlign w:val="bottom"/>
          </w:tcPr>
          <w:p>
            <w:pPr>
              <w:spacing w:after="0"/>
              <w:rPr>
                <w:sz w:val="19"/>
                <w:szCs w:val="19"/>
                <w:color w:val="auto"/>
              </w:rPr>
            </w:pPr>
          </w:p>
        </w:tc>
        <w:tc>
          <w:tcPr>
            <w:tcW w:w="460" w:type="dxa"/>
            <w:vAlign w:val="bottom"/>
            <w:gridSpan w:val="2"/>
          </w:tcPr>
          <w:p>
            <w:pPr>
              <w:jc w:val="right"/>
              <w:ind w:right="161"/>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44</w:t>
            </w:r>
          </w:p>
        </w:tc>
        <w:tc>
          <w:tcPr>
            <w:tcW w:w="280" w:type="dxa"/>
            <w:vAlign w:val="bottom"/>
          </w:tcPr>
          <w:p>
            <w:pPr>
              <w:spacing w:after="0"/>
              <w:rPr>
                <w:sz w:val="19"/>
                <w:szCs w:val="19"/>
                <w:color w:val="auto"/>
              </w:rPr>
            </w:pPr>
          </w:p>
        </w:tc>
        <w:tc>
          <w:tcPr>
            <w:tcW w:w="360" w:type="dxa"/>
            <w:vAlign w:val="bottom"/>
            <w:gridSpan w:val="2"/>
          </w:tcPr>
          <w:p>
            <w:pPr>
              <w:jc w:val="right"/>
              <w:ind w:right="183"/>
              <w:spacing w:after="0"/>
              <w:rPr>
                <w:sz w:val="20"/>
                <w:szCs w:val="20"/>
                <w:color w:val="auto"/>
              </w:rPr>
            </w:pPr>
            <w:r>
              <w:rPr>
                <w:rFonts w:ascii="Arial" w:cs="Arial" w:eastAsia="Arial" w:hAnsi="Arial"/>
                <w:sz w:val="20"/>
                <w:szCs w:val="20"/>
                <w:color w:val="auto"/>
                <w:w w:val="71"/>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Short-term debt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54,509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20"/>
                <w:szCs w:val="20"/>
                <w:color w:val="auto"/>
              </w:rPr>
              <w:t>3,146</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1,099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Arial" w:cs="Arial" w:eastAsia="Arial" w:hAnsi="Arial"/>
                <w:sz w:val="20"/>
                <w:szCs w:val="20"/>
                <w:color w:val="auto"/>
              </w:rPr>
              <w:t>Accounts payable</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20"/>
                <w:szCs w:val="20"/>
                <w:color w:val="auto"/>
              </w:rPr>
              <w:t>75,964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20"/>
                <w:szCs w:val="20"/>
                <w:color w:val="auto"/>
              </w:rPr>
              <w:t>68,245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20"/>
                <w:szCs w:val="20"/>
                <w:color w:val="auto"/>
              </w:rPr>
              <w:t>87,147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Accrued liabilities</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273,435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20"/>
                <w:szCs w:val="20"/>
                <w:color w:val="auto"/>
              </w:rPr>
              <w:t>256,392</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227,279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Borders>
              <w:bottom w:val="single" w:sz="8" w:color="CCEEFF"/>
            </w:tcBorders>
            <w:gridSpan w:val="2"/>
          </w:tcPr>
          <w:p>
            <w:pPr>
              <w:ind w:left="340"/>
              <w:spacing w:after="0" w:line="223" w:lineRule="exact"/>
              <w:rPr>
                <w:sz w:val="20"/>
                <w:szCs w:val="20"/>
                <w:color w:val="auto"/>
              </w:rPr>
            </w:pPr>
            <w:r>
              <w:rPr>
                <w:rFonts w:ascii="Arial" w:cs="Arial" w:eastAsia="Arial" w:hAnsi="Arial"/>
                <w:sz w:val="20"/>
                <w:szCs w:val="20"/>
                <w:color w:val="auto"/>
              </w:rPr>
              <w:t>Total current liabilities</w:t>
            </w: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403,953</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327,827</w:t>
            </w:r>
          </w:p>
        </w:tc>
        <w:tc>
          <w:tcPr>
            <w:tcW w:w="2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315,570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06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60" w:type="dxa"/>
            <w:vAlign w:val="bottom"/>
            <w:gridSpan w:val="2"/>
          </w:tcPr>
          <w:p>
            <w:pPr>
              <w:spacing w:after="0"/>
              <w:rPr>
                <w:sz w:val="20"/>
                <w:szCs w:val="20"/>
                <w:color w:val="auto"/>
              </w:rPr>
            </w:pPr>
            <w:r>
              <w:rPr>
                <w:rFonts w:ascii="Arial" w:cs="Arial" w:eastAsia="Arial" w:hAnsi="Arial"/>
                <w:sz w:val="20"/>
                <w:szCs w:val="20"/>
                <w:color w:val="auto"/>
              </w:rPr>
              <w:t>Long-term debt, less current portion</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20"/>
                <w:szCs w:val="20"/>
                <w:color w:val="auto"/>
              </w:rPr>
              <w:t>175,012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20"/>
                <w:szCs w:val="20"/>
                <w:color w:val="auto"/>
              </w:rPr>
              <w:t>175,058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20"/>
                <w:szCs w:val="20"/>
                <w:color w:val="auto"/>
              </w:rPr>
              <w:t>175,046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Long-term deferred income taxes</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3,837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20"/>
                <w:szCs w:val="20"/>
                <w:color w:val="auto"/>
              </w:rPr>
              <w: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3,837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Arial" w:cs="Arial" w:eastAsia="Arial" w:hAnsi="Arial"/>
                <w:sz w:val="20"/>
                <w:szCs w:val="20"/>
                <w:color w:val="auto"/>
              </w:rPr>
              <w:t>Deferred revenue and other long-term liabilities</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20"/>
                <w:szCs w:val="20"/>
                <w:color w:val="auto"/>
              </w:rPr>
              <w:t>14,806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20"/>
                <w:szCs w:val="20"/>
                <w:color w:val="auto"/>
              </w:rPr>
              <w:t>12,747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20"/>
                <w:szCs w:val="20"/>
                <w:color w:val="auto"/>
              </w:rPr>
              <w:t>13,475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06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60" w:type="dxa"/>
            <w:vAlign w:val="bottom"/>
            <w:gridSpan w:val="2"/>
          </w:tcPr>
          <w:p>
            <w:pPr>
              <w:spacing w:after="0"/>
              <w:rPr>
                <w:sz w:val="20"/>
                <w:szCs w:val="20"/>
                <w:color w:val="auto"/>
              </w:rPr>
            </w:pPr>
            <w:r>
              <w:rPr>
                <w:rFonts w:ascii="Arial" w:cs="Arial" w:eastAsia="Arial" w:hAnsi="Arial"/>
                <w:sz w:val="20"/>
                <w:szCs w:val="20"/>
                <w:color w:val="auto"/>
              </w:rPr>
              <w:t>Stockholders’ equity:</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960" w:type="dxa"/>
            <w:vAlign w:val="bottom"/>
            <w:gridSpan w:val="2"/>
            <w:shd w:val="clear" w:color="auto" w:fill="CCEEFF"/>
          </w:tcPr>
          <w:p>
            <w:pPr>
              <w:ind w:left="80"/>
              <w:spacing w:after="0" w:line="213" w:lineRule="exact"/>
              <w:rPr>
                <w:sz w:val="20"/>
                <w:szCs w:val="20"/>
                <w:color w:val="auto"/>
              </w:rPr>
            </w:pPr>
            <w:r>
              <w:rPr>
                <w:rFonts w:ascii="Arial" w:cs="Arial" w:eastAsia="Arial" w:hAnsi="Arial"/>
                <w:sz w:val="20"/>
                <w:szCs w:val="20"/>
                <w:color w:val="auto"/>
                <w:w w:val="97"/>
              </w:rPr>
              <w:t>Preferred stock, par value $1.00, authorized 1,000,000 voting and 850,000 non-</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960" w:type="dxa"/>
            <w:vAlign w:val="bottom"/>
            <w:gridSpan w:val="2"/>
            <w:shd w:val="clear" w:color="auto" w:fill="CCEEFF"/>
          </w:tcPr>
          <w:p>
            <w:pPr>
              <w:ind w:left="260"/>
              <w:spacing w:after="0"/>
              <w:rPr>
                <w:sz w:val="20"/>
                <w:szCs w:val="20"/>
                <w:color w:val="auto"/>
              </w:rPr>
            </w:pPr>
            <w:r>
              <w:rPr>
                <w:rFonts w:ascii="Arial" w:cs="Arial" w:eastAsia="Arial" w:hAnsi="Arial"/>
                <w:sz w:val="20"/>
                <w:szCs w:val="20"/>
                <w:color w:val="auto"/>
              </w:rPr>
              <w:t>voting shares, none issued and outstanding</w:t>
            </w:r>
          </w:p>
        </w:tc>
        <w:tc>
          <w:tcPr>
            <w:tcW w:w="2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20"/>
                <w:szCs w:val="20"/>
                <w:color w:val="auto"/>
              </w:rPr>
              <w:t>-</w:t>
            </w: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960" w:type="dxa"/>
            <w:vAlign w:val="bottom"/>
            <w:gridSpan w:val="2"/>
          </w:tcPr>
          <w:p>
            <w:pPr>
              <w:ind w:left="80"/>
              <w:spacing w:after="0" w:line="213" w:lineRule="exact"/>
              <w:rPr>
                <w:sz w:val="20"/>
                <w:szCs w:val="20"/>
                <w:color w:val="auto"/>
              </w:rPr>
            </w:pPr>
            <w:r>
              <w:rPr>
                <w:rFonts w:ascii="Arial" w:cs="Arial" w:eastAsia="Arial" w:hAnsi="Arial"/>
                <w:sz w:val="20"/>
                <w:szCs w:val="20"/>
                <w:color w:val="auto"/>
              </w:rPr>
              <w:t>Common stock, par value $1.00, authorized 100,000,000 shares, issued and</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gridSpan w:val="2"/>
          </w:tcPr>
          <w:p>
            <w:pPr>
              <w:ind w:left="260"/>
              <w:spacing w:after="0"/>
              <w:rPr>
                <w:sz w:val="20"/>
                <w:szCs w:val="20"/>
                <w:color w:val="auto"/>
              </w:rPr>
            </w:pPr>
            <w:r>
              <w:rPr>
                <w:rFonts w:ascii="Arial" w:cs="Arial" w:eastAsia="Arial" w:hAnsi="Arial"/>
                <w:sz w:val="20"/>
                <w:szCs w:val="20"/>
                <w:color w:val="auto"/>
                <w:w w:val="96"/>
              </w:rPr>
              <w:t>outstanding 42,652,756 shares as of July 29, 2005 (net of 11,379,464 treasury</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gridSpan w:val="2"/>
          </w:tcPr>
          <w:p>
            <w:pPr>
              <w:ind w:left="260"/>
              <w:spacing w:after="0"/>
              <w:rPr>
                <w:sz w:val="20"/>
                <w:szCs w:val="20"/>
                <w:color w:val="auto"/>
              </w:rPr>
            </w:pPr>
            <w:r>
              <w:rPr>
                <w:rFonts w:ascii="Arial" w:cs="Arial" w:eastAsia="Arial" w:hAnsi="Arial"/>
                <w:sz w:val="20"/>
                <w:szCs w:val="20"/>
                <w:color w:val="auto"/>
                <w:w w:val="91"/>
              </w:rPr>
              <w:t>shares), 45,925,558 shares as of July 30, 2004 (net of 8,106,662 treasury shares),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960" w:type="dxa"/>
            <w:vAlign w:val="bottom"/>
            <w:gridSpan w:val="2"/>
          </w:tcPr>
          <w:p>
            <w:pPr>
              <w:ind w:left="260"/>
              <w:spacing w:after="0"/>
              <w:rPr>
                <w:sz w:val="20"/>
                <w:szCs w:val="20"/>
                <w:color w:val="auto"/>
              </w:rPr>
            </w:pPr>
            <w:r>
              <w:rPr>
                <w:rFonts w:ascii="Arial" w:cs="Arial" w:eastAsia="Arial" w:hAnsi="Arial"/>
                <w:sz w:val="20"/>
                <w:szCs w:val="20"/>
                <w:color w:val="auto"/>
                <w:w w:val="92"/>
              </w:rPr>
              <w:t>and 45,036,658 shares as of October 31, 2004 (net of 8,995,562 treasury shares)</w:t>
            </w:r>
          </w:p>
        </w:tc>
        <w:tc>
          <w:tcPr>
            <w:tcW w:w="28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20"/>
                <w:szCs w:val="20"/>
                <w:color w:val="auto"/>
              </w:rPr>
              <w:t>42,653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20"/>
                <w:szCs w:val="20"/>
                <w:color w:val="auto"/>
              </w:rPr>
              <w:t>45,926</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20"/>
                <w:szCs w:val="20"/>
                <w:color w:val="auto"/>
              </w:rPr>
              <w:t>45,037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Retained earnings</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383,692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20"/>
                <w:szCs w:val="20"/>
                <w:color w:val="auto"/>
              </w:rPr>
              <w:t>410,493</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386,924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Arial" w:cs="Arial" w:eastAsia="Arial" w:hAnsi="Arial"/>
                <w:sz w:val="20"/>
                <w:szCs w:val="20"/>
                <w:color w:val="auto"/>
              </w:rPr>
              <w:t>Accumulated other comprehensive loss</w:t>
            </w:r>
          </w:p>
        </w:tc>
        <w:tc>
          <w:tcPr>
            <w:tcW w:w="2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(11,415)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20"/>
                <w:szCs w:val="20"/>
                <w:color w:val="auto"/>
              </w:rPr>
              <w:t>(11,298)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20"/>
                <w:szCs w:val="20"/>
                <w:color w:val="auto"/>
              </w:rPr>
              <w:t>(11,142)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Borders>
              <w:top w:val="single" w:sz="8" w:color="CCEEFF"/>
            </w:tcBorders>
            <w:gridSpan w:val="2"/>
            <w:shd w:val="clear" w:color="auto" w:fill="CCEEFF"/>
          </w:tcPr>
          <w:p>
            <w:pPr>
              <w:ind w:left="340"/>
              <w:spacing w:after="0" w:line="223" w:lineRule="exact"/>
              <w:rPr>
                <w:sz w:val="20"/>
                <w:szCs w:val="20"/>
                <w:color w:val="auto"/>
              </w:rPr>
            </w:pPr>
            <w:r>
              <w:rPr>
                <w:rFonts w:ascii="Arial" w:cs="Arial" w:eastAsia="Arial" w:hAnsi="Arial"/>
                <w:sz w:val="20"/>
                <w:szCs w:val="20"/>
                <w:color w:val="auto"/>
              </w:rPr>
              <w:t>Total stockholders’ equity</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414,930</w:t>
            </w: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445,121</w:t>
            </w:r>
          </w:p>
        </w:tc>
        <w:tc>
          <w:tcPr>
            <w:tcW w:w="2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420,819</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gridSpan w:val="2"/>
          </w:tcPr>
          <w:p>
            <w:pPr>
              <w:ind w:left="340"/>
              <w:spacing w:after="0" w:line="223" w:lineRule="exact"/>
              <w:rPr>
                <w:sz w:val="20"/>
                <w:szCs w:val="20"/>
                <w:color w:val="auto"/>
              </w:rPr>
            </w:pPr>
            <w:r>
              <w:rPr>
                <w:rFonts w:ascii="Arial" w:cs="Arial" w:eastAsia="Arial" w:hAnsi="Arial"/>
                <w:sz w:val="20"/>
                <w:szCs w:val="20"/>
                <w:color w:val="auto"/>
              </w:rPr>
              <w:t>Total liabilities and stockholders’ equity</w:t>
            </w:r>
          </w:p>
        </w:tc>
        <w:tc>
          <w:tcPr>
            <w:tcW w:w="28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w w:val="71"/>
              </w:rPr>
              <w:t>$</w:t>
            </w:r>
          </w:p>
        </w:tc>
        <w:tc>
          <w:tcPr>
            <w:tcW w:w="9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1,012,538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61"/>
              <w:spacing w:after="0" w:line="223" w:lineRule="exact"/>
              <w:rPr>
                <w:sz w:val="20"/>
                <w:szCs w:val="20"/>
                <w:color w:val="auto"/>
              </w:rPr>
            </w:pPr>
            <w:r>
              <w:rPr>
                <w:rFonts w:ascii="Arial" w:cs="Arial" w:eastAsia="Arial" w:hAnsi="Arial"/>
                <w:sz w:val="20"/>
                <w:szCs w:val="20"/>
                <w:color w:val="auto"/>
                <w:w w:val="71"/>
              </w:rPr>
              <w:t>$</w:t>
            </w:r>
          </w:p>
        </w:tc>
        <w:tc>
          <w:tcPr>
            <w:tcW w:w="9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960,753</w:t>
            </w: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928,747</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Shares and per share data have been adjusted for all periods presented to reflect a two-for-one stock split effective March 28, 2005.</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line="263" w:lineRule="auto"/>
        <w:rPr>
          <w:sz w:val="20"/>
          <w:szCs w:val="20"/>
          <w:color w:val="auto"/>
        </w:rPr>
      </w:pPr>
      <w:r>
        <w:rPr>
          <w:rFonts w:ascii="Arial" w:cs="Arial" w:eastAsia="Arial" w:hAnsi="Arial"/>
          <w:sz w:val="23"/>
          <w:szCs w:val="23"/>
          <w:b w:val="1"/>
          <w:bCs w:val="1"/>
          <w:color w:val="auto"/>
        </w:rPr>
        <w:t>THE TORO COMPANY AND SUBSIDIARIES Condensed Consolidated Statements of Cash Flows (Unaudited) (Dollars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00" w:type="dxa"/>
            <w:vAlign w:val="bottom"/>
            <w:gridSpan w:val="6"/>
          </w:tcPr>
          <w:p>
            <w:pPr>
              <w:jc w:val="right"/>
              <w:ind w:right="840"/>
              <w:spacing w:after="0"/>
              <w:rPr>
                <w:sz w:val="20"/>
                <w:szCs w:val="20"/>
                <w:color w:val="auto"/>
              </w:rPr>
            </w:pPr>
            <w:r>
              <w:rPr>
                <w:rFonts w:ascii="Arial" w:cs="Arial" w:eastAsia="Arial" w:hAnsi="Arial"/>
                <w:sz w:val="20"/>
                <w:szCs w:val="20"/>
                <w:color w:val="auto"/>
              </w:rPr>
              <w:t>Nine Months Ended</w:t>
            </w:r>
          </w:p>
        </w:tc>
      </w:tr>
      <w:tr>
        <w:trPr>
          <w:trHeight w:val="206"/>
        </w:trPr>
        <w:tc>
          <w:tcPr>
            <w:tcW w:w="7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right"/>
              <w:ind w:right="560"/>
              <w:spacing w:after="0" w:line="207" w:lineRule="exact"/>
              <w:rPr>
                <w:sz w:val="20"/>
                <w:szCs w:val="20"/>
                <w:color w:val="auto"/>
              </w:rPr>
            </w:pPr>
            <w:r>
              <w:rPr>
                <w:rFonts w:ascii="Arial" w:cs="Arial" w:eastAsia="Arial" w:hAnsi="Arial"/>
                <w:sz w:val="20"/>
                <w:szCs w:val="20"/>
                <w:color w:val="auto"/>
              </w:rPr>
              <w:t>July 29,</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281"/>
              <w:spacing w:after="0" w:line="207" w:lineRule="exact"/>
              <w:rPr>
                <w:sz w:val="20"/>
                <w:szCs w:val="20"/>
                <w:color w:val="auto"/>
              </w:rPr>
            </w:pPr>
            <w:r>
              <w:rPr>
                <w:rFonts w:ascii="Arial" w:cs="Arial" w:eastAsia="Arial" w:hAnsi="Arial"/>
                <w:sz w:val="20"/>
                <w:szCs w:val="20"/>
                <w:color w:val="auto"/>
              </w:rPr>
              <w:t>July 30,</w:t>
            </w:r>
          </w:p>
        </w:tc>
        <w:tc>
          <w:tcPr>
            <w:tcW w:w="100" w:type="dxa"/>
            <w:vAlign w:val="bottom"/>
          </w:tcPr>
          <w:p>
            <w:pPr>
              <w:spacing w:after="0"/>
              <w:rPr>
                <w:sz w:val="17"/>
                <w:szCs w:val="17"/>
                <w:color w:val="auto"/>
              </w:rPr>
            </w:pPr>
          </w:p>
        </w:tc>
      </w:tr>
      <w:tr>
        <w:trPr>
          <w:trHeight w:val="246"/>
        </w:trPr>
        <w:tc>
          <w:tcPr>
            <w:tcW w:w="744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2005</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2004</w:t>
            </w:r>
          </w:p>
        </w:tc>
        <w:tc>
          <w:tcPr>
            <w:tcW w:w="100" w:type="dxa"/>
            <w:vAlign w:val="bottom"/>
            <w:tcBorders>
              <w:bottom w:val="single" w:sz="8" w:color="CCEEFF"/>
            </w:tcBorders>
          </w:tcPr>
          <w:p>
            <w:pPr>
              <w:spacing w:after="0"/>
              <w:rPr>
                <w:sz w:val="21"/>
                <w:szCs w:val="21"/>
                <w:color w:val="auto"/>
              </w:rPr>
            </w:pPr>
          </w:p>
        </w:tc>
      </w:tr>
      <w:tr>
        <w:trPr>
          <w:trHeight w:val="210"/>
        </w:trPr>
        <w:tc>
          <w:tcPr>
            <w:tcW w:w="7440" w:type="dxa"/>
            <w:vAlign w:val="bottom"/>
            <w:shd w:val="clear" w:color="auto" w:fill="CCEEFF"/>
          </w:tcPr>
          <w:p>
            <w:pPr>
              <w:spacing w:after="0" w:line="209" w:lineRule="exact"/>
              <w:rPr>
                <w:sz w:val="20"/>
                <w:szCs w:val="20"/>
                <w:color w:val="auto"/>
              </w:rPr>
            </w:pPr>
            <w:r>
              <w:rPr>
                <w:rFonts w:ascii="Arial" w:cs="Arial" w:eastAsia="Arial" w:hAnsi="Arial"/>
                <w:sz w:val="20"/>
                <w:szCs w:val="20"/>
                <w:color w:val="auto"/>
              </w:rPr>
              <w:t>Cash flows from operating activities: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20"/>
                <w:szCs w:val="20"/>
                <w:color w:val="auto"/>
              </w:rPr>
              <w:t>Net earnings</w:t>
            </w:r>
          </w:p>
        </w:tc>
        <w:tc>
          <w:tcPr>
            <w:tcW w:w="10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20"/>
                <w:szCs w:val="20"/>
                <w:color w:val="auto"/>
              </w:rPr>
              <w:t>107,510</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20"/>
                <w:szCs w:val="20"/>
                <w:color w:val="auto"/>
              </w:rPr>
              <w:t>95,737</w:t>
            </w:r>
          </w:p>
        </w:tc>
      </w:tr>
      <w:tr>
        <w:trPr>
          <w:trHeight w:val="230"/>
        </w:trPr>
        <w:tc>
          <w:tcPr>
            <w:tcW w:w="7440" w:type="dxa"/>
            <w:vAlign w:val="bottom"/>
            <w:shd w:val="clear" w:color="auto" w:fill="CCEEFF"/>
          </w:tcPr>
          <w:p>
            <w:pPr>
              <w:ind w:left="100"/>
              <w:spacing w:after="0"/>
              <w:rPr>
                <w:sz w:val="20"/>
                <w:szCs w:val="20"/>
                <w:color w:val="auto"/>
              </w:rPr>
            </w:pPr>
            <w:r>
              <w:rPr>
                <w:rFonts w:ascii="Arial" w:cs="Arial" w:eastAsia="Arial" w:hAnsi="Arial"/>
                <w:sz w:val="20"/>
                <w:szCs w:val="20"/>
                <w:color w:val="auto"/>
              </w:rPr>
              <w:t>Adjustments to reconcile net earnings to net cash provided by operating activities:</w:t>
            </w: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7440" w:type="dxa"/>
            <w:vAlign w:val="bottom"/>
          </w:tcPr>
          <w:p>
            <w:pPr>
              <w:ind w:left="180"/>
              <w:spacing w:after="0"/>
              <w:rPr>
                <w:sz w:val="20"/>
                <w:szCs w:val="20"/>
                <w:color w:val="auto"/>
              </w:rPr>
            </w:pPr>
            <w:r>
              <w:rPr>
                <w:rFonts w:ascii="Arial" w:cs="Arial" w:eastAsia="Arial" w:hAnsi="Arial"/>
                <w:sz w:val="20"/>
                <w:szCs w:val="20"/>
                <w:color w:val="auto"/>
              </w:rPr>
              <w:t>Non-cash asset recovery</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20"/>
                <w:szCs w:val="20"/>
                <w:color w:val="auto"/>
              </w:rPr>
              <w:t>(415)</w:t>
            </w:r>
          </w:p>
        </w:tc>
      </w:tr>
      <w:tr>
        <w:trPr>
          <w:trHeight w:val="230"/>
        </w:trPr>
        <w:tc>
          <w:tcPr>
            <w:tcW w:w="7440" w:type="dxa"/>
            <w:vAlign w:val="bottom"/>
            <w:shd w:val="clear" w:color="auto" w:fill="CCEEFF"/>
          </w:tcPr>
          <w:p>
            <w:pPr>
              <w:ind w:left="180"/>
              <w:spacing w:after="0"/>
              <w:rPr>
                <w:sz w:val="20"/>
                <w:szCs w:val="20"/>
                <w:color w:val="auto"/>
              </w:rPr>
            </w:pPr>
            <w:r>
              <w:rPr>
                <w:rFonts w:ascii="Arial" w:cs="Arial" w:eastAsia="Arial" w:hAnsi="Arial"/>
                <w:sz w:val="20"/>
                <w:szCs w:val="20"/>
                <w:color w:val="auto"/>
              </w:rPr>
              <w:t>Equity losses from an investment</w:t>
            </w: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510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538</w:t>
            </w:r>
          </w:p>
        </w:tc>
      </w:tr>
      <w:tr>
        <w:trPr>
          <w:trHeight w:val="230"/>
        </w:trPr>
        <w:tc>
          <w:tcPr>
            <w:tcW w:w="7440" w:type="dxa"/>
            <w:vAlign w:val="bottom"/>
          </w:tcPr>
          <w:p>
            <w:pPr>
              <w:ind w:left="180"/>
              <w:spacing w:after="0"/>
              <w:rPr>
                <w:sz w:val="20"/>
                <w:szCs w:val="20"/>
                <w:color w:val="auto"/>
              </w:rPr>
            </w:pPr>
            <w:r>
              <w:rPr>
                <w:rFonts w:ascii="Arial" w:cs="Arial" w:eastAsia="Arial" w:hAnsi="Arial"/>
                <w:sz w:val="20"/>
                <w:szCs w:val="20"/>
                <w:color w:val="auto"/>
              </w:rPr>
              <w:t>Provision for depreciation and amortization</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20"/>
                <w:szCs w:val="20"/>
                <w:color w:val="auto"/>
              </w:rPr>
              <w:t>30,110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20"/>
                <w:szCs w:val="20"/>
                <w:color w:val="auto"/>
              </w:rPr>
              <w:t>25,398</w:t>
            </w:r>
          </w:p>
        </w:tc>
      </w:tr>
      <w:tr>
        <w:trPr>
          <w:trHeight w:val="230"/>
        </w:trPr>
        <w:tc>
          <w:tcPr>
            <w:tcW w:w="7440" w:type="dxa"/>
            <w:vAlign w:val="bottom"/>
            <w:shd w:val="clear" w:color="auto" w:fill="CCEEFF"/>
          </w:tcPr>
          <w:p>
            <w:pPr>
              <w:ind w:left="180"/>
              <w:spacing w:after="0"/>
              <w:rPr>
                <w:sz w:val="20"/>
                <w:szCs w:val="20"/>
                <w:color w:val="auto"/>
              </w:rPr>
            </w:pPr>
            <w:r>
              <w:rPr>
                <w:rFonts w:ascii="Arial" w:cs="Arial" w:eastAsia="Arial" w:hAnsi="Arial"/>
                <w:sz w:val="20"/>
                <w:szCs w:val="20"/>
                <w:color w:val="auto"/>
              </w:rPr>
              <w:t>Gain on disposal of property, plant, and equipment</w:t>
            </w: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(339)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(254)</w:t>
            </w:r>
          </w:p>
        </w:tc>
      </w:tr>
      <w:tr>
        <w:trPr>
          <w:trHeight w:val="230"/>
        </w:trPr>
        <w:tc>
          <w:tcPr>
            <w:tcW w:w="7440" w:type="dxa"/>
            <w:vAlign w:val="bottom"/>
          </w:tcPr>
          <w:p>
            <w:pPr>
              <w:ind w:left="180"/>
              <w:spacing w:after="0"/>
              <w:rPr>
                <w:sz w:val="20"/>
                <w:szCs w:val="20"/>
                <w:color w:val="auto"/>
              </w:rPr>
            </w:pPr>
            <w:r>
              <w:rPr>
                <w:rFonts w:ascii="Arial" w:cs="Arial" w:eastAsia="Arial" w:hAnsi="Arial"/>
                <w:sz w:val="20"/>
                <w:szCs w:val="20"/>
                <w:color w:val="auto"/>
              </w:rPr>
              <w:t>Stock-based compensation expense</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20"/>
                <w:szCs w:val="20"/>
                <w:color w:val="auto"/>
              </w:rPr>
              <w:t>7,284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20"/>
                <w:szCs w:val="20"/>
                <w:color w:val="auto"/>
              </w:rPr>
              <w:t>6,892</w:t>
            </w:r>
          </w:p>
        </w:tc>
      </w:tr>
      <w:tr>
        <w:trPr>
          <w:trHeight w:val="230"/>
        </w:trPr>
        <w:tc>
          <w:tcPr>
            <w:tcW w:w="7440" w:type="dxa"/>
            <w:vAlign w:val="bottom"/>
            <w:shd w:val="clear" w:color="auto" w:fill="CCEEFF"/>
          </w:tcPr>
          <w:p>
            <w:pPr>
              <w:ind w:left="180"/>
              <w:spacing w:after="0"/>
              <w:rPr>
                <w:sz w:val="20"/>
                <w:szCs w:val="20"/>
                <w:color w:val="auto"/>
              </w:rPr>
            </w:pPr>
            <w:r>
              <w:rPr>
                <w:rFonts w:ascii="Arial" w:cs="Arial" w:eastAsia="Arial" w:hAnsi="Arial"/>
                <w:sz w:val="20"/>
                <w:szCs w:val="20"/>
                <w:color w:val="auto"/>
              </w:rPr>
              <w:t>Increase in deferred income taxes</w:t>
            </w: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(13,146)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(7,021)</w:t>
            </w:r>
          </w:p>
        </w:tc>
      </w:tr>
      <w:tr>
        <w:trPr>
          <w:trHeight w:val="230"/>
        </w:trPr>
        <w:tc>
          <w:tcPr>
            <w:tcW w:w="7440" w:type="dxa"/>
            <w:vAlign w:val="bottom"/>
          </w:tcPr>
          <w:p>
            <w:pPr>
              <w:ind w:left="180"/>
              <w:spacing w:after="0"/>
              <w:rPr>
                <w:sz w:val="20"/>
                <w:szCs w:val="20"/>
                <w:color w:val="auto"/>
              </w:rPr>
            </w:pPr>
            <w:r>
              <w:rPr>
                <w:rFonts w:ascii="Arial" w:cs="Arial" w:eastAsia="Arial" w:hAnsi="Arial"/>
                <w:sz w:val="20"/>
                <w:szCs w:val="20"/>
                <w:color w:val="auto"/>
              </w:rPr>
              <w:t>Changes in operating assets and liabilities, net of acquisition:</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440" w:type="dxa"/>
            <w:vAlign w:val="bottom"/>
            <w:shd w:val="clear" w:color="auto" w:fill="CCEEFF"/>
          </w:tcPr>
          <w:p>
            <w:pPr>
              <w:ind w:left="540"/>
              <w:spacing w:after="0"/>
              <w:rPr>
                <w:sz w:val="20"/>
                <w:szCs w:val="20"/>
                <w:color w:val="auto"/>
              </w:rPr>
            </w:pPr>
            <w:r>
              <w:rPr>
                <w:rFonts w:ascii="Arial" w:cs="Arial" w:eastAsia="Arial" w:hAnsi="Arial"/>
                <w:sz w:val="20"/>
                <w:szCs w:val="20"/>
                <w:color w:val="auto"/>
              </w:rPr>
              <w:t>Receivables, net</w:t>
            </w: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(91,979)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(107,990)</w:t>
            </w:r>
          </w:p>
        </w:tc>
      </w:tr>
      <w:tr>
        <w:trPr>
          <w:trHeight w:val="230"/>
        </w:trPr>
        <w:tc>
          <w:tcPr>
            <w:tcW w:w="7440" w:type="dxa"/>
            <w:vAlign w:val="bottom"/>
          </w:tcPr>
          <w:p>
            <w:pPr>
              <w:ind w:left="540"/>
              <w:spacing w:after="0"/>
              <w:rPr>
                <w:sz w:val="20"/>
                <w:szCs w:val="20"/>
                <w:color w:val="auto"/>
              </w:rPr>
            </w:pPr>
            <w:r>
              <w:rPr>
                <w:rFonts w:ascii="Arial" w:cs="Arial" w:eastAsia="Arial" w:hAnsi="Arial"/>
                <w:sz w:val="20"/>
                <w:szCs w:val="20"/>
                <w:color w:val="auto"/>
              </w:rPr>
              <w:t>Inventories, net</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20"/>
                <w:szCs w:val="20"/>
                <w:color w:val="auto"/>
              </w:rPr>
              <w:t>(767)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20"/>
                <w:szCs w:val="20"/>
                <w:color w:val="auto"/>
              </w:rPr>
              <w:t>11,787</w:t>
            </w:r>
          </w:p>
        </w:tc>
      </w:tr>
      <w:tr>
        <w:trPr>
          <w:trHeight w:val="230"/>
        </w:trPr>
        <w:tc>
          <w:tcPr>
            <w:tcW w:w="7440" w:type="dxa"/>
            <w:vAlign w:val="bottom"/>
            <w:shd w:val="clear" w:color="auto" w:fill="CCEEFF"/>
          </w:tcPr>
          <w:p>
            <w:pPr>
              <w:ind w:left="540"/>
              <w:spacing w:after="0"/>
              <w:rPr>
                <w:sz w:val="20"/>
                <w:szCs w:val="20"/>
                <w:color w:val="auto"/>
              </w:rPr>
            </w:pPr>
            <w:r>
              <w:rPr>
                <w:rFonts w:ascii="Arial" w:cs="Arial" w:eastAsia="Arial" w:hAnsi="Arial"/>
                <w:sz w:val="20"/>
                <w:szCs w:val="20"/>
                <w:color w:val="auto"/>
              </w:rPr>
              <w:t>Prepaid expenses and other current assets</w:t>
            </w: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2,897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(1,194)</w:t>
            </w:r>
          </w:p>
        </w:tc>
      </w:tr>
      <w:tr>
        <w:trPr>
          <w:trHeight w:val="230"/>
        </w:trPr>
        <w:tc>
          <w:tcPr>
            <w:tcW w:w="7440" w:type="dxa"/>
            <w:vAlign w:val="bottom"/>
          </w:tcPr>
          <w:p>
            <w:pPr>
              <w:ind w:left="540"/>
              <w:spacing w:after="0"/>
              <w:rPr>
                <w:sz w:val="20"/>
                <w:szCs w:val="20"/>
                <w:color w:val="auto"/>
              </w:rPr>
            </w:pPr>
            <w:r>
              <w:rPr>
                <w:rFonts w:ascii="Arial" w:cs="Arial" w:eastAsia="Arial" w:hAnsi="Arial"/>
                <w:sz w:val="20"/>
                <w:szCs w:val="20"/>
                <w:color w:val="auto"/>
              </w:rPr>
              <w:t>Accounts payable, accrued expenses, and deferred revenue</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20"/>
                <w:szCs w:val="20"/>
                <w:color w:val="auto"/>
              </w:rPr>
              <w:t>25,764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20"/>
                <w:szCs w:val="20"/>
                <w:color w:val="auto"/>
              </w:rPr>
              <w:t>50,343</w:t>
            </w:r>
          </w:p>
        </w:tc>
      </w:tr>
      <w:tr>
        <w:trPr>
          <w:trHeight w:val="223"/>
        </w:trPr>
        <w:tc>
          <w:tcPr>
            <w:tcW w:w="7440" w:type="dxa"/>
            <w:vAlign w:val="bottom"/>
            <w:tcBorders>
              <w:top w:val="single" w:sz="8" w:color="CCEEFF"/>
            </w:tcBorders>
            <w:shd w:val="clear" w:color="auto" w:fill="CCEEFF"/>
          </w:tcPr>
          <w:p>
            <w:pPr>
              <w:ind w:left="720"/>
              <w:spacing w:after="0" w:line="223" w:lineRule="exact"/>
              <w:rPr>
                <w:sz w:val="20"/>
                <w:szCs w:val="20"/>
                <w:color w:val="auto"/>
              </w:rPr>
            </w:pPr>
            <w:r>
              <w:rPr>
                <w:rFonts w:ascii="Arial" w:cs="Arial" w:eastAsia="Arial" w:hAnsi="Arial"/>
                <w:sz w:val="20"/>
                <w:szCs w:val="20"/>
                <w:color w:val="auto"/>
              </w:rPr>
              <w:t>Net cash provided by operating activities</w:t>
            </w:r>
          </w:p>
        </w:tc>
        <w:tc>
          <w:tcPr>
            <w:tcW w:w="8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67,844</w:t>
            </w: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73,821</w:t>
            </w:r>
          </w:p>
        </w:tc>
        <w:tc>
          <w:tcPr>
            <w:tcW w:w="100" w:type="dxa"/>
            <w:vAlign w:val="bottom"/>
            <w:tcBorders>
              <w:top w:val="single" w:sz="8" w:color="CCEEFF"/>
            </w:tcBorders>
            <w:shd w:val="clear" w:color="auto" w:fill="CCEEFF"/>
          </w:tcPr>
          <w:p>
            <w:pPr>
              <w:spacing w:after="0"/>
              <w:rPr>
                <w:sz w:val="19"/>
                <w:szCs w:val="19"/>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20"/>
                <w:szCs w:val="20"/>
                <w:color w:val="auto"/>
              </w:rPr>
              <w:t>Purchases of property, plant, and equipment</w:t>
            </w:r>
          </w:p>
        </w:tc>
        <w:tc>
          <w:tcPr>
            <w:tcW w:w="1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20"/>
                <w:szCs w:val="20"/>
                <w:color w:val="auto"/>
              </w:rPr>
              <w:t>(24,294)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20"/>
                <w:szCs w:val="20"/>
                <w:color w:val="auto"/>
              </w:rPr>
              <w:t>(31,185)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20"/>
                <w:szCs w:val="20"/>
                <w:color w:val="auto"/>
              </w:rPr>
              <w:t>Proceeds from disposal of property, plant, and equipment</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2,447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1,833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ind w:left="160"/>
              <w:spacing w:after="0"/>
              <w:rPr>
                <w:sz w:val="20"/>
                <w:szCs w:val="20"/>
                <w:color w:val="auto"/>
              </w:rPr>
            </w:pPr>
            <w:r>
              <w:rPr>
                <w:rFonts w:ascii="Arial" w:cs="Arial" w:eastAsia="Arial" w:hAnsi="Arial"/>
                <w:sz w:val="20"/>
                <w:szCs w:val="20"/>
                <w:color w:val="auto"/>
              </w:rPr>
              <w:t>Increase in investment in affiliates</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20"/>
                <w:szCs w:val="20"/>
                <w:color w:val="auto"/>
              </w:rPr>
              <w:t>(197)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20"/>
                <w:szCs w:val="20"/>
                <w:color w:val="auto"/>
              </w:rPr>
              <w:t>(1,278)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20"/>
                <w:szCs w:val="20"/>
                <w:color w:val="auto"/>
              </w:rPr>
              <w:t>Decrease in other assets</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158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285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ind w:left="160"/>
              <w:spacing w:after="0"/>
              <w:rPr>
                <w:sz w:val="20"/>
                <w:szCs w:val="20"/>
                <w:color w:val="auto"/>
              </w:rPr>
            </w:pPr>
            <w:r>
              <w:rPr>
                <w:rFonts w:ascii="Arial" w:cs="Arial" w:eastAsia="Arial" w:hAnsi="Arial"/>
                <w:sz w:val="20"/>
                <w:szCs w:val="20"/>
                <w:color w:val="auto"/>
              </w:rPr>
              <w:t>Proceeds from sale of a business</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20"/>
                <w:szCs w:val="20"/>
                <w:color w:val="auto"/>
              </w:rPr>
              <w:t>765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Acquisition, net of cash acquired</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(35,285)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bottom w:val="single" w:sz="8" w:color="CCEEFF"/>
            </w:tcBorders>
          </w:tcPr>
          <w:p>
            <w:pPr>
              <w:ind w:left="700"/>
              <w:spacing w:after="0" w:line="223" w:lineRule="exact"/>
              <w:rPr>
                <w:sz w:val="20"/>
                <w:szCs w:val="20"/>
                <w:color w:val="auto"/>
              </w:rPr>
            </w:pPr>
            <w:r>
              <w:rPr>
                <w:rFonts w:ascii="Arial" w:cs="Arial" w:eastAsia="Arial" w:hAnsi="Arial"/>
                <w:sz w:val="20"/>
                <w:szCs w:val="20"/>
                <w:color w:val="auto"/>
              </w:rPr>
              <w:t>Net cash used in investing activities</w:t>
            </w:r>
          </w:p>
        </w:tc>
        <w:tc>
          <w:tcPr>
            <w:tcW w:w="17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(56,406)</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(30,345)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4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20"/>
                <w:szCs w:val="20"/>
                <w:color w:val="auto"/>
              </w:rPr>
              <w:t>Cash flows from financing activities:</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20"/>
                <w:szCs w:val="20"/>
                <w:color w:val="auto"/>
              </w:rPr>
              <w:t>Increase in short-term debt</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53,374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1,047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ind w:left="160"/>
              <w:spacing w:after="0"/>
              <w:rPr>
                <w:sz w:val="20"/>
                <w:szCs w:val="20"/>
                <w:color w:val="auto"/>
              </w:rPr>
            </w:pPr>
            <w:r>
              <w:rPr>
                <w:rFonts w:ascii="Arial" w:cs="Arial" w:eastAsia="Arial" w:hAnsi="Arial"/>
                <w:sz w:val="20"/>
                <w:szCs w:val="20"/>
                <w:color w:val="auto"/>
              </w:rPr>
              <w:t>Repayments of long-term debt</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20"/>
                <w:szCs w:val="20"/>
                <w:color w:val="auto"/>
              </w:rPr>
              <w:t>(34)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20"/>
                <w:szCs w:val="20"/>
                <w:color w:val="auto"/>
              </w:rPr>
              <w:t>(3,819)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20"/>
                <w:szCs w:val="20"/>
                <w:color w:val="auto"/>
              </w:rPr>
              <w:t>Excess tax benefits from share-based arrangements</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5,665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8,087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ind w:left="160"/>
              <w:spacing w:after="0"/>
              <w:rPr>
                <w:sz w:val="20"/>
                <w:szCs w:val="20"/>
                <w:color w:val="auto"/>
              </w:rPr>
            </w:pPr>
            <w:r>
              <w:rPr>
                <w:rFonts w:ascii="Arial" w:cs="Arial" w:eastAsia="Arial" w:hAnsi="Arial"/>
                <w:sz w:val="20"/>
                <w:szCs w:val="20"/>
                <w:color w:val="auto"/>
              </w:rPr>
              <w:t>Proceeds from exercise of stock options</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20"/>
                <w:szCs w:val="20"/>
                <w:color w:val="auto"/>
              </w:rPr>
              <w:t>7,609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20"/>
                <w:szCs w:val="20"/>
                <w:color w:val="auto"/>
              </w:rPr>
              <w:t>12,018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20"/>
                <w:szCs w:val="20"/>
                <w:color w:val="auto"/>
              </w:rPr>
              <w:t>Purchases of Toro common stock</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(125,093)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(132,234)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ind w:left="160"/>
              <w:spacing w:after="0"/>
              <w:rPr>
                <w:sz w:val="20"/>
                <w:szCs w:val="20"/>
                <w:color w:val="auto"/>
              </w:rPr>
            </w:pPr>
            <w:r>
              <w:rPr>
                <w:rFonts w:ascii="Arial" w:cs="Arial" w:eastAsia="Arial" w:hAnsi="Arial"/>
                <w:sz w:val="20"/>
                <w:szCs w:val="20"/>
                <w:color w:val="auto"/>
              </w:rPr>
              <w:t>Dividends paid on Toro common stock</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20"/>
                <w:szCs w:val="20"/>
                <w:color w:val="auto"/>
              </w:rPr>
              <w:t>(8,151)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20"/>
                <w:szCs w:val="20"/>
                <w:color w:val="auto"/>
              </w:rPr>
              <w:t>(4,443)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top w:val="single" w:sz="8" w:color="CCEEFF"/>
            </w:tcBorders>
            <w:shd w:val="clear" w:color="auto" w:fill="CCEEFF"/>
          </w:tcPr>
          <w:p>
            <w:pPr>
              <w:ind w:left="700"/>
              <w:spacing w:after="0" w:line="223" w:lineRule="exact"/>
              <w:rPr>
                <w:sz w:val="20"/>
                <w:szCs w:val="20"/>
                <w:color w:val="auto"/>
              </w:rPr>
            </w:pPr>
            <w:r>
              <w:rPr>
                <w:rFonts w:ascii="Arial" w:cs="Arial" w:eastAsia="Arial" w:hAnsi="Arial"/>
                <w:sz w:val="20"/>
                <w:szCs w:val="20"/>
                <w:color w:val="auto"/>
              </w:rPr>
              <w:t>Net cash used in financing activities</w:t>
            </w:r>
          </w:p>
        </w:tc>
        <w:tc>
          <w:tcPr>
            <w:tcW w:w="17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(66,630)</w:t>
            </w: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(119,344)</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4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20"/>
                <w:szCs w:val="20"/>
                <w:color w:val="auto"/>
              </w:rPr>
              <w:t>Effect of exchange rates on cash</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(899)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(397)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4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20"/>
                <w:szCs w:val="20"/>
                <w:color w:val="auto"/>
              </w:rPr>
              <w:t>Net decrease in cash and cash equivalents</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(56,091)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(76,265)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20"/>
                <w:szCs w:val="20"/>
                <w:color w:val="auto"/>
              </w:rPr>
              <w:t>Cash and cash equivalents as of the beginning of the period</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20"/>
                <w:szCs w:val="20"/>
                <w:color w:val="auto"/>
              </w:rPr>
              <w:t>90,756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20"/>
                <w:szCs w:val="20"/>
                <w:color w:val="auto"/>
              </w:rPr>
              <w:t>110,287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Borders>
              <w:top w:val="single" w:sz="8" w:color="CCEEFF"/>
              <w:bottom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Cash and cash equivalents as of the end of the period</w:t>
            </w:r>
          </w:p>
        </w:tc>
        <w:tc>
          <w:tcPr>
            <w:tcW w:w="17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81"/>
              <w:spacing w:after="0" w:line="223" w:lineRule="exact"/>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34,665</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81"/>
              <w:spacing w:after="0" w:line="223" w:lineRule="exact"/>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34,022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line="253" w:lineRule="auto"/>
        <w:rPr>
          <w:sz w:val="20"/>
          <w:szCs w:val="20"/>
          <w:color w:val="auto"/>
        </w:rPr>
      </w:pPr>
      <w:r>
        <w:rPr>
          <w:rFonts w:ascii="Arial" w:cs="Arial" w:eastAsia="Arial" w:hAnsi="Arial"/>
          <w:sz w:val="23"/>
          <w:szCs w:val="23"/>
          <w:b w:val="1"/>
          <w:bCs w:val="1"/>
          <w:color w:val="auto"/>
        </w:rPr>
        <w:t>THE TORO COMPANY AND SUBSIDIARIES Notes to Condensed Consolidated Financial Statements (Unaudited) July 29, 2005</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of Presentation</w:t>
      </w:r>
    </w:p>
    <w:p>
      <w:pPr>
        <w:spacing w:after="0" w:line="98" w:lineRule="exact"/>
        <w:rPr>
          <w:sz w:val="20"/>
          <w:szCs w:val="20"/>
          <w:color w:val="auto"/>
        </w:rPr>
      </w:pPr>
    </w:p>
    <w:p>
      <w:pPr>
        <w:ind w:right="120"/>
        <w:spacing w:after="0" w:line="254" w:lineRule="auto"/>
        <w:rPr>
          <w:sz w:val="20"/>
          <w:szCs w:val="20"/>
          <w:color w:val="auto"/>
        </w:rPr>
      </w:pPr>
      <w:r>
        <w:rPr>
          <w:rFonts w:ascii="Arial" w:cs="Arial" w:eastAsia="Arial" w:hAnsi="Arial"/>
          <w:sz w:val="19"/>
          <w:szCs w:val="19"/>
          <w:color w:val="auto"/>
        </w:rPr>
        <w:t>The accompanying unaudited condensed consolidated financial statements have been prepared in accordance with the instructions to Form 10-Q and do not include all the information and notes required by accounting principles generally accepted in the United States of America for complete financial statements. Unless the context indicates otherwise, the terms “company” and “Toro” refer to The Toro Company and its subsidiaries. In the opinion of management, the unaudited condensed consolidated financial statements include all adjustments, consisting primarily of recurring accruals, considered necessary for a fair presentation of the financial position and the results of operations. Since the company’s business is seasonal, operating results for the nine months ended July 29, 2005 cannot be annualized to determine the expected results for the fiscal year ending October 31, 2005. Certain amounts from prior period’s financial statements have been reclassified to conform to this period’s presentation.</w:t>
      </w:r>
    </w:p>
    <w:p>
      <w:pPr>
        <w:spacing w:after="0" w:line="3" w:lineRule="exact"/>
        <w:rPr>
          <w:sz w:val="20"/>
          <w:szCs w:val="20"/>
          <w:color w:val="auto"/>
        </w:rPr>
      </w:pPr>
    </w:p>
    <w:p>
      <w:pPr>
        <w:ind w:firstLine="324"/>
        <w:spacing w:after="0" w:line="252" w:lineRule="auto"/>
        <w:rPr>
          <w:sz w:val="20"/>
          <w:szCs w:val="20"/>
          <w:color w:val="auto"/>
        </w:rPr>
      </w:pPr>
      <w:r>
        <w:rPr>
          <w:rFonts w:ascii="Arial" w:cs="Arial" w:eastAsia="Arial" w:hAnsi="Arial"/>
          <w:sz w:val="19"/>
          <w:szCs w:val="19"/>
          <w:color w:val="auto"/>
        </w:rPr>
        <w:t>The company’s fiscal year ends on October 31, and quarterly results are reported based on three 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quarter end.</w:t>
      </w:r>
    </w:p>
    <w:p>
      <w:pPr>
        <w:spacing w:after="0" w:line="1" w:lineRule="exact"/>
        <w:rPr>
          <w:sz w:val="20"/>
          <w:szCs w:val="20"/>
          <w:color w:val="auto"/>
        </w:rPr>
      </w:pPr>
    </w:p>
    <w:p>
      <w:pPr>
        <w:ind w:right="260" w:firstLine="324"/>
        <w:spacing w:after="0" w:line="269" w:lineRule="auto"/>
        <w:rPr>
          <w:sz w:val="20"/>
          <w:szCs w:val="20"/>
          <w:color w:val="auto"/>
        </w:rPr>
      </w:pPr>
      <w:r>
        <w:rPr>
          <w:rFonts w:ascii="Arial" w:cs="Arial" w:eastAsia="Arial" w:hAnsi="Arial"/>
          <w:sz w:val="19"/>
          <w:szCs w:val="19"/>
          <w:color w:val="auto"/>
        </w:rPr>
        <w:t>For further information, refer to the consolidated financial statements and notes included in the company’s Annual Report on Form 10-K for the fiscal year ended October 31, 2004. The policies described in that report are used for preparing quarterly reports.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Accounting Policies</w:t>
      </w:r>
    </w:p>
    <w:p>
      <w:pPr>
        <w:spacing w:after="0" w:line="122"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color w:val="auto"/>
        </w:rPr>
        <w:t>In preparing the consolidated financial statements in conformity with accounting principles generally accepted in the United States of America, management must make decisions that impact the reported amounts and the related disclosures. Such decisions include the selection of the appropriate accounting principles to be applied and the assumptions on which to base accounting estimates. In reaching such decisions, management applies judgments based on its understanding and analysis of the relevant circumstances, historical experience, and actuarial valuations. Actual amounts could differ from those estimated at the time the consolidated financial statements are prepared. Note 1 to the consolidated financial statements in the company’s most recent Annual Report on Form 10-K provides a summary of the significant accounting policies followed in the preparation of the financial statements. Other footnotes in the company’s most recent Annual Report on Form 10-K describe various elements of the financial statements and the assumptions made in determining specific amounts.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Split</w:t>
      </w:r>
    </w:p>
    <w:p>
      <w:pPr>
        <w:spacing w:after="0" w:line="127"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On March 15, 2005, the company’s Board of Directors declared a two-for-one stock split of the company’s common stock, effected in the form of a 100 percent stock dividend paid on April 12, 2005. As a result of this action, approximately 21.7 million shares were issued to stockholders of record as of March 28, 2005. Par value of the common stock remains at $1.00 per share and accordingly, approximately $21.7 million was transferred from retained earnings to common stock. All references to the number of common shares and per common share amounts have been adjusted to give retroactive effect to the stock split for all periods presented.</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Acquisition</w:t>
      </w:r>
    </w:p>
    <w:p>
      <w:pPr>
        <w:sectPr>
          <w:pgSz w:w="11900" w:h="16838" w:orient="portrait"/>
          <w:cols w:equalWidth="0" w:num="1">
            <w:col w:w="11420"/>
          </w:cols>
          <w:pgMar w:left="240" w:top="122" w:right="239" w:bottom="0" w:gutter="0" w:footer="0" w:header="0"/>
        </w:sectPr>
      </w:pPr>
    </w:p>
    <w:p>
      <w:pPr>
        <w:spacing w:after="0" w:line="122" w:lineRule="exact"/>
        <w:rPr>
          <w:sz w:val="20"/>
          <w:szCs w:val="20"/>
          <w:color w:val="auto"/>
        </w:rPr>
      </w:pPr>
    </w:p>
    <w:p>
      <w:pPr>
        <w:ind w:right="120"/>
        <w:spacing w:after="0" w:line="291" w:lineRule="auto"/>
        <w:rPr>
          <w:sz w:val="20"/>
          <w:szCs w:val="20"/>
          <w:color w:val="auto"/>
        </w:rPr>
      </w:pPr>
      <w:r>
        <w:rPr>
          <w:rFonts w:ascii="Arial" w:cs="Arial" w:eastAsia="Arial" w:hAnsi="Arial"/>
          <w:sz w:val="18"/>
          <w:szCs w:val="18"/>
          <w:color w:val="auto"/>
        </w:rPr>
        <w:t>On February 8, 2005, the company completed the acquisition of certain assets and assumed certain liabilities of Hayter Limited (Hayter). Hayter designs, manufactures, and markets residential and professional turf maintenance equipment primarily for the United Kingdom market, with expected additional net sales to Toro of approximately $35 million for fiscal 2005. If the acquisition of Hayter would have been</w:t>
      </w:r>
    </w:p>
    <w:p>
      <w:pPr>
        <w:sectPr>
          <w:pgSz w:w="11900" w:h="16838" w:orient="portrait"/>
          <w:cols w:equalWidth="0" w:num="1">
            <w:col w:w="11420"/>
          </w:cols>
          <w:pgMar w:left="240" w:top="122" w:right="239" w:bottom="0" w:gutter="0" w:footer="0" w:header="0"/>
          <w:type w:val="continuous"/>
        </w:sectPr>
      </w:pPr>
    </w:p>
    <w:bookmarkStart w:id="4" w:name="page5"/>
    <w:bookmarkEnd w:id="4"/>
    <w:p>
      <w:pPr>
        <w:ind w:right="40"/>
        <w:spacing w:after="0" w:line="274" w:lineRule="auto"/>
        <w:rPr>
          <w:sz w:val="20"/>
          <w:szCs w:val="20"/>
          <w:color w:val="auto"/>
        </w:rPr>
      </w:pPr>
      <w:r>
        <w:rPr>
          <w:rFonts w:ascii="Arial" w:cs="Arial" w:eastAsia="Arial" w:hAnsi="Arial"/>
          <w:sz w:val="18"/>
          <w:szCs w:val="18"/>
          <w:color w:val="auto"/>
        </w:rPr>
        <w:t>consummated as of November 1, 2004, the expected impact on Toro’s net sales would have been an increase of approximately $50 million for fiscal 2005. The preliminary purchase price was approximately $35 million, which was paid in cash, and included $31 million of current assets; $10.6 million of property, plant, and equipment; $7.6 million of intangible assets; and $13.8 million of assumed liabilities. The purchase price has been allocated to the identifiable assets acquired and liabilities assumed based on preliminary estimates of their fair values, with the excess purchase price recorded as goodwill. The purchase price should be finalized during the fourth quarter of fiscal 2005, with any necessary adjustments based on settlement of the final working capital statement to be recorded at that time. See note sections entitled “Goodwill” and “Other Intangible Assets” for further details related to the acquired intangible assets.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Comprehensive Income</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color w:val="auto"/>
        </w:rPr>
        <w:t>Comprehensive income and the components of other comprehensive income (loss) were as follows:</w:t>
      </w:r>
    </w:p>
    <w:p>
      <w:pPr>
        <w:spacing w:after="0" w:line="229" w:lineRule="exact"/>
        <w:rPr>
          <w:sz w:val="20"/>
          <w:szCs w:val="20"/>
          <w:color w:val="auto"/>
        </w:rPr>
      </w:pPr>
    </w:p>
    <w:tbl>
      <w:tblPr>
        <w:tblLayout w:type="fixed"/>
        <w:tblInd w:w="340" w:type="dxa"/>
        <w:tblCellMar>
          <w:top w:w="0" w:type="dxa"/>
          <w:left w:w="0" w:type="dxa"/>
          <w:bottom w:w="0" w:type="dxa"/>
          <w:right w:w="0" w:type="dxa"/>
        </w:tblCellMar>
      </w:tblPr>
      <w:tr>
        <w:trPr>
          <w:trHeight w:val="246"/>
        </w:trPr>
        <w:tc>
          <w:tcPr>
            <w:tcW w:w="4280" w:type="dxa"/>
            <w:vAlign w:val="bottom"/>
            <w:vMerge w:val="restart"/>
          </w:tcPr>
          <w:p>
            <w:pPr>
              <w:spacing w:after="0"/>
              <w:rPr>
                <w:sz w:val="20"/>
                <w:szCs w:val="20"/>
                <w:color w:val="auto"/>
              </w:rPr>
            </w:pPr>
            <w:r>
              <w:rPr>
                <w:rFonts w:ascii="Arial" w:cs="Arial" w:eastAsia="Arial" w:hAnsi="Arial"/>
                <w:sz w:val="20"/>
                <w:szCs w:val="20"/>
                <w:color w:val="auto"/>
              </w:rPr>
              <w:t>(Dollars in thousands)</w:t>
            </w: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60" w:type="dxa"/>
            <w:vAlign w:val="bottom"/>
            <w:gridSpan w:val="5"/>
          </w:tcPr>
          <w:p>
            <w:pPr>
              <w:jc w:val="right"/>
              <w:ind w:right="720"/>
              <w:spacing w:after="0"/>
              <w:rPr>
                <w:sz w:val="20"/>
                <w:szCs w:val="20"/>
                <w:color w:val="auto"/>
              </w:rPr>
            </w:pPr>
            <w:r>
              <w:rPr>
                <w:rFonts w:ascii="Arial" w:cs="Arial" w:eastAsia="Arial" w:hAnsi="Arial"/>
                <w:sz w:val="20"/>
                <w:szCs w:val="20"/>
                <w:color w:val="auto"/>
              </w:rPr>
              <w:t>Three Months Ended</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80" w:type="dxa"/>
            <w:vAlign w:val="bottom"/>
            <w:gridSpan w:val="5"/>
          </w:tcPr>
          <w:p>
            <w:pPr>
              <w:jc w:val="right"/>
              <w:ind w:right="700"/>
              <w:spacing w:after="0"/>
              <w:rPr>
                <w:sz w:val="20"/>
                <w:szCs w:val="20"/>
                <w:color w:val="auto"/>
              </w:rPr>
            </w:pPr>
            <w:r>
              <w:rPr>
                <w:rFonts w:ascii="Arial" w:cs="Arial" w:eastAsia="Arial" w:hAnsi="Arial"/>
                <w:sz w:val="20"/>
                <w:szCs w:val="20"/>
                <w:color w:val="auto"/>
              </w:rPr>
              <w:t>Nine Months Ended</w:t>
            </w:r>
          </w:p>
        </w:tc>
        <w:tc>
          <w:tcPr>
            <w:tcW w:w="0" w:type="dxa"/>
            <w:vAlign w:val="bottom"/>
          </w:tcPr>
          <w:p>
            <w:pPr>
              <w:spacing w:after="0"/>
              <w:rPr>
                <w:sz w:val="1"/>
                <w:szCs w:val="1"/>
                <w:color w:val="auto"/>
              </w:rPr>
            </w:pPr>
          </w:p>
        </w:tc>
      </w:tr>
      <w:tr>
        <w:trPr>
          <w:trHeight w:val="206"/>
        </w:trPr>
        <w:tc>
          <w:tcPr>
            <w:tcW w:w="428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right"/>
              <w:ind w:right="580"/>
              <w:spacing w:after="0" w:line="207" w:lineRule="exact"/>
              <w:rPr>
                <w:sz w:val="20"/>
                <w:szCs w:val="20"/>
                <w:color w:val="auto"/>
              </w:rPr>
            </w:pPr>
            <w:r>
              <w:rPr>
                <w:rFonts w:ascii="Arial" w:cs="Arial" w:eastAsia="Arial" w:hAnsi="Arial"/>
                <w:sz w:val="20"/>
                <w:szCs w:val="20"/>
                <w:color w:val="auto"/>
              </w:rPr>
              <w:t>July 29,</w:t>
            </w: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241"/>
              <w:spacing w:after="0" w:line="207" w:lineRule="exact"/>
              <w:rPr>
                <w:sz w:val="20"/>
                <w:szCs w:val="20"/>
                <w:color w:val="auto"/>
              </w:rPr>
            </w:pPr>
            <w:r>
              <w:rPr>
                <w:rFonts w:ascii="Arial" w:cs="Arial" w:eastAsia="Arial" w:hAnsi="Arial"/>
                <w:sz w:val="20"/>
                <w:szCs w:val="20"/>
                <w:color w:val="auto"/>
              </w:rPr>
              <w:t>July 30,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jc w:val="right"/>
              <w:ind w:right="560"/>
              <w:spacing w:after="0" w:line="207" w:lineRule="exact"/>
              <w:rPr>
                <w:sz w:val="20"/>
                <w:szCs w:val="20"/>
                <w:color w:val="auto"/>
              </w:rPr>
            </w:pPr>
            <w:r>
              <w:rPr>
                <w:rFonts w:ascii="Arial" w:cs="Arial" w:eastAsia="Arial" w:hAnsi="Arial"/>
                <w:sz w:val="20"/>
                <w:szCs w:val="20"/>
                <w:color w:val="auto"/>
              </w:rPr>
              <w:t>July 29,</w:t>
            </w: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241"/>
              <w:spacing w:after="0" w:line="207" w:lineRule="exact"/>
              <w:rPr>
                <w:sz w:val="20"/>
                <w:szCs w:val="20"/>
                <w:color w:val="auto"/>
              </w:rPr>
            </w:pPr>
            <w:r>
              <w:rPr>
                <w:rFonts w:ascii="Arial" w:cs="Arial" w:eastAsia="Arial" w:hAnsi="Arial"/>
                <w:sz w:val="20"/>
                <w:szCs w:val="20"/>
                <w:color w:val="auto"/>
              </w:rPr>
              <w:t>July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28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2005</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2004</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2005</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2004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Net earnings</w:t>
            </w: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w w:val="71"/>
              </w:rPr>
              <w:t>$</w:t>
            </w:r>
          </w:p>
        </w:tc>
        <w:tc>
          <w:tcPr>
            <w:tcW w:w="110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34,377</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w w:val="71"/>
              </w:rPr>
              <w:t>$</w:t>
            </w:r>
          </w:p>
        </w:tc>
        <w:tc>
          <w:tcPr>
            <w:tcW w:w="108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34,213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w w:val="71"/>
              </w:rPr>
              <w:t>$</w:t>
            </w:r>
          </w:p>
        </w:tc>
        <w:tc>
          <w:tcPr>
            <w:tcW w:w="108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107,510</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w w:val="71"/>
              </w:rPr>
              <w:t>$</w:t>
            </w:r>
          </w:p>
        </w:tc>
        <w:tc>
          <w:tcPr>
            <w:tcW w:w="108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95,737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100"/>
              <w:spacing w:after="0"/>
              <w:rPr>
                <w:sz w:val="20"/>
                <w:szCs w:val="20"/>
                <w:color w:val="auto"/>
              </w:rPr>
            </w:pPr>
            <w:r>
              <w:rPr>
                <w:rFonts w:ascii="Arial" w:cs="Arial" w:eastAsia="Arial" w:hAnsi="Arial"/>
                <w:sz w:val="20"/>
                <w:szCs w:val="20"/>
                <w:color w:val="auto"/>
              </w:rPr>
              <w:t>Other comprehensive income (loss):</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360"/>
              <w:spacing w:after="0"/>
              <w:rPr>
                <w:sz w:val="20"/>
                <w:szCs w:val="20"/>
                <w:color w:val="auto"/>
              </w:rPr>
            </w:pPr>
            <w:r>
              <w:rPr>
                <w:rFonts w:ascii="Arial" w:cs="Arial" w:eastAsia="Arial" w:hAnsi="Arial"/>
                <w:sz w:val="20"/>
                <w:szCs w:val="20"/>
                <w:color w:val="auto"/>
              </w:rPr>
              <w:t>Cumulative translation adjustments</w:t>
            </w: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(2,881)</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(319)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(2,063)</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(414)</w:t>
            </w:r>
          </w:p>
        </w:tc>
        <w:tc>
          <w:tcPr>
            <w:tcW w:w="0" w:type="dxa"/>
            <w:vAlign w:val="bottom"/>
          </w:tcPr>
          <w:p>
            <w:pPr>
              <w:spacing w:after="0"/>
              <w:rPr>
                <w:sz w:val="1"/>
                <w:szCs w:val="1"/>
                <w:color w:val="auto"/>
              </w:rPr>
            </w:pPr>
          </w:p>
        </w:tc>
      </w:tr>
      <w:tr>
        <w:trPr>
          <w:trHeight w:val="230"/>
        </w:trPr>
        <w:tc>
          <w:tcPr>
            <w:tcW w:w="4280" w:type="dxa"/>
            <w:vAlign w:val="bottom"/>
          </w:tcPr>
          <w:p>
            <w:pPr>
              <w:ind w:left="360"/>
              <w:spacing w:after="0"/>
              <w:rPr>
                <w:sz w:val="20"/>
                <w:szCs w:val="20"/>
                <w:color w:val="auto"/>
              </w:rPr>
            </w:pPr>
            <w:r>
              <w:rPr>
                <w:rFonts w:ascii="Arial" w:cs="Arial" w:eastAsia="Arial" w:hAnsi="Arial"/>
                <w:sz w:val="20"/>
                <w:szCs w:val="20"/>
                <w:color w:val="auto"/>
              </w:rPr>
              <w:t>Unrealized gain on derivative instruments</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482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20"/>
                <w:szCs w:val="20"/>
                <w:color w:val="auto"/>
              </w:rPr>
              <w:t>324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20"/>
                <w:szCs w:val="20"/>
                <w:color w:val="auto"/>
              </w:rPr>
              <w:t>1,790</w:t>
            </w:r>
          </w:p>
        </w:tc>
        <w:tc>
          <w:tcPr>
            <w:tcW w:w="2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20"/>
                <w:szCs w:val="20"/>
                <w:color w:val="auto"/>
              </w:rPr>
              <w:t>1,934</w:t>
            </w:r>
          </w:p>
        </w:tc>
        <w:tc>
          <w:tcPr>
            <w:tcW w:w="0" w:type="dxa"/>
            <w:vAlign w:val="bottom"/>
          </w:tcPr>
          <w:p>
            <w:pPr>
              <w:spacing w:after="0"/>
              <w:rPr>
                <w:sz w:val="1"/>
                <w:szCs w:val="1"/>
                <w:color w:val="auto"/>
              </w:rPr>
            </w:pPr>
          </w:p>
        </w:tc>
      </w:tr>
      <w:tr>
        <w:trPr>
          <w:trHeight w:val="230"/>
        </w:trPr>
        <w:tc>
          <w:tcPr>
            <w:tcW w:w="4280" w:type="dxa"/>
            <w:vAlign w:val="bottom"/>
            <w:tcBorders>
              <w:top w:val="single" w:sz="8" w:color="CCEEFF"/>
              <w:bottom w:val="single" w:sz="8" w:color="CCEEFF"/>
            </w:tcBorders>
            <w:shd w:val="clear" w:color="auto" w:fill="CCEEFF"/>
          </w:tcPr>
          <w:p>
            <w:pPr>
              <w:ind w:left="180"/>
              <w:spacing w:after="0" w:line="223" w:lineRule="exact"/>
              <w:rPr>
                <w:sz w:val="20"/>
                <w:szCs w:val="20"/>
                <w:color w:val="auto"/>
              </w:rPr>
            </w:pPr>
            <w:r>
              <w:rPr>
                <w:rFonts w:ascii="Arial" w:cs="Arial" w:eastAsia="Arial" w:hAnsi="Arial"/>
                <w:sz w:val="20"/>
                <w:szCs w:val="20"/>
                <w:color w:val="auto"/>
              </w:rPr>
              <w:t>Comprehensive income</w:t>
            </w:r>
          </w:p>
        </w:tc>
        <w:tc>
          <w:tcPr>
            <w:tcW w:w="6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w w:val="71"/>
              </w:rPr>
              <w:t>$</w:t>
            </w:r>
          </w:p>
        </w:tc>
        <w:tc>
          <w:tcPr>
            <w:tcW w:w="110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31,978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w w:val="71"/>
              </w:rPr>
              <w:t>$</w:t>
            </w:r>
          </w:p>
        </w:tc>
        <w:tc>
          <w:tcPr>
            <w:tcW w:w="108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34,218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w w:val="71"/>
              </w:rPr>
              <w:t>$</w:t>
            </w:r>
          </w:p>
        </w:tc>
        <w:tc>
          <w:tcPr>
            <w:tcW w:w="108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107,237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w w:val="71"/>
              </w:rPr>
              <w:t>$</w:t>
            </w:r>
          </w:p>
        </w:tc>
        <w:tc>
          <w:tcPr>
            <w:tcW w:w="108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97,257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Stock-Based Compensation</w:t>
      </w:r>
    </w:p>
    <w:p>
      <w:pPr>
        <w:spacing w:after="0" w:line="122" w:lineRule="exact"/>
        <w:rPr>
          <w:sz w:val="20"/>
          <w:szCs w:val="20"/>
          <w:color w:val="auto"/>
        </w:rPr>
      </w:pPr>
    </w:p>
    <w:p>
      <w:pPr>
        <w:spacing w:after="0" w:line="254" w:lineRule="auto"/>
        <w:rPr>
          <w:sz w:val="20"/>
          <w:szCs w:val="20"/>
          <w:color w:val="auto"/>
        </w:rPr>
      </w:pPr>
      <w:r>
        <w:rPr>
          <w:rFonts w:ascii="Arial" w:cs="Arial" w:eastAsia="Arial" w:hAnsi="Arial"/>
          <w:sz w:val="19"/>
          <w:szCs w:val="19"/>
          <w:color w:val="auto"/>
        </w:rPr>
        <w:t>Effective November 1, 2004, the company adopted the provisions of Statement of Financial Accounting Standards (SFAS) No. 123 (Revised 2004), “Share-Based Payment.” The company adopted the provisions of SFAS No. 123R using the modified prospective application, which applies to new awards granted, unvested awards as of the date of adoption, and to awards modified, repurchased or cancelled after the date of adoption. SFAS No. 123R focuses primarily on accounting for transactions in which an entity obtains employee services through share-based payment transactions. SFAS No. 123R requires a public entity to measure the cost of employee services received in exchange for the award of equity instruments based on the fair value of the award as of the date of grant. The company had previously accounted for stock-based compensation under the recognition and measurement principles of Accounting Principles Board Opinion No. 25, “Accounting for Stock Issued to Employees,” (APB No. 25), and related Interpretations.</w:t>
      </w:r>
    </w:p>
    <w:p>
      <w:pPr>
        <w:spacing w:after="0" w:line="3" w:lineRule="exact"/>
        <w:rPr>
          <w:sz w:val="20"/>
          <w:szCs w:val="20"/>
          <w:color w:val="auto"/>
        </w:rPr>
      </w:pPr>
    </w:p>
    <w:p>
      <w:pPr>
        <w:ind w:right="80" w:firstLine="324"/>
        <w:spacing w:after="0" w:line="239" w:lineRule="auto"/>
        <w:rPr>
          <w:sz w:val="20"/>
          <w:szCs w:val="20"/>
          <w:color w:val="auto"/>
        </w:rPr>
      </w:pPr>
      <w:r>
        <w:rPr>
          <w:rFonts w:ascii="Arial" w:cs="Arial" w:eastAsia="Arial" w:hAnsi="Arial"/>
          <w:sz w:val="20"/>
          <w:szCs w:val="20"/>
          <w:color w:val="auto"/>
        </w:rPr>
        <w:t>During the first quarter of fiscal 2005, option awards were granted with an exercise price equal to the market price of the company’s common stock as of the date of grant. For certain non-officer employees, the 2005 options vest after two years and have a five-year contractual term. This was the first time the two-year vesting was required for options granted to the non-officer employee group. Other options granted during the first quarter of fiscal 2005 vest one-third each year over a three year period and have a ten-year contractual term. No stock-based awards were granted during the second and third quarters of fiscal 2005.</w:t>
      </w:r>
    </w:p>
    <w:p>
      <w:pPr>
        <w:spacing w:after="0" w:line="3" w:lineRule="exact"/>
        <w:rPr>
          <w:sz w:val="20"/>
          <w:szCs w:val="20"/>
          <w:color w:val="auto"/>
        </w:rPr>
      </w:pPr>
    </w:p>
    <w:p>
      <w:pPr>
        <w:ind w:right="80" w:firstLine="324"/>
        <w:spacing w:after="0" w:line="239" w:lineRule="auto"/>
        <w:rPr>
          <w:sz w:val="20"/>
          <w:szCs w:val="20"/>
          <w:color w:val="auto"/>
        </w:rPr>
      </w:pPr>
      <w:r>
        <w:rPr>
          <w:rFonts w:ascii="Arial" w:cs="Arial" w:eastAsia="Arial" w:hAnsi="Arial"/>
          <w:sz w:val="20"/>
          <w:szCs w:val="20"/>
          <w:color w:val="auto"/>
        </w:rPr>
        <w:t>The company also issues Performance Shares to key employees. Under the provisions of APB No. 25, the change in value of these Performance Shares (based on the change in Toro’s stock price) was recognized in the financial statements and the cost of the award was expensed over the vesting period. Under the provisions of SFAS No. 123R, the company determines the fair value of these Performance Shares as of the date of grant and recognizes the expense over the vesting period.</w:t>
      </w:r>
    </w:p>
    <w:p>
      <w:pPr>
        <w:spacing w:after="0" w:line="2" w:lineRule="exact"/>
        <w:rPr>
          <w:sz w:val="20"/>
          <w:szCs w:val="20"/>
          <w:color w:val="auto"/>
        </w:rPr>
      </w:pPr>
    </w:p>
    <w:p>
      <w:pPr>
        <w:ind w:right="300" w:firstLine="324"/>
        <w:spacing w:after="0" w:line="241" w:lineRule="auto"/>
        <w:rPr>
          <w:sz w:val="20"/>
          <w:szCs w:val="20"/>
          <w:color w:val="auto"/>
        </w:rPr>
      </w:pPr>
      <w:r>
        <w:rPr>
          <w:rFonts w:ascii="Arial" w:cs="Arial" w:eastAsia="Arial" w:hAnsi="Arial"/>
          <w:sz w:val="20"/>
          <w:szCs w:val="20"/>
          <w:color w:val="auto"/>
        </w:rPr>
        <w:t>The following table illustrates the effect on net earnings and net earnings per share if the company had applied the fair value recognition provisions of SFAS No. 123R for the third quarter and year-to-date period of fiscal 2004 compared to the actual data reported for the third quarter and year-to-date period of fiscal 2005.</w:t>
      </w:r>
    </w:p>
    <w:p>
      <w:pPr>
        <w:spacing w:after="0" w:line="210" w:lineRule="exact"/>
        <w:rPr>
          <w:sz w:val="20"/>
          <w:szCs w:val="20"/>
          <w:color w:val="auto"/>
        </w:rPr>
      </w:pPr>
    </w:p>
    <w:tbl>
      <w:tblPr>
        <w:tblLayout w:type="fixed"/>
        <w:tblInd w:w="260" w:type="dxa"/>
        <w:tblCellMar>
          <w:top w:w="0" w:type="dxa"/>
          <w:left w:w="0" w:type="dxa"/>
          <w:bottom w:w="0" w:type="dxa"/>
          <w:right w:w="0" w:type="dxa"/>
        </w:tblCellMar>
      </w:tblPr>
      <w:tr>
        <w:trPr>
          <w:trHeight w:val="246"/>
        </w:trPr>
        <w:tc>
          <w:tcPr>
            <w:tcW w:w="4900" w:type="dxa"/>
            <w:vAlign w:val="bottom"/>
            <w:vMerge w:val="restart"/>
          </w:tcPr>
          <w:p>
            <w:pPr>
              <w:spacing w:after="0"/>
              <w:rPr>
                <w:sz w:val="20"/>
                <w:szCs w:val="20"/>
                <w:color w:val="auto"/>
              </w:rPr>
            </w:pPr>
            <w:r>
              <w:rPr>
                <w:rFonts w:ascii="Arial" w:cs="Arial" w:eastAsia="Arial" w:hAnsi="Arial"/>
                <w:sz w:val="20"/>
                <w:szCs w:val="20"/>
                <w:color w:val="auto"/>
              </w:rPr>
              <w:t>(Dollars in thousands, except per share data)</w:t>
            </w:r>
          </w:p>
        </w:tc>
        <w:tc>
          <w:tcPr>
            <w:tcW w:w="220" w:type="dxa"/>
            <w:vAlign w:val="bottom"/>
          </w:tcPr>
          <w:p>
            <w:pPr>
              <w:spacing w:after="0"/>
              <w:rPr>
                <w:sz w:val="21"/>
                <w:szCs w:val="21"/>
                <w:color w:val="auto"/>
              </w:rPr>
            </w:pPr>
          </w:p>
        </w:tc>
        <w:tc>
          <w:tcPr>
            <w:tcW w:w="2820" w:type="dxa"/>
            <w:vAlign w:val="bottom"/>
            <w:gridSpan w:val="5"/>
          </w:tcPr>
          <w:p>
            <w:pPr>
              <w:jc w:val="right"/>
              <w:ind w:right="800"/>
              <w:spacing w:after="0"/>
              <w:rPr>
                <w:sz w:val="20"/>
                <w:szCs w:val="20"/>
                <w:color w:val="auto"/>
              </w:rPr>
            </w:pPr>
            <w:r>
              <w:rPr>
                <w:rFonts w:ascii="Arial" w:cs="Arial" w:eastAsia="Arial" w:hAnsi="Arial"/>
                <w:sz w:val="20"/>
                <w:szCs w:val="20"/>
                <w:color w:val="auto"/>
              </w:rPr>
              <w:t>Three Months Ended</w:t>
            </w:r>
          </w:p>
        </w:tc>
        <w:tc>
          <w:tcPr>
            <w:tcW w:w="220" w:type="dxa"/>
            <w:vAlign w:val="bottom"/>
          </w:tcPr>
          <w:p>
            <w:pPr>
              <w:spacing w:after="0"/>
              <w:rPr>
                <w:sz w:val="21"/>
                <w:szCs w:val="21"/>
                <w:color w:val="auto"/>
              </w:rPr>
            </w:pPr>
          </w:p>
        </w:tc>
        <w:tc>
          <w:tcPr>
            <w:tcW w:w="2680" w:type="dxa"/>
            <w:vAlign w:val="bottom"/>
            <w:gridSpan w:val="5"/>
          </w:tcPr>
          <w:p>
            <w:pPr>
              <w:jc w:val="right"/>
              <w:ind w:right="700"/>
              <w:spacing w:after="0"/>
              <w:rPr>
                <w:sz w:val="20"/>
                <w:szCs w:val="20"/>
                <w:color w:val="auto"/>
              </w:rPr>
            </w:pPr>
            <w:r>
              <w:rPr>
                <w:rFonts w:ascii="Arial" w:cs="Arial" w:eastAsia="Arial" w:hAnsi="Arial"/>
                <w:sz w:val="20"/>
                <w:szCs w:val="20"/>
                <w:color w:val="auto"/>
              </w:rPr>
              <w:t>Nine Months Ended</w:t>
            </w:r>
          </w:p>
        </w:tc>
        <w:tc>
          <w:tcPr>
            <w:tcW w:w="0" w:type="dxa"/>
            <w:vAlign w:val="bottom"/>
          </w:tcPr>
          <w:p>
            <w:pPr>
              <w:spacing w:after="0"/>
              <w:rPr>
                <w:sz w:val="1"/>
                <w:szCs w:val="1"/>
                <w:color w:val="auto"/>
              </w:rPr>
            </w:pPr>
          </w:p>
        </w:tc>
      </w:tr>
      <w:tr>
        <w:trPr>
          <w:trHeight w:val="206"/>
        </w:trPr>
        <w:tc>
          <w:tcPr>
            <w:tcW w:w="4900" w:type="dxa"/>
            <w:vAlign w:val="bottom"/>
            <w:vMerge w:val="continue"/>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right"/>
              <w:ind w:right="580"/>
              <w:spacing w:after="0" w:line="207" w:lineRule="exact"/>
              <w:rPr>
                <w:sz w:val="20"/>
                <w:szCs w:val="20"/>
                <w:color w:val="auto"/>
              </w:rPr>
            </w:pPr>
            <w:r>
              <w:rPr>
                <w:rFonts w:ascii="Arial" w:cs="Arial" w:eastAsia="Arial" w:hAnsi="Arial"/>
                <w:sz w:val="20"/>
                <w:szCs w:val="20"/>
                <w:color w:val="auto"/>
              </w:rPr>
              <w:t>July 29,</w:t>
            </w: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221"/>
              <w:spacing w:after="0" w:line="207" w:lineRule="exact"/>
              <w:rPr>
                <w:sz w:val="20"/>
                <w:szCs w:val="20"/>
                <w:color w:val="auto"/>
              </w:rPr>
            </w:pPr>
            <w:r>
              <w:rPr>
                <w:rFonts w:ascii="Arial" w:cs="Arial" w:eastAsia="Arial" w:hAnsi="Arial"/>
                <w:sz w:val="20"/>
                <w:szCs w:val="20"/>
                <w:color w:val="auto"/>
              </w:rPr>
              <w:t>July 30,</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right"/>
              <w:ind w:right="540"/>
              <w:spacing w:after="0" w:line="207" w:lineRule="exact"/>
              <w:rPr>
                <w:sz w:val="20"/>
                <w:szCs w:val="20"/>
                <w:color w:val="auto"/>
              </w:rPr>
            </w:pPr>
            <w:r>
              <w:rPr>
                <w:rFonts w:ascii="Arial" w:cs="Arial" w:eastAsia="Arial" w:hAnsi="Arial"/>
                <w:sz w:val="20"/>
                <w:szCs w:val="20"/>
                <w:color w:val="auto"/>
              </w:rPr>
              <w:t>July 29,</w:t>
            </w: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221"/>
              <w:spacing w:after="0" w:line="207" w:lineRule="exact"/>
              <w:rPr>
                <w:sz w:val="20"/>
                <w:szCs w:val="20"/>
                <w:color w:val="auto"/>
              </w:rPr>
            </w:pPr>
            <w:r>
              <w:rPr>
                <w:rFonts w:ascii="Arial" w:cs="Arial" w:eastAsia="Arial" w:hAnsi="Arial"/>
                <w:sz w:val="20"/>
                <w:szCs w:val="20"/>
                <w:color w:val="auto"/>
              </w:rPr>
              <w:t>July 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9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2005</w:t>
            </w:r>
          </w:p>
        </w:tc>
        <w:tc>
          <w:tcPr>
            <w:tcW w:w="2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2004</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2005</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2004</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Net earnings, as reported</w:t>
            </w:r>
          </w:p>
        </w:tc>
        <w:tc>
          <w:tcPr>
            <w:tcW w:w="220" w:type="dxa"/>
            <w:vAlign w:val="bottom"/>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w w:val="71"/>
              </w:rPr>
              <w:t>$</w:t>
            </w:r>
          </w:p>
        </w:tc>
        <w:tc>
          <w:tcPr>
            <w:tcW w:w="108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34,377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w w:val="71"/>
              </w:rPr>
              <w:t>$</w:t>
            </w:r>
          </w:p>
        </w:tc>
        <w:tc>
          <w:tcPr>
            <w:tcW w:w="10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34,213</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w w:val="71"/>
              </w:rPr>
              <w:t>$</w:t>
            </w:r>
          </w:p>
        </w:tc>
        <w:tc>
          <w:tcPr>
            <w:tcW w:w="10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107,510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w w:val="71"/>
              </w:rPr>
              <w:t>$</w:t>
            </w:r>
          </w:p>
        </w:tc>
        <w:tc>
          <w:tcPr>
            <w:tcW w:w="10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95,737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00" w:type="dxa"/>
            <w:vAlign w:val="bottom"/>
          </w:tcPr>
          <w:p>
            <w:pPr>
              <w:spacing w:after="0" w:line="213" w:lineRule="exact"/>
              <w:rPr>
                <w:sz w:val="20"/>
                <w:szCs w:val="20"/>
                <w:color w:val="auto"/>
              </w:rPr>
            </w:pPr>
            <w:r>
              <w:rPr>
                <w:rFonts w:ascii="Arial" w:cs="Arial" w:eastAsia="Arial" w:hAnsi="Arial"/>
                <w:sz w:val="20"/>
                <w:szCs w:val="20"/>
                <w:color w:val="auto"/>
                <w:w w:val="94"/>
              </w:rPr>
              <w:t>Stock-based compensation cost, net of tax, included in net</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4900" w:type="dxa"/>
            <w:vAlign w:val="bottom"/>
          </w:tcPr>
          <w:p>
            <w:pPr>
              <w:ind w:left="180"/>
              <w:spacing w:after="0"/>
              <w:rPr>
                <w:sz w:val="20"/>
                <w:szCs w:val="20"/>
                <w:color w:val="auto"/>
              </w:rPr>
            </w:pPr>
            <w:r>
              <w:rPr>
                <w:rFonts w:ascii="Arial" w:cs="Arial" w:eastAsia="Arial" w:hAnsi="Arial"/>
                <w:sz w:val="20"/>
                <w:szCs w:val="20"/>
                <w:color w:val="auto"/>
              </w:rPr>
              <w:t>earnings as reported</w:t>
            </w:r>
          </w:p>
        </w:tc>
        <w:tc>
          <w:tcPr>
            <w:tcW w:w="22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20"/>
                <w:szCs w:val="20"/>
                <w:color w:val="auto"/>
              </w:rPr>
              <w:t>1,597</w:t>
            </w:r>
          </w:p>
        </w:tc>
        <w:tc>
          <w:tcPr>
            <w:tcW w:w="22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20"/>
                <w:szCs w:val="20"/>
                <w:color w:val="auto"/>
              </w:rPr>
              <w:t>4,504</w:t>
            </w:r>
          </w:p>
        </w:tc>
        <w:tc>
          <w:tcPr>
            <w:tcW w:w="22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20"/>
                <w:szCs w:val="20"/>
                <w:color w:val="auto"/>
              </w:rPr>
              <w:t>4,738</w:t>
            </w:r>
          </w:p>
        </w:tc>
        <w:tc>
          <w:tcPr>
            <w:tcW w:w="22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20"/>
                <w:szCs w:val="20"/>
                <w:color w:val="auto"/>
              </w:rPr>
              <w:t>8,500</w:t>
            </w:r>
          </w:p>
        </w:tc>
        <w:tc>
          <w:tcPr>
            <w:tcW w:w="0" w:type="dxa"/>
            <w:vAlign w:val="bottom"/>
          </w:tcPr>
          <w:p>
            <w:pPr>
              <w:spacing w:after="0"/>
              <w:rPr>
                <w:sz w:val="1"/>
                <w:szCs w:val="1"/>
                <w:color w:val="auto"/>
              </w:rPr>
            </w:pPr>
          </w:p>
        </w:tc>
      </w:tr>
      <w:tr>
        <w:trPr>
          <w:trHeight w:val="213"/>
        </w:trPr>
        <w:tc>
          <w:tcPr>
            <w:tcW w:w="4900" w:type="dxa"/>
            <w:vAlign w:val="bottom"/>
            <w:shd w:val="clear" w:color="auto" w:fill="CCEEFF"/>
          </w:tcPr>
          <w:p>
            <w:pPr>
              <w:spacing w:after="0" w:line="213" w:lineRule="exact"/>
              <w:rPr>
                <w:sz w:val="20"/>
                <w:szCs w:val="20"/>
                <w:color w:val="auto"/>
              </w:rPr>
            </w:pPr>
            <w:r>
              <w:rPr>
                <w:rFonts w:ascii="Arial" w:cs="Arial" w:eastAsia="Arial" w:hAnsi="Arial"/>
                <w:sz w:val="20"/>
                <w:szCs w:val="20"/>
                <w:color w:val="auto"/>
              </w:rPr>
              <w:t>Stock-based compensation cost, net of tax, if fair value</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4900" w:type="dxa"/>
            <w:vAlign w:val="bottom"/>
            <w:shd w:val="clear" w:color="auto" w:fill="CCEEFF"/>
          </w:tcPr>
          <w:p>
            <w:pPr>
              <w:ind w:left="180"/>
              <w:spacing w:after="0"/>
              <w:rPr>
                <w:sz w:val="20"/>
                <w:szCs w:val="20"/>
                <w:color w:val="auto"/>
              </w:rPr>
            </w:pPr>
            <w:r>
              <w:rPr>
                <w:rFonts w:ascii="Arial" w:cs="Arial" w:eastAsia="Arial" w:hAnsi="Arial"/>
                <w:sz w:val="20"/>
                <w:szCs w:val="20"/>
                <w:color w:val="auto"/>
              </w:rPr>
              <w:t>method had been applied</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(1,597)</w:t>
            </w:r>
          </w:p>
        </w:tc>
        <w:tc>
          <w:tcPr>
            <w:tcW w:w="2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(1,576)</w:t>
            </w:r>
          </w:p>
        </w:tc>
        <w:tc>
          <w:tcPr>
            <w:tcW w:w="2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(4,738)</w:t>
            </w: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(5,961)</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line="213" w:lineRule="exact"/>
              <w:rPr>
                <w:sz w:val="20"/>
                <w:szCs w:val="20"/>
                <w:color w:val="auto"/>
              </w:rPr>
            </w:pPr>
            <w:r>
              <w:rPr>
                <w:rFonts w:ascii="Arial" w:cs="Arial" w:eastAsia="Arial" w:hAnsi="Arial"/>
                <w:sz w:val="20"/>
                <w:szCs w:val="20"/>
                <w:color w:val="auto"/>
                <w:w w:val="98"/>
              </w:rPr>
              <w:t>Pro forma net earnings as if fair-value method had been</w:t>
            </w: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900" w:type="dxa"/>
            <w:vAlign w:val="bottom"/>
            <w:vMerge w:val="continue"/>
          </w:tcPr>
          <w:p>
            <w:pPr>
              <w:spacing w:after="0"/>
              <w:rPr>
                <w:sz w:val="16"/>
                <w:szCs w:val="16"/>
                <w:color w:val="auto"/>
              </w:rPr>
            </w:pPr>
          </w:p>
        </w:tc>
        <w:tc>
          <w:tcPr>
            <w:tcW w:w="220" w:type="dxa"/>
            <w:vAlign w:val="bottom"/>
            <w:vMerge w:val="restart"/>
          </w:tcPr>
          <w:p>
            <w:pPr>
              <w:jc w:val="right"/>
              <w:ind w:right="21"/>
              <w:spacing w:after="0"/>
              <w:rPr>
                <w:sz w:val="20"/>
                <w:szCs w:val="20"/>
                <w:color w:val="auto"/>
              </w:rPr>
            </w:pPr>
            <w:r>
              <w:rPr>
                <w:rFonts w:ascii="Arial" w:cs="Arial" w:eastAsia="Arial" w:hAnsi="Arial"/>
                <w:sz w:val="20"/>
                <w:szCs w:val="20"/>
                <w:color w:val="auto"/>
                <w:w w:val="71"/>
              </w:rPr>
              <w:t>$</w:t>
            </w:r>
          </w:p>
        </w:tc>
        <w:tc>
          <w:tcPr>
            <w:tcW w:w="1320" w:type="dxa"/>
            <w:vAlign w:val="bottom"/>
            <w:gridSpan w:val="2"/>
            <w:vMerge w:val="restart"/>
          </w:tcPr>
          <w:p>
            <w:pPr>
              <w:jc w:val="right"/>
              <w:ind w:right="240"/>
              <w:spacing w:after="0"/>
              <w:rPr>
                <w:sz w:val="20"/>
                <w:szCs w:val="20"/>
                <w:color w:val="auto"/>
              </w:rPr>
            </w:pPr>
            <w:r>
              <w:rPr>
                <w:rFonts w:ascii="Arial" w:cs="Arial" w:eastAsia="Arial" w:hAnsi="Arial"/>
                <w:sz w:val="20"/>
                <w:szCs w:val="20"/>
                <w:color w:val="auto"/>
              </w:rPr>
              <w:t>34,377</w:t>
            </w:r>
          </w:p>
        </w:tc>
        <w:tc>
          <w:tcPr>
            <w:tcW w:w="220" w:type="dxa"/>
            <w:vAlign w:val="bottom"/>
            <w:vMerge w:val="restart"/>
          </w:tcPr>
          <w:p>
            <w:pPr>
              <w:jc w:val="right"/>
              <w:ind w:right="21"/>
              <w:spacing w:after="0"/>
              <w:rPr>
                <w:sz w:val="20"/>
                <w:szCs w:val="20"/>
                <w:color w:val="auto"/>
              </w:rPr>
            </w:pPr>
            <w:r>
              <w:rPr>
                <w:rFonts w:ascii="Arial" w:cs="Arial" w:eastAsia="Arial" w:hAnsi="Arial"/>
                <w:sz w:val="20"/>
                <w:szCs w:val="20"/>
                <w:color w:val="auto"/>
                <w:w w:val="71"/>
              </w:rPr>
              <w:t>$</w:t>
            </w:r>
          </w:p>
        </w:tc>
        <w:tc>
          <w:tcPr>
            <w:tcW w:w="1280" w:type="dxa"/>
            <w:vAlign w:val="bottom"/>
            <w:gridSpan w:val="2"/>
            <w:vMerge w:val="restart"/>
          </w:tcPr>
          <w:p>
            <w:pPr>
              <w:jc w:val="right"/>
              <w:ind w:right="200"/>
              <w:spacing w:after="0"/>
              <w:rPr>
                <w:sz w:val="20"/>
                <w:szCs w:val="20"/>
                <w:color w:val="auto"/>
              </w:rPr>
            </w:pPr>
            <w:r>
              <w:rPr>
                <w:rFonts w:ascii="Arial" w:cs="Arial" w:eastAsia="Arial" w:hAnsi="Arial"/>
                <w:sz w:val="20"/>
                <w:szCs w:val="20"/>
                <w:color w:val="auto"/>
              </w:rPr>
              <w:t>37,141</w:t>
            </w:r>
          </w:p>
        </w:tc>
        <w:tc>
          <w:tcPr>
            <w:tcW w:w="220" w:type="dxa"/>
            <w:vAlign w:val="bottom"/>
            <w:vMerge w:val="restart"/>
          </w:tcPr>
          <w:p>
            <w:pPr>
              <w:jc w:val="right"/>
              <w:ind w:right="21"/>
              <w:spacing w:after="0"/>
              <w:rPr>
                <w:sz w:val="20"/>
                <w:szCs w:val="20"/>
                <w:color w:val="auto"/>
              </w:rPr>
            </w:pPr>
            <w:r>
              <w:rPr>
                <w:rFonts w:ascii="Arial" w:cs="Arial" w:eastAsia="Arial" w:hAnsi="Arial"/>
                <w:sz w:val="20"/>
                <w:szCs w:val="20"/>
                <w:color w:val="auto"/>
                <w:w w:val="71"/>
              </w:rPr>
              <w:t>$</w:t>
            </w:r>
          </w:p>
        </w:tc>
        <w:tc>
          <w:tcPr>
            <w:tcW w:w="1280" w:type="dxa"/>
            <w:vAlign w:val="bottom"/>
            <w:gridSpan w:val="2"/>
            <w:vMerge w:val="restart"/>
          </w:tcPr>
          <w:p>
            <w:pPr>
              <w:jc w:val="right"/>
              <w:ind w:right="200"/>
              <w:spacing w:after="0"/>
              <w:rPr>
                <w:sz w:val="20"/>
                <w:szCs w:val="20"/>
                <w:color w:val="auto"/>
              </w:rPr>
            </w:pPr>
            <w:r>
              <w:rPr>
                <w:rFonts w:ascii="Arial" w:cs="Arial" w:eastAsia="Arial" w:hAnsi="Arial"/>
                <w:sz w:val="20"/>
                <w:szCs w:val="20"/>
                <w:color w:val="auto"/>
              </w:rPr>
              <w:t>107,510</w:t>
            </w:r>
          </w:p>
        </w:tc>
        <w:tc>
          <w:tcPr>
            <w:tcW w:w="220" w:type="dxa"/>
            <w:vAlign w:val="bottom"/>
            <w:vMerge w:val="restart"/>
          </w:tcPr>
          <w:p>
            <w:pPr>
              <w:jc w:val="right"/>
              <w:ind w:right="21"/>
              <w:spacing w:after="0"/>
              <w:rPr>
                <w:sz w:val="20"/>
                <w:szCs w:val="20"/>
                <w:color w:val="auto"/>
              </w:rPr>
            </w:pPr>
            <w:r>
              <w:rPr>
                <w:rFonts w:ascii="Arial" w:cs="Arial" w:eastAsia="Arial" w:hAnsi="Arial"/>
                <w:sz w:val="20"/>
                <w:szCs w:val="20"/>
                <w:color w:val="auto"/>
                <w:w w:val="71"/>
              </w:rPr>
              <w:t>$</w:t>
            </w:r>
          </w:p>
        </w:tc>
        <w:tc>
          <w:tcPr>
            <w:tcW w:w="1180" w:type="dxa"/>
            <w:vAlign w:val="bottom"/>
            <w:gridSpan w:val="2"/>
            <w:vMerge w:val="restart"/>
          </w:tcPr>
          <w:p>
            <w:pPr>
              <w:jc w:val="right"/>
              <w:ind w:right="100"/>
              <w:spacing w:after="0"/>
              <w:rPr>
                <w:sz w:val="20"/>
                <w:szCs w:val="20"/>
                <w:color w:val="auto"/>
              </w:rPr>
            </w:pPr>
            <w:r>
              <w:rPr>
                <w:rFonts w:ascii="Arial" w:cs="Arial" w:eastAsia="Arial" w:hAnsi="Arial"/>
                <w:sz w:val="20"/>
                <w:szCs w:val="20"/>
                <w:color w:val="auto"/>
              </w:rPr>
              <w:t>98,276</w:t>
            </w:r>
          </w:p>
        </w:tc>
        <w:tc>
          <w:tcPr>
            <w:tcW w:w="0" w:type="dxa"/>
            <w:vAlign w:val="bottom"/>
          </w:tcPr>
          <w:p>
            <w:pPr>
              <w:spacing w:after="0"/>
              <w:rPr>
                <w:sz w:val="1"/>
                <w:szCs w:val="1"/>
                <w:color w:val="auto"/>
              </w:rPr>
            </w:pPr>
          </w:p>
        </w:tc>
      </w:tr>
      <w:tr>
        <w:trPr>
          <w:trHeight w:val="240"/>
        </w:trPr>
        <w:tc>
          <w:tcPr>
            <w:tcW w:w="4900" w:type="dxa"/>
            <w:vAlign w:val="bottom"/>
          </w:tcPr>
          <w:p>
            <w:pPr>
              <w:ind w:left="180"/>
              <w:spacing w:after="0"/>
              <w:rPr>
                <w:sz w:val="20"/>
                <w:szCs w:val="20"/>
                <w:color w:val="auto"/>
              </w:rPr>
            </w:pPr>
            <w:r>
              <w:rPr>
                <w:rFonts w:ascii="Arial" w:cs="Arial" w:eastAsia="Arial" w:hAnsi="Arial"/>
                <w:sz w:val="20"/>
                <w:szCs w:val="20"/>
                <w:color w:val="auto"/>
              </w:rPr>
              <w:t>applied</w:t>
            </w:r>
          </w:p>
        </w:tc>
        <w:tc>
          <w:tcPr>
            <w:tcW w:w="220" w:type="dxa"/>
            <w:vAlign w:val="bottom"/>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00" w:type="dxa"/>
            <w:vAlign w:val="bottom"/>
            <w:tcBorders>
              <w:top w:val="single" w:sz="8" w:color="CCEEFF"/>
            </w:tcBorders>
            <w:shd w:val="clear" w:color="auto" w:fill="CCEEFF"/>
          </w:tcPr>
          <w:p>
            <w:pPr>
              <w:spacing w:after="0" w:line="216" w:lineRule="exact"/>
              <w:rPr>
                <w:sz w:val="20"/>
                <w:szCs w:val="20"/>
                <w:color w:val="auto"/>
              </w:rPr>
            </w:pPr>
            <w:r>
              <w:rPr>
                <w:rFonts w:ascii="Arial" w:cs="Arial" w:eastAsia="Arial" w:hAnsi="Arial"/>
                <w:sz w:val="20"/>
                <w:szCs w:val="20"/>
                <w:color w:val="auto"/>
              </w:rPr>
              <w:t>Net earnings per share data:</w:t>
            </w: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900" w:type="dxa"/>
            <w:vAlign w:val="bottom"/>
          </w:tcPr>
          <w:p>
            <w:pPr>
              <w:ind w:left="180"/>
              <w:spacing w:after="0"/>
              <w:rPr>
                <w:sz w:val="20"/>
                <w:szCs w:val="20"/>
                <w:color w:val="auto"/>
              </w:rPr>
            </w:pPr>
            <w:r>
              <w:rPr>
                <w:rFonts w:ascii="Arial" w:cs="Arial" w:eastAsia="Arial" w:hAnsi="Arial"/>
                <w:sz w:val="20"/>
                <w:szCs w:val="20"/>
                <w:color w:val="auto"/>
              </w:rPr>
              <w:t>As reported - Basic</w:t>
            </w:r>
          </w:p>
        </w:tc>
        <w:tc>
          <w:tcPr>
            <w:tcW w:w="220" w:type="dxa"/>
            <w:vAlign w:val="bottom"/>
          </w:tcPr>
          <w:p>
            <w:pPr>
              <w:jc w:val="right"/>
              <w:ind w:right="21"/>
              <w:spacing w:after="0"/>
              <w:rPr>
                <w:sz w:val="20"/>
                <w:szCs w:val="20"/>
                <w:color w:val="auto"/>
              </w:rPr>
            </w:pPr>
            <w:r>
              <w:rPr>
                <w:rFonts w:ascii="Arial" w:cs="Arial" w:eastAsia="Arial" w:hAnsi="Arial"/>
                <w:sz w:val="20"/>
                <w:szCs w:val="20"/>
                <w:color w:val="auto"/>
                <w:w w:val="71"/>
              </w:rPr>
              <w:t>$</w:t>
            </w:r>
          </w:p>
        </w:tc>
        <w:tc>
          <w:tcPr>
            <w:tcW w:w="1320" w:type="dxa"/>
            <w:vAlign w:val="bottom"/>
            <w:gridSpan w:val="2"/>
          </w:tcPr>
          <w:p>
            <w:pPr>
              <w:jc w:val="right"/>
              <w:ind w:right="240"/>
              <w:spacing w:after="0"/>
              <w:rPr>
                <w:sz w:val="20"/>
                <w:szCs w:val="20"/>
                <w:color w:val="auto"/>
              </w:rPr>
            </w:pPr>
            <w:r>
              <w:rPr>
                <w:rFonts w:ascii="Arial" w:cs="Arial" w:eastAsia="Arial" w:hAnsi="Arial"/>
                <w:sz w:val="20"/>
                <w:szCs w:val="20"/>
                <w:color w:val="auto"/>
              </w:rPr>
              <w:t>0.77</w:t>
            </w:r>
          </w:p>
        </w:tc>
        <w:tc>
          <w:tcPr>
            <w:tcW w:w="220" w:type="dxa"/>
            <w:vAlign w:val="bottom"/>
          </w:tcPr>
          <w:p>
            <w:pPr>
              <w:jc w:val="right"/>
              <w:ind w:right="21"/>
              <w:spacing w:after="0"/>
              <w:rPr>
                <w:sz w:val="20"/>
                <w:szCs w:val="20"/>
                <w:color w:val="auto"/>
              </w:rPr>
            </w:pPr>
            <w:r>
              <w:rPr>
                <w:rFonts w:ascii="Arial" w:cs="Arial" w:eastAsia="Arial" w:hAnsi="Arial"/>
                <w:sz w:val="20"/>
                <w:szCs w:val="20"/>
                <w:color w:val="auto"/>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20"/>
                <w:szCs w:val="20"/>
                <w:color w:val="auto"/>
              </w:rPr>
              <w:t>0.70</w:t>
            </w:r>
          </w:p>
        </w:tc>
        <w:tc>
          <w:tcPr>
            <w:tcW w:w="220" w:type="dxa"/>
            <w:vAlign w:val="bottom"/>
          </w:tcPr>
          <w:p>
            <w:pPr>
              <w:jc w:val="right"/>
              <w:ind w:right="21"/>
              <w:spacing w:after="0"/>
              <w:rPr>
                <w:sz w:val="20"/>
                <w:szCs w:val="20"/>
                <w:color w:val="auto"/>
              </w:rPr>
            </w:pPr>
            <w:r>
              <w:rPr>
                <w:rFonts w:ascii="Arial" w:cs="Arial" w:eastAsia="Arial" w:hAnsi="Arial"/>
                <w:sz w:val="20"/>
                <w:szCs w:val="20"/>
                <w:color w:val="auto"/>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20"/>
                <w:szCs w:val="20"/>
                <w:color w:val="auto"/>
              </w:rPr>
              <w:t>2.38</w:t>
            </w:r>
          </w:p>
        </w:tc>
        <w:tc>
          <w:tcPr>
            <w:tcW w:w="220" w:type="dxa"/>
            <w:vAlign w:val="bottom"/>
          </w:tcPr>
          <w:p>
            <w:pPr>
              <w:jc w:val="right"/>
              <w:ind w:right="21"/>
              <w:spacing w:after="0"/>
              <w:rPr>
                <w:sz w:val="20"/>
                <w:szCs w:val="20"/>
                <w:color w:val="auto"/>
              </w:rPr>
            </w:pPr>
            <w:r>
              <w:rPr>
                <w:rFonts w:ascii="Arial" w:cs="Arial" w:eastAsia="Arial" w:hAnsi="Arial"/>
                <w:sz w:val="20"/>
                <w:szCs w:val="20"/>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20"/>
                <w:szCs w:val="20"/>
                <w:color w:val="auto"/>
              </w:rPr>
              <w:t>1.94</w:t>
            </w:r>
          </w:p>
        </w:tc>
        <w:tc>
          <w:tcPr>
            <w:tcW w:w="0" w:type="dxa"/>
            <w:vAlign w:val="bottom"/>
          </w:tcPr>
          <w:p>
            <w:pPr>
              <w:spacing w:after="0"/>
              <w:rPr>
                <w:sz w:val="1"/>
                <w:szCs w:val="1"/>
                <w:color w:val="auto"/>
              </w:rPr>
            </w:pPr>
          </w:p>
        </w:tc>
      </w:tr>
      <w:tr>
        <w:trPr>
          <w:trHeight w:val="250"/>
        </w:trPr>
        <w:tc>
          <w:tcPr>
            <w:tcW w:w="49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20"/>
                <w:szCs w:val="20"/>
                <w:color w:val="auto"/>
              </w:rPr>
              <w:t>Pro forma - Basic</w:t>
            </w:r>
          </w:p>
        </w:tc>
        <w:tc>
          <w:tcPr>
            <w:tcW w:w="2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0.77</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0.76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900" w:type="dxa"/>
            <w:vAlign w:val="bottom"/>
            <w:tcBorders>
              <w:bottom w:val="single" w:sz="8" w:color="CCEEFF"/>
            </w:tcBorders>
          </w:tcPr>
          <w:p>
            <w:pPr>
              <w:ind w:left="180"/>
              <w:spacing w:after="0" w:line="217" w:lineRule="exact"/>
              <w:rPr>
                <w:sz w:val="20"/>
                <w:szCs w:val="20"/>
                <w:color w:val="auto"/>
              </w:rPr>
            </w:pPr>
            <w:r>
              <w:rPr>
                <w:rFonts w:ascii="Arial" w:cs="Arial" w:eastAsia="Arial" w:hAnsi="Arial"/>
                <w:sz w:val="20"/>
                <w:szCs w:val="20"/>
                <w:color w:val="auto"/>
              </w:rPr>
              <w:t>As reported - Diluted</w:t>
            </w:r>
          </w:p>
        </w:tc>
        <w:tc>
          <w:tcPr>
            <w:tcW w:w="220" w:type="dxa"/>
            <w:vAlign w:val="bottom"/>
            <w:tcBorders>
              <w:bottom w:val="single" w:sz="8" w:color="auto"/>
            </w:tcBorders>
          </w:tcPr>
          <w:p>
            <w:pPr>
              <w:jc w:val="right"/>
              <w:ind w:right="21"/>
              <w:spacing w:after="0" w:line="217" w:lineRule="exact"/>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0.74</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21"/>
              <w:spacing w:after="0" w:line="217" w:lineRule="exact"/>
              <w:rPr>
                <w:sz w:val="20"/>
                <w:szCs w:val="20"/>
                <w:color w:val="auto"/>
              </w:rPr>
            </w:pPr>
            <w:r>
              <w:rPr>
                <w:rFonts w:ascii="Arial" w:cs="Arial" w:eastAsia="Arial" w:hAnsi="Arial"/>
                <w:sz w:val="20"/>
                <w:szCs w:val="20"/>
                <w:color w:val="auto"/>
                <w:w w:val="71"/>
              </w:rPr>
              <w:t>$</w:t>
            </w:r>
          </w:p>
        </w:tc>
        <w:tc>
          <w:tcPr>
            <w:tcW w:w="106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0.66</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21"/>
              <w:spacing w:after="0" w:line="217" w:lineRule="exact"/>
              <w:rPr>
                <w:sz w:val="20"/>
                <w:szCs w:val="20"/>
                <w:color w:val="auto"/>
              </w:rPr>
            </w:pPr>
            <w:r>
              <w:rPr>
                <w:rFonts w:ascii="Arial" w:cs="Arial" w:eastAsia="Arial" w:hAnsi="Arial"/>
                <w:sz w:val="20"/>
                <w:szCs w:val="20"/>
                <w:color w:val="auto"/>
                <w:w w:val="71"/>
              </w:rPr>
              <w:t>$</w:t>
            </w:r>
          </w:p>
        </w:tc>
        <w:tc>
          <w:tcPr>
            <w:tcW w:w="106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2.29</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21"/>
              <w:spacing w:after="0" w:line="217" w:lineRule="exact"/>
              <w:rPr>
                <w:sz w:val="20"/>
                <w:szCs w:val="20"/>
                <w:color w:val="auto"/>
              </w:rPr>
            </w:pPr>
            <w:r>
              <w:rPr>
                <w:rFonts w:ascii="Arial" w:cs="Arial" w:eastAsia="Arial" w:hAnsi="Arial"/>
                <w:sz w:val="20"/>
                <w:szCs w:val="20"/>
                <w:color w:val="auto"/>
                <w:w w:val="71"/>
              </w:rPr>
              <w:t>$</w:t>
            </w:r>
          </w:p>
        </w:tc>
        <w:tc>
          <w:tcPr>
            <w:tcW w:w="106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1.84</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20"/>
                <w:szCs w:val="20"/>
                <w:color w:val="auto"/>
              </w:rPr>
              <w:t>Pro forma – Diluted</w:t>
            </w:r>
          </w:p>
        </w:tc>
        <w:tc>
          <w:tcPr>
            <w:tcW w:w="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0.74</w:t>
            </w: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0.72</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2.29</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1.89</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Per share data has been adjusted for all periods presented to reflect a two-for-one stock split effective March 28, 2005.</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2" w:right="239" w:bottom="723" w:gutter="0" w:footer="0" w:header="0"/>
        </w:sectPr>
      </w:pPr>
    </w:p>
    <w:bookmarkStart w:id="5" w:name="page6"/>
    <w:bookmarkEnd w:id="5"/>
    <w:p>
      <w:pPr>
        <w:spacing w:after="0" w:line="256" w:lineRule="auto"/>
        <w:rPr>
          <w:sz w:val="20"/>
          <w:szCs w:val="20"/>
          <w:color w:val="auto"/>
        </w:rPr>
      </w:pPr>
      <w:r>
        <w:rPr>
          <w:rFonts w:ascii="Arial" w:cs="Arial" w:eastAsia="Arial" w:hAnsi="Arial"/>
          <w:sz w:val="19"/>
          <w:szCs w:val="19"/>
          <w:color w:val="auto"/>
        </w:rPr>
        <w:t>The fair value of each option is estimated on the date of grant using a Black-Scholes valuation method that uses the assumptions noted in the following table. The expected life is a significant assumption as it determines the period for which the risk-free interest rate, volatility, and dividend yield must be applied. The expected life is the average length of time the employee groups will exercise their options, which is based on historical experience with similar grants. Separate groups of employees that have similar historical exercise behavior are considered separately for valuation purposes. Expected volatilities are based on the movement of the company’s stock price over the most recent historical period equivalent to the expected life of the option. The risk-free rate for periods within the contractual life of the option is based on the U.S. Treasury rate over the expected life at the time of grant. Dividend yield is estimated over the expected life based on the company’s dividend policy, historical dividends paid, and expected increase in the company’s stock price. The following table illustrates the assumptions for options granted in the following fiscal years.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200" w:type="dxa"/>
            <w:vAlign w:val="bottom"/>
          </w:tcPr>
          <w:p>
            <w:pPr>
              <w:spacing w:after="0"/>
              <w:rPr>
                <w:sz w:val="21"/>
                <w:szCs w:val="21"/>
                <w:color w:val="auto"/>
              </w:rPr>
            </w:pPr>
          </w:p>
        </w:tc>
        <w:tc>
          <w:tcPr>
            <w:tcW w:w="1920" w:type="dxa"/>
            <w:vAlign w:val="bottom"/>
            <w:gridSpan w:val="3"/>
          </w:tcPr>
          <w:p>
            <w:pPr>
              <w:ind w:left="360"/>
              <w:spacing w:after="0"/>
              <w:rPr>
                <w:sz w:val="20"/>
                <w:szCs w:val="20"/>
                <w:color w:val="auto"/>
              </w:rPr>
            </w:pPr>
            <w:r>
              <w:rPr>
                <w:rFonts w:ascii="Arial" w:cs="Arial" w:eastAsia="Arial" w:hAnsi="Arial"/>
                <w:sz w:val="20"/>
                <w:szCs w:val="20"/>
                <w:color w:val="auto"/>
              </w:rPr>
              <w:t>Fiscal 2005</w:t>
            </w:r>
          </w:p>
        </w:tc>
        <w:tc>
          <w:tcPr>
            <w:tcW w:w="1860" w:type="dxa"/>
            <w:vAlign w:val="bottom"/>
            <w:gridSpan w:val="3"/>
          </w:tcPr>
          <w:p>
            <w:pPr>
              <w:ind w:left="340"/>
              <w:spacing w:after="0"/>
              <w:rPr>
                <w:sz w:val="20"/>
                <w:szCs w:val="20"/>
                <w:color w:val="auto"/>
              </w:rPr>
            </w:pPr>
            <w:r>
              <w:rPr>
                <w:rFonts w:ascii="Arial" w:cs="Arial" w:eastAsia="Arial" w:hAnsi="Arial"/>
                <w:sz w:val="20"/>
                <w:szCs w:val="20"/>
                <w:color w:val="auto"/>
              </w:rPr>
              <w:t>Fiscal 2004</w:t>
            </w:r>
          </w:p>
        </w:tc>
      </w:tr>
      <w:tr>
        <w:trPr>
          <w:trHeight w:val="223"/>
        </w:trPr>
        <w:tc>
          <w:tcPr>
            <w:tcW w:w="420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Expected life of option in years</w:t>
            </w:r>
          </w:p>
        </w:tc>
        <w:tc>
          <w:tcPr>
            <w:tcW w:w="7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3</w:t>
            </w:r>
          </w:p>
        </w:tc>
        <w:tc>
          <w:tcPr>
            <w:tcW w:w="880" w:type="dxa"/>
            <w:vAlign w:val="bottom"/>
            <w:tcBorders>
              <w:top w:val="single" w:sz="8" w:color="auto"/>
            </w:tcBorders>
            <w:shd w:val="clear" w:color="auto" w:fill="CCEEFF"/>
          </w:tcPr>
          <w:p>
            <w:pPr>
              <w:ind w:left="40"/>
              <w:spacing w:after="0" w:line="223" w:lineRule="exact"/>
              <w:rPr>
                <w:sz w:val="20"/>
                <w:szCs w:val="20"/>
                <w:color w:val="auto"/>
              </w:rPr>
            </w:pPr>
            <w:r>
              <w:rPr>
                <w:rFonts w:ascii="Arial" w:cs="Arial" w:eastAsia="Arial" w:hAnsi="Arial"/>
                <w:sz w:val="20"/>
                <w:szCs w:val="20"/>
                <w:color w:val="auto"/>
              </w:rPr>
              <w:t>- 7</w:t>
            </w:r>
          </w:p>
        </w:tc>
        <w:tc>
          <w:tcPr>
            <w:tcW w:w="28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3</w:t>
            </w:r>
          </w:p>
        </w:tc>
        <w:tc>
          <w:tcPr>
            <w:tcW w:w="880" w:type="dxa"/>
            <w:vAlign w:val="bottom"/>
            <w:tcBorders>
              <w:top w:val="single" w:sz="8" w:color="auto"/>
            </w:tcBorders>
            <w:shd w:val="clear" w:color="auto" w:fill="CCEEFF"/>
          </w:tcPr>
          <w:p>
            <w:pPr>
              <w:ind w:left="20"/>
              <w:spacing w:after="0" w:line="223" w:lineRule="exact"/>
              <w:rPr>
                <w:sz w:val="20"/>
                <w:szCs w:val="20"/>
                <w:color w:val="auto"/>
              </w:rPr>
            </w:pPr>
            <w:r>
              <w:rPr>
                <w:rFonts w:ascii="Arial" w:cs="Arial" w:eastAsia="Arial" w:hAnsi="Arial"/>
                <w:sz w:val="20"/>
                <w:szCs w:val="20"/>
                <w:color w:val="auto"/>
              </w:rPr>
              <w:t>- 9</w:t>
            </w:r>
          </w:p>
        </w:tc>
        <w:tc>
          <w:tcPr>
            <w:tcW w:w="240" w:type="dxa"/>
            <w:vAlign w:val="bottom"/>
            <w:tcBorders>
              <w:top w:val="single" w:sz="8" w:color="CCEEFF"/>
            </w:tcBorders>
            <w:shd w:val="clear" w:color="auto" w:fill="CCEEFF"/>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20"/>
                <w:szCs w:val="20"/>
                <w:color w:val="auto"/>
              </w:rPr>
              <w:t>Expected volatility</w:t>
            </w:r>
          </w:p>
        </w:tc>
        <w:tc>
          <w:tcPr>
            <w:tcW w:w="760" w:type="dxa"/>
            <w:vAlign w:val="bottom"/>
          </w:tcPr>
          <w:p>
            <w:pPr>
              <w:jc w:val="right"/>
              <w:spacing w:after="0"/>
              <w:rPr>
                <w:sz w:val="20"/>
                <w:szCs w:val="20"/>
                <w:color w:val="auto"/>
              </w:rPr>
            </w:pPr>
            <w:r>
              <w:rPr>
                <w:rFonts w:ascii="Arial" w:cs="Arial" w:eastAsia="Arial" w:hAnsi="Arial"/>
                <w:sz w:val="20"/>
                <w:szCs w:val="20"/>
                <w:color w:val="auto"/>
              </w:rPr>
              <w:t>25.87%</w:t>
            </w:r>
          </w:p>
        </w:tc>
        <w:tc>
          <w:tcPr>
            <w:tcW w:w="880" w:type="dxa"/>
            <w:vAlign w:val="bottom"/>
          </w:tcPr>
          <w:p>
            <w:pPr>
              <w:ind w:left="40"/>
              <w:spacing w:after="0"/>
              <w:rPr>
                <w:sz w:val="20"/>
                <w:szCs w:val="20"/>
                <w:color w:val="auto"/>
              </w:rPr>
            </w:pPr>
            <w:r>
              <w:rPr>
                <w:rFonts w:ascii="Arial" w:cs="Arial" w:eastAsia="Arial" w:hAnsi="Arial"/>
                <w:sz w:val="20"/>
                <w:szCs w:val="20"/>
                <w:color w:val="auto"/>
              </w:rPr>
              <w:t>- 30.41%</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27.60%</w:t>
            </w:r>
          </w:p>
        </w:tc>
        <w:tc>
          <w:tcPr>
            <w:tcW w:w="880" w:type="dxa"/>
            <w:vAlign w:val="bottom"/>
          </w:tcPr>
          <w:p>
            <w:pPr>
              <w:ind w:left="20"/>
              <w:spacing w:after="0"/>
              <w:rPr>
                <w:sz w:val="20"/>
                <w:szCs w:val="20"/>
                <w:color w:val="auto"/>
              </w:rPr>
            </w:pPr>
            <w:r>
              <w:rPr>
                <w:rFonts w:ascii="Arial" w:cs="Arial" w:eastAsia="Arial" w:hAnsi="Arial"/>
                <w:sz w:val="20"/>
                <w:szCs w:val="20"/>
                <w:color w:val="auto"/>
              </w:rPr>
              <w:t>- 27.84%</w:t>
            </w:r>
          </w:p>
        </w:tc>
        <w:tc>
          <w:tcPr>
            <w:tcW w:w="240" w:type="dxa"/>
            <w:vAlign w:val="bottom"/>
          </w:tcPr>
          <w:p>
            <w:pPr>
              <w:spacing w:after="0"/>
              <w:rPr>
                <w:sz w:val="19"/>
                <w:szCs w:val="19"/>
                <w:color w:val="auto"/>
              </w:rPr>
            </w:pPr>
          </w:p>
        </w:tc>
      </w:tr>
      <w:tr>
        <w:trPr>
          <w:trHeight w:val="230"/>
        </w:trPr>
        <w:tc>
          <w:tcPr>
            <w:tcW w:w="4200" w:type="dxa"/>
            <w:vAlign w:val="bottom"/>
            <w:shd w:val="clear" w:color="auto" w:fill="CCEEFF"/>
          </w:tcPr>
          <w:p>
            <w:pPr>
              <w:spacing w:after="0"/>
              <w:rPr>
                <w:sz w:val="20"/>
                <w:szCs w:val="20"/>
                <w:color w:val="auto"/>
              </w:rPr>
            </w:pPr>
            <w:r>
              <w:rPr>
                <w:rFonts w:ascii="Arial" w:cs="Arial" w:eastAsia="Arial" w:hAnsi="Arial"/>
                <w:sz w:val="20"/>
                <w:szCs w:val="20"/>
                <w:color w:val="auto"/>
              </w:rPr>
              <w:t>Weighted-average volatility</w:t>
            </w:r>
          </w:p>
        </w:tc>
        <w:tc>
          <w:tcPr>
            <w:tcW w:w="1640" w:type="dxa"/>
            <w:vAlign w:val="bottom"/>
            <w:gridSpan w:val="2"/>
            <w:shd w:val="clear" w:color="auto" w:fill="CCEEFF"/>
          </w:tcPr>
          <w:p>
            <w:pPr>
              <w:jc w:val="right"/>
              <w:ind w:right="401"/>
              <w:spacing w:after="0"/>
              <w:rPr>
                <w:sz w:val="20"/>
                <w:szCs w:val="20"/>
                <w:color w:val="auto"/>
              </w:rPr>
            </w:pPr>
            <w:r>
              <w:rPr>
                <w:rFonts w:ascii="Arial" w:cs="Arial" w:eastAsia="Arial" w:hAnsi="Arial"/>
                <w:sz w:val="20"/>
                <w:szCs w:val="20"/>
                <w:color w:val="auto"/>
              </w:rPr>
              <w:t>28.04%</w:t>
            </w:r>
          </w:p>
        </w:tc>
        <w:tc>
          <w:tcPr>
            <w:tcW w:w="2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421"/>
              <w:spacing w:after="0"/>
              <w:rPr>
                <w:sz w:val="20"/>
                <w:szCs w:val="20"/>
                <w:color w:val="auto"/>
              </w:rPr>
            </w:pPr>
            <w:r>
              <w:rPr>
                <w:rFonts w:ascii="Arial" w:cs="Arial" w:eastAsia="Arial" w:hAnsi="Arial"/>
                <w:sz w:val="20"/>
                <w:szCs w:val="20"/>
                <w:color w:val="auto"/>
              </w:rPr>
              <w:t>27.72%</w:t>
            </w:r>
          </w:p>
        </w:tc>
        <w:tc>
          <w:tcPr>
            <w:tcW w:w="240" w:type="dxa"/>
            <w:vAlign w:val="bottom"/>
            <w:shd w:val="clear" w:color="auto" w:fill="CCEEFF"/>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20"/>
                <w:szCs w:val="20"/>
                <w:color w:val="auto"/>
              </w:rPr>
              <w:t>Risk-free rate</w:t>
            </w:r>
          </w:p>
        </w:tc>
        <w:tc>
          <w:tcPr>
            <w:tcW w:w="760" w:type="dxa"/>
            <w:vAlign w:val="bottom"/>
          </w:tcPr>
          <w:p>
            <w:pPr>
              <w:jc w:val="right"/>
              <w:spacing w:after="0"/>
              <w:rPr>
                <w:sz w:val="20"/>
                <w:szCs w:val="20"/>
                <w:color w:val="auto"/>
              </w:rPr>
            </w:pPr>
            <w:r>
              <w:rPr>
                <w:rFonts w:ascii="Arial" w:cs="Arial" w:eastAsia="Arial" w:hAnsi="Arial"/>
                <w:sz w:val="20"/>
                <w:szCs w:val="20"/>
                <w:color w:val="auto"/>
              </w:rPr>
              <w:t>3.22%</w:t>
            </w:r>
          </w:p>
        </w:tc>
        <w:tc>
          <w:tcPr>
            <w:tcW w:w="880" w:type="dxa"/>
            <w:vAlign w:val="bottom"/>
          </w:tcPr>
          <w:p>
            <w:pPr>
              <w:ind w:left="40"/>
              <w:spacing w:after="0"/>
              <w:rPr>
                <w:sz w:val="20"/>
                <w:szCs w:val="20"/>
                <w:color w:val="auto"/>
              </w:rPr>
            </w:pPr>
            <w:r>
              <w:rPr>
                <w:rFonts w:ascii="Arial" w:cs="Arial" w:eastAsia="Arial" w:hAnsi="Arial"/>
                <w:sz w:val="20"/>
                <w:szCs w:val="20"/>
                <w:color w:val="auto"/>
              </w:rPr>
              <w:t>- 4.04%</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2.04%</w:t>
            </w:r>
          </w:p>
        </w:tc>
        <w:tc>
          <w:tcPr>
            <w:tcW w:w="880" w:type="dxa"/>
            <w:vAlign w:val="bottom"/>
          </w:tcPr>
          <w:p>
            <w:pPr>
              <w:ind w:left="20"/>
              <w:spacing w:after="0"/>
              <w:rPr>
                <w:sz w:val="20"/>
                <w:szCs w:val="20"/>
                <w:color w:val="auto"/>
              </w:rPr>
            </w:pPr>
            <w:r>
              <w:rPr>
                <w:rFonts w:ascii="Arial" w:cs="Arial" w:eastAsia="Arial" w:hAnsi="Arial"/>
                <w:sz w:val="20"/>
                <w:szCs w:val="20"/>
                <w:color w:val="auto"/>
              </w:rPr>
              <w:t>- 4.10%</w:t>
            </w:r>
          </w:p>
        </w:tc>
        <w:tc>
          <w:tcPr>
            <w:tcW w:w="240" w:type="dxa"/>
            <w:vAlign w:val="bottom"/>
          </w:tcPr>
          <w:p>
            <w:pPr>
              <w:spacing w:after="0"/>
              <w:rPr>
                <w:sz w:val="19"/>
                <w:szCs w:val="19"/>
                <w:color w:val="auto"/>
              </w:rPr>
            </w:pPr>
          </w:p>
        </w:tc>
      </w:tr>
      <w:tr>
        <w:trPr>
          <w:trHeight w:val="230"/>
        </w:trPr>
        <w:tc>
          <w:tcPr>
            <w:tcW w:w="4200" w:type="dxa"/>
            <w:vAlign w:val="bottom"/>
            <w:shd w:val="clear" w:color="auto" w:fill="CCEEFF"/>
          </w:tcPr>
          <w:p>
            <w:pPr>
              <w:spacing w:after="0"/>
              <w:rPr>
                <w:sz w:val="20"/>
                <w:szCs w:val="20"/>
                <w:color w:val="auto"/>
              </w:rPr>
            </w:pPr>
            <w:r>
              <w:rPr>
                <w:rFonts w:ascii="Arial" w:cs="Arial" w:eastAsia="Arial" w:hAnsi="Arial"/>
                <w:sz w:val="20"/>
                <w:szCs w:val="20"/>
                <w:color w:val="auto"/>
              </w:rPr>
              <w:t>Expected dividend yield</w:t>
            </w: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0.18%</w:t>
            </w:r>
          </w:p>
        </w:tc>
        <w:tc>
          <w:tcPr>
            <w:tcW w:w="880" w:type="dxa"/>
            <w:vAlign w:val="bottom"/>
            <w:shd w:val="clear" w:color="auto" w:fill="CCEEFF"/>
          </w:tcPr>
          <w:p>
            <w:pPr>
              <w:ind w:left="40"/>
              <w:spacing w:after="0"/>
              <w:rPr>
                <w:sz w:val="20"/>
                <w:szCs w:val="20"/>
                <w:color w:val="auto"/>
              </w:rPr>
            </w:pPr>
            <w:r>
              <w:rPr>
                <w:rFonts w:ascii="Arial" w:cs="Arial" w:eastAsia="Arial" w:hAnsi="Arial"/>
                <w:sz w:val="20"/>
                <w:szCs w:val="20"/>
                <w:color w:val="auto"/>
              </w:rPr>
              <w:t>- 0.25%</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0.26%</w:t>
            </w:r>
          </w:p>
        </w:tc>
        <w:tc>
          <w:tcPr>
            <w:tcW w:w="880" w:type="dxa"/>
            <w:vAlign w:val="bottom"/>
            <w:shd w:val="clear" w:color="auto" w:fill="CCEEFF"/>
          </w:tcPr>
          <w:p>
            <w:pPr>
              <w:ind w:left="20"/>
              <w:spacing w:after="0"/>
              <w:rPr>
                <w:sz w:val="20"/>
                <w:szCs w:val="20"/>
                <w:color w:val="auto"/>
              </w:rPr>
            </w:pPr>
            <w:r>
              <w:rPr>
                <w:rFonts w:ascii="Arial" w:cs="Arial" w:eastAsia="Arial" w:hAnsi="Arial"/>
                <w:sz w:val="20"/>
                <w:szCs w:val="20"/>
                <w:color w:val="auto"/>
              </w:rPr>
              <w:t>- 0.39%</w:t>
            </w:r>
          </w:p>
        </w:tc>
        <w:tc>
          <w:tcPr>
            <w:tcW w:w="240" w:type="dxa"/>
            <w:vAlign w:val="bottom"/>
            <w:shd w:val="clear" w:color="auto" w:fill="CCEEFF"/>
          </w:tcPr>
          <w:p>
            <w:pPr>
              <w:spacing w:after="0"/>
              <w:rPr>
                <w:sz w:val="19"/>
                <w:szCs w:val="19"/>
                <w:color w:val="auto"/>
              </w:rPr>
            </w:pPr>
          </w:p>
        </w:tc>
      </w:tr>
      <w:tr>
        <w:trPr>
          <w:trHeight w:val="250"/>
        </w:trPr>
        <w:tc>
          <w:tcPr>
            <w:tcW w:w="4200" w:type="dxa"/>
            <w:vAlign w:val="bottom"/>
          </w:tcPr>
          <w:p>
            <w:pPr>
              <w:spacing w:after="0"/>
              <w:rPr>
                <w:sz w:val="20"/>
                <w:szCs w:val="20"/>
                <w:color w:val="auto"/>
              </w:rPr>
            </w:pPr>
            <w:r>
              <w:rPr>
                <w:rFonts w:ascii="Arial" w:cs="Arial" w:eastAsia="Arial" w:hAnsi="Arial"/>
                <w:sz w:val="20"/>
                <w:szCs w:val="20"/>
                <w:color w:val="auto"/>
              </w:rPr>
              <w:t>Weighted-average dividend yield</w:t>
            </w:r>
          </w:p>
        </w:tc>
        <w:tc>
          <w:tcPr>
            <w:tcW w:w="1640" w:type="dxa"/>
            <w:vAlign w:val="bottom"/>
            <w:gridSpan w:val="2"/>
          </w:tcPr>
          <w:p>
            <w:pPr>
              <w:jc w:val="right"/>
              <w:ind w:right="461"/>
              <w:spacing w:after="0"/>
              <w:rPr>
                <w:sz w:val="20"/>
                <w:szCs w:val="20"/>
                <w:color w:val="auto"/>
              </w:rPr>
            </w:pPr>
            <w:r>
              <w:rPr>
                <w:rFonts w:ascii="Arial" w:cs="Arial" w:eastAsia="Arial" w:hAnsi="Arial"/>
                <w:sz w:val="20"/>
                <w:szCs w:val="20"/>
                <w:color w:val="auto"/>
              </w:rPr>
              <w:t>0.22%</w:t>
            </w:r>
          </w:p>
        </w:tc>
        <w:tc>
          <w:tcPr>
            <w:tcW w:w="280" w:type="dxa"/>
            <w:vAlign w:val="bottom"/>
          </w:tcPr>
          <w:p>
            <w:pPr>
              <w:spacing w:after="0"/>
              <w:rPr>
                <w:sz w:val="21"/>
                <w:szCs w:val="21"/>
                <w:color w:val="auto"/>
              </w:rPr>
            </w:pPr>
          </w:p>
        </w:tc>
        <w:tc>
          <w:tcPr>
            <w:tcW w:w="1620" w:type="dxa"/>
            <w:vAlign w:val="bottom"/>
            <w:gridSpan w:val="2"/>
          </w:tcPr>
          <w:p>
            <w:pPr>
              <w:jc w:val="right"/>
              <w:ind w:right="461"/>
              <w:spacing w:after="0"/>
              <w:rPr>
                <w:sz w:val="20"/>
                <w:szCs w:val="20"/>
                <w:color w:val="auto"/>
              </w:rPr>
            </w:pPr>
            <w:r>
              <w:rPr>
                <w:rFonts w:ascii="Arial" w:cs="Arial" w:eastAsia="Arial" w:hAnsi="Arial"/>
                <w:sz w:val="20"/>
                <w:szCs w:val="20"/>
                <w:color w:val="auto"/>
              </w:rPr>
              <w:t>0.32%</w:t>
            </w:r>
          </w:p>
        </w:tc>
        <w:tc>
          <w:tcPr>
            <w:tcW w:w="240" w:type="dxa"/>
            <w:vAlign w:val="bottom"/>
          </w:tcPr>
          <w:p>
            <w:pPr>
              <w:spacing w:after="0"/>
              <w:rPr>
                <w:sz w:val="21"/>
                <w:szCs w:val="21"/>
                <w:color w:val="auto"/>
              </w:rPr>
            </w:pPr>
          </w:p>
        </w:tc>
      </w:tr>
    </w:tbl>
    <w:p>
      <w:pPr>
        <w:spacing w:after="0" w:line="192" w:lineRule="exact"/>
        <w:rPr>
          <w:sz w:val="20"/>
          <w:szCs w:val="20"/>
          <w:color w:val="auto"/>
        </w:rPr>
      </w:pPr>
    </w:p>
    <w:p>
      <w:pPr>
        <w:jc w:val="both"/>
        <w:ind w:right="240"/>
        <w:spacing w:after="0" w:line="269" w:lineRule="auto"/>
        <w:rPr>
          <w:sz w:val="20"/>
          <w:szCs w:val="20"/>
          <w:color w:val="auto"/>
        </w:rPr>
      </w:pPr>
      <w:r>
        <w:rPr>
          <w:rFonts w:ascii="Arial" w:cs="Arial" w:eastAsia="Arial" w:hAnsi="Arial"/>
          <w:sz w:val="19"/>
          <w:szCs w:val="19"/>
          <w:color w:val="auto"/>
        </w:rPr>
        <w:t>The weighted-average fair value of options granted during the first fiscal quarter of fiscal 2005 and 2004 was $11.14 and $7.69, respectively. The fair value of Performance Shares granted during the first fiscal quarter of fiscal 2005 and 2004 was $37.02 and $24.16, respectively. No options or Performance Shares were granted during the second and third quarters of fiscal 2005 and 2004.</w:t>
      </w:r>
    </w:p>
    <w:p>
      <w:pPr>
        <w:spacing w:after="0" w:line="184" w:lineRule="exact"/>
        <w:rPr>
          <w:sz w:val="20"/>
          <w:szCs w:val="20"/>
          <w:color w:val="auto"/>
        </w:rPr>
      </w:pPr>
    </w:p>
    <w:p>
      <w:pPr>
        <w:ind w:right="200"/>
        <w:spacing w:after="0" w:line="386" w:lineRule="auto"/>
        <w:rPr>
          <w:sz w:val="20"/>
          <w:szCs w:val="20"/>
          <w:color w:val="auto"/>
        </w:rPr>
      </w:pPr>
      <w:r>
        <w:rPr>
          <w:rFonts w:ascii="Arial" w:cs="Arial" w:eastAsia="Arial" w:hAnsi="Arial"/>
          <w:sz w:val="16"/>
          <w:szCs w:val="16"/>
          <w:color w:val="auto"/>
        </w:rPr>
        <w:t>The following table illustrates the effect on the company’s earnings, net earnings, and basic and diluted net earnings per share if the company had applied the provisions of APB No. 25 and related interpretations instead of SFAS No. 123R in accounting for stock-based awards.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gridSpan w:val="3"/>
          </w:tcPr>
          <w:p>
            <w:pPr>
              <w:spacing w:after="0"/>
              <w:rPr>
                <w:sz w:val="20"/>
                <w:szCs w:val="20"/>
                <w:color w:val="auto"/>
              </w:rPr>
            </w:pPr>
            <w:r>
              <w:rPr>
                <w:rFonts w:ascii="Arial" w:cs="Arial" w:eastAsia="Arial" w:hAnsi="Arial"/>
                <w:sz w:val="20"/>
                <w:szCs w:val="20"/>
                <w:color w:val="auto"/>
                <w:w w:val="97"/>
              </w:rPr>
              <w:t>(Dollars in thousands, except per share data)</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gridSpan w:val="3"/>
          </w:tcPr>
          <w:p>
            <w:pPr>
              <w:jc w:val="center"/>
              <w:ind w:right="140"/>
              <w:spacing w:after="0"/>
              <w:rPr>
                <w:sz w:val="20"/>
                <w:szCs w:val="20"/>
                <w:color w:val="auto"/>
              </w:rPr>
            </w:pPr>
            <w:r>
              <w:rPr>
                <w:rFonts w:ascii="Arial" w:cs="Arial" w:eastAsia="Arial" w:hAnsi="Arial"/>
                <w:sz w:val="20"/>
                <w:szCs w:val="20"/>
                <w:color w:val="auto"/>
                <w:w w:val="85"/>
              </w:rPr>
              <w:t>Increase (decrease)</w:t>
            </w:r>
          </w:p>
        </w:tc>
        <w:tc>
          <w:tcPr>
            <w:tcW w:w="0" w:type="dxa"/>
            <w:vAlign w:val="bottom"/>
          </w:tcPr>
          <w:p>
            <w:pPr>
              <w:spacing w:after="0"/>
              <w:rPr>
                <w:sz w:val="1"/>
                <w:szCs w:val="1"/>
                <w:color w:val="auto"/>
              </w:rPr>
            </w:pPr>
          </w:p>
        </w:tc>
      </w:tr>
      <w:tr>
        <w:trPr>
          <w:trHeight w:val="230"/>
        </w:trPr>
        <w:tc>
          <w:tcPr>
            <w:tcW w:w="3900" w:type="dxa"/>
            <w:vAlign w:val="bottom"/>
            <w:gridSpan w:val="3"/>
          </w:tcPr>
          <w:p>
            <w:pPr>
              <w:spacing w:after="0"/>
              <w:rPr>
                <w:sz w:val="20"/>
                <w:szCs w:val="20"/>
                <w:color w:val="auto"/>
              </w:rPr>
            </w:pPr>
            <w:r>
              <w:rPr>
                <w:rFonts w:ascii="Arial" w:cs="Arial" w:eastAsia="Arial" w:hAnsi="Arial"/>
                <w:sz w:val="20"/>
                <w:szCs w:val="20"/>
                <w:color w:val="auto"/>
              </w:rPr>
              <w:t>Three months ended</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gridSpan w:val="3"/>
          </w:tcPr>
          <w:p>
            <w:pPr>
              <w:jc w:val="center"/>
              <w:ind w:right="120"/>
              <w:spacing w:after="0"/>
              <w:rPr>
                <w:sz w:val="20"/>
                <w:szCs w:val="20"/>
                <w:color w:val="auto"/>
              </w:rPr>
            </w:pPr>
            <w:r>
              <w:rPr>
                <w:rFonts w:ascii="Arial" w:cs="Arial" w:eastAsia="Arial" w:hAnsi="Arial"/>
                <w:sz w:val="20"/>
                <w:szCs w:val="20"/>
                <w:color w:val="auto"/>
                <w:w w:val="91"/>
              </w:rPr>
              <w:t>impact of adopting</w:t>
            </w:r>
          </w:p>
        </w:tc>
        <w:tc>
          <w:tcPr>
            <w:tcW w:w="0" w:type="dxa"/>
            <w:vAlign w:val="bottom"/>
          </w:tcPr>
          <w:p>
            <w:pPr>
              <w:spacing w:after="0"/>
              <w:rPr>
                <w:sz w:val="1"/>
                <w:szCs w:val="1"/>
                <w:color w:val="auto"/>
              </w:rPr>
            </w:pPr>
          </w:p>
        </w:tc>
      </w:tr>
      <w:tr>
        <w:trPr>
          <w:trHeight w:val="206"/>
        </w:trPr>
        <w:tc>
          <w:tcPr>
            <w:tcW w:w="3900" w:type="dxa"/>
            <w:vAlign w:val="bottom"/>
            <w:gridSpan w:val="3"/>
          </w:tcPr>
          <w:p>
            <w:pPr>
              <w:spacing w:after="0" w:line="206" w:lineRule="exact"/>
              <w:rPr>
                <w:sz w:val="20"/>
                <w:szCs w:val="20"/>
                <w:color w:val="auto"/>
              </w:rPr>
            </w:pPr>
            <w:r>
              <w:rPr>
                <w:rFonts w:ascii="Arial" w:cs="Arial" w:eastAsia="Arial" w:hAnsi="Arial"/>
                <w:sz w:val="20"/>
                <w:szCs w:val="20"/>
                <w:color w:val="auto"/>
              </w:rPr>
              <w:t>July 29, 2005</w:t>
            </w:r>
          </w:p>
        </w:tc>
        <w:tc>
          <w:tcPr>
            <w:tcW w:w="160" w:type="dxa"/>
            <w:vAlign w:val="bottom"/>
          </w:tcPr>
          <w:p>
            <w:pPr>
              <w:spacing w:after="0"/>
              <w:rPr>
                <w:sz w:val="17"/>
                <w:szCs w:val="17"/>
                <w:color w:val="auto"/>
              </w:rPr>
            </w:pPr>
          </w:p>
        </w:tc>
        <w:tc>
          <w:tcPr>
            <w:tcW w:w="1840" w:type="dxa"/>
            <w:vAlign w:val="bottom"/>
            <w:gridSpan w:val="2"/>
          </w:tcPr>
          <w:p>
            <w:pPr>
              <w:jc w:val="right"/>
              <w:ind w:right="500"/>
              <w:spacing w:after="0" w:line="206" w:lineRule="exact"/>
              <w:rPr>
                <w:sz w:val="20"/>
                <w:szCs w:val="20"/>
                <w:color w:val="auto"/>
              </w:rPr>
            </w:pPr>
            <w:r>
              <w:rPr>
                <w:rFonts w:ascii="Arial" w:cs="Arial" w:eastAsia="Arial" w:hAnsi="Arial"/>
                <w:sz w:val="20"/>
                <w:szCs w:val="20"/>
                <w:color w:val="auto"/>
                <w:w w:val="93"/>
              </w:rPr>
              <w:t>As Reported (1)</w:t>
            </w:r>
          </w:p>
        </w:tc>
        <w:tc>
          <w:tcPr>
            <w:tcW w:w="200" w:type="dxa"/>
            <w:vAlign w:val="bottom"/>
          </w:tcPr>
          <w:p>
            <w:pPr>
              <w:spacing w:after="0"/>
              <w:rPr>
                <w:sz w:val="17"/>
                <w:szCs w:val="17"/>
                <w:color w:val="auto"/>
              </w:rPr>
            </w:pPr>
          </w:p>
        </w:tc>
        <w:tc>
          <w:tcPr>
            <w:tcW w:w="1780" w:type="dxa"/>
            <w:vAlign w:val="bottom"/>
            <w:gridSpan w:val="2"/>
          </w:tcPr>
          <w:p>
            <w:pPr>
              <w:jc w:val="right"/>
              <w:ind w:right="580"/>
              <w:spacing w:after="0" w:line="206" w:lineRule="exact"/>
              <w:rPr>
                <w:sz w:val="20"/>
                <w:szCs w:val="20"/>
                <w:color w:val="auto"/>
              </w:rPr>
            </w:pPr>
            <w:r>
              <w:rPr>
                <w:rFonts w:ascii="Arial" w:cs="Arial" w:eastAsia="Arial" w:hAnsi="Arial"/>
                <w:sz w:val="20"/>
                <w:szCs w:val="20"/>
                <w:color w:val="auto"/>
                <w:w w:val="94"/>
              </w:rPr>
              <w:t>Pro Forma (2)</w:t>
            </w:r>
          </w:p>
        </w:tc>
        <w:tc>
          <w:tcPr>
            <w:tcW w:w="160" w:type="dxa"/>
            <w:vAlign w:val="bottom"/>
          </w:tcPr>
          <w:p>
            <w:pPr>
              <w:spacing w:after="0"/>
              <w:rPr>
                <w:sz w:val="17"/>
                <w:szCs w:val="17"/>
                <w:color w:val="auto"/>
              </w:rPr>
            </w:pPr>
          </w:p>
        </w:tc>
        <w:tc>
          <w:tcPr>
            <w:tcW w:w="1660" w:type="dxa"/>
            <w:vAlign w:val="bottom"/>
            <w:gridSpan w:val="2"/>
          </w:tcPr>
          <w:p>
            <w:pPr>
              <w:jc w:val="center"/>
              <w:ind w:right="300"/>
              <w:spacing w:after="0" w:line="206" w:lineRule="exact"/>
              <w:rPr>
                <w:sz w:val="20"/>
                <w:szCs w:val="20"/>
                <w:color w:val="auto"/>
              </w:rPr>
            </w:pPr>
            <w:r>
              <w:rPr>
                <w:rFonts w:ascii="Arial" w:cs="Arial" w:eastAsia="Arial" w:hAnsi="Arial"/>
                <w:sz w:val="20"/>
                <w:szCs w:val="20"/>
                <w:color w:val="auto"/>
                <w:w w:val="89"/>
              </w:rPr>
              <w:t>SFAS No. 123R</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gridSpan w:val="2"/>
            <w:shd w:val="clear" w:color="auto" w:fill="CCEEFF"/>
          </w:tcPr>
          <w:p>
            <w:pPr>
              <w:spacing w:after="0" w:line="223" w:lineRule="exact"/>
              <w:rPr>
                <w:sz w:val="20"/>
                <w:szCs w:val="20"/>
                <w:color w:val="auto"/>
              </w:rPr>
            </w:pPr>
            <w:r>
              <w:rPr>
                <w:rFonts w:ascii="Arial" w:cs="Arial" w:eastAsia="Arial" w:hAnsi="Arial"/>
                <w:sz w:val="20"/>
                <w:szCs w:val="20"/>
                <w:color w:val="auto"/>
              </w:rPr>
              <w:t>Earnings from operations</w:t>
            </w:r>
          </w:p>
        </w:tc>
        <w:tc>
          <w:tcPr>
            <w:tcW w:w="1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5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54,666</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w w:val="71"/>
              </w:rPr>
              <w:t>$</w:t>
            </w:r>
          </w:p>
        </w:tc>
        <w:tc>
          <w:tcPr>
            <w:tcW w:w="150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54,830</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5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(164)</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20"/>
                <w:szCs w:val="20"/>
                <w:color w:val="auto"/>
              </w:rPr>
              <w:t>Earnings before income taxes</w:t>
            </w:r>
          </w:p>
        </w:tc>
        <w:tc>
          <w:tcPr>
            <w:tcW w:w="160" w:type="dxa"/>
            <w:vAlign w:val="bottom"/>
          </w:tcPr>
          <w:p>
            <w:pPr>
              <w:spacing w:after="0"/>
              <w:rPr>
                <w:sz w:val="19"/>
                <w:szCs w:val="19"/>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20"/>
                <w:szCs w:val="20"/>
                <w:color w:val="auto"/>
              </w:rPr>
              <w:t>50,488</w:t>
            </w:r>
          </w:p>
        </w:tc>
        <w:tc>
          <w:tcPr>
            <w:tcW w:w="200" w:type="dxa"/>
            <w:vAlign w:val="bottom"/>
          </w:tcPr>
          <w:p>
            <w:pPr>
              <w:spacing w:after="0"/>
              <w:rPr>
                <w:sz w:val="19"/>
                <w:szCs w:val="19"/>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20"/>
                <w:szCs w:val="20"/>
                <w:color w:val="auto"/>
              </w:rPr>
              <w:t>50,652</w:t>
            </w:r>
          </w:p>
        </w:tc>
        <w:tc>
          <w:tcPr>
            <w:tcW w:w="16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20"/>
                <w:szCs w:val="20"/>
                <w:color w:val="auto"/>
              </w:rPr>
              <w:t>(164)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Net earnings</w:t>
            </w: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20"/>
                <w:szCs w:val="20"/>
                <w:color w:val="auto"/>
              </w:rPr>
              <w:t>34,377</w:t>
            </w:r>
          </w:p>
        </w:tc>
        <w:tc>
          <w:tcPr>
            <w:tcW w:w="2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20"/>
                <w:szCs w:val="20"/>
                <w:color w:val="auto"/>
              </w:rPr>
              <w:t>34,465</w:t>
            </w: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20"/>
                <w:szCs w:val="20"/>
                <w:color w:val="auto"/>
              </w:rPr>
              <w:t>Basic net earnings per share</w:t>
            </w:r>
          </w:p>
        </w:tc>
        <w:tc>
          <w:tcPr>
            <w:tcW w:w="160" w:type="dxa"/>
            <w:vAlign w:val="bottom"/>
          </w:tcPr>
          <w:p>
            <w:pPr>
              <w:spacing w:after="0"/>
              <w:rPr>
                <w:sz w:val="19"/>
                <w:szCs w:val="19"/>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20"/>
                <w:szCs w:val="20"/>
                <w:color w:val="auto"/>
              </w:rPr>
              <w:t>0.77</w:t>
            </w:r>
          </w:p>
        </w:tc>
        <w:tc>
          <w:tcPr>
            <w:tcW w:w="200" w:type="dxa"/>
            <w:vAlign w:val="bottom"/>
          </w:tcPr>
          <w:p>
            <w:pPr>
              <w:spacing w:after="0"/>
              <w:rPr>
                <w:sz w:val="19"/>
                <w:szCs w:val="19"/>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20"/>
                <w:szCs w:val="20"/>
                <w:color w:val="auto"/>
              </w:rPr>
              <w:t>0.77</w:t>
            </w:r>
          </w:p>
        </w:tc>
        <w:tc>
          <w:tcPr>
            <w:tcW w:w="160" w:type="dxa"/>
            <w:vAlign w:val="bottom"/>
          </w:tcPr>
          <w:p>
            <w:pPr>
              <w:spacing w:after="0"/>
              <w:rPr>
                <w:sz w:val="19"/>
                <w:szCs w:val="19"/>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Diluted net earnings per share</w:t>
            </w: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20"/>
                <w:szCs w:val="20"/>
                <w:color w:val="auto"/>
              </w:rPr>
              <w:t>0.74</w:t>
            </w:r>
          </w:p>
        </w:tc>
        <w:tc>
          <w:tcPr>
            <w:tcW w:w="2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20"/>
                <w:szCs w:val="20"/>
                <w:color w:val="auto"/>
              </w:rPr>
              <w:t>0.74</w:t>
            </w: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0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line="213" w:lineRule="exact"/>
              <w:rPr>
                <w:sz w:val="20"/>
                <w:szCs w:val="20"/>
                <w:color w:val="auto"/>
              </w:rPr>
            </w:pPr>
            <w:r>
              <w:rPr>
                <w:rFonts w:ascii="Arial" w:cs="Arial" w:eastAsia="Arial" w:hAnsi="Arial"/>
                <w:sz w:val="20"/>
                <w:szCs w:val="20"/>
                <w:color w:val="auto"/>
              </w:rPr>
              <w:t>Nine months ended</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80" w:type="dxa"/>
            <w:vAlign w:val="bottom"/>
            <w:gridSpan w:val="2"/>
            <w:shd w:val="clear" w:color="auto" w:fill="CCEEFF"/>
          </w:tcPr>
          <w:p>
            <w:pPr>
              <w:spacing w:after="0" w:line="206" w:lineRule="exact"/>
              <w:rPr>
                <w:sz w:val="20"/>
                <w:szCs w:val="20"/>
                <w:color w:val="auto"/>
              </w:rPr>
            </w:pPr>
            <w:r>
              <w:rPr>
                <w:rFonts w:ascii="Arial" w:cs="Arial" w:eastAsia="Arial" w:hAnsi="Arial"/>
                <w:sz w:val="20"/>
                <w:szCs w:val="20"/>
                <w:color w:val="auto"/>
              </w:rPr>
              <w:t>July 29, 2005</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60" w:type="dxa"/>
            <w:vAlign w:val="bottom"/>
            <w:tcBorders>
              <w:top w:val="single" w:sz="8" w:color="auto"/>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20"/>
                <w:szCs w:val="20"/>
                <w:color w:val="auto"/>
              </w:rPr>
              <w:t>Earnings from operations</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840" w:type="dxa"/>
            <w:vAlign w:val="bottom"/>
            <w:gridSpan w:val="2"/>
          </w:tcPr>
          <w:p>
            <w:pPr>
              <w:jc w:val="right"/>
              <w:ind w:right="280"/>
              <w:spacing w:after="0"/>
              <w:rPr>
                <w:sz w:val="20"/>
                <w:szCs w:val="20"/>
                <w:color w:val="auto"/>
              </w:rPr>
            </w:pPr>
            <w:r>
              <w:rPr>
                <w:rFonts w:ascii="Arial" w:cs="Arial" w:eastAsia="Arial" w:hAnsi="Arial"/>
                <w:sz w:val="20"/>
                <w:szCs w:val="20"/>
                <w:color w:val="auto"/>
              </w:rPr>
              <w:t>171,191</w:t>
            </w:r>
          </w:p>
        </w:tc>
        <w:tc>
          <w:tcPr>
            <w:tcW w:w="200" w:type="dxa"/>
            <w:vAlign w:val="bottom"/>
          </w:tcPr>
          <w:p>
            <w:pPr>
              <w:jc w:val="right"/>
              <w:ind w:right="1"/>
              <w:spacing w:after="0"/>
              <w:rPr>
                <w:sz w:val="20"/>
                <w:szCs w:val="20"/>
                <w:color w:val="auto"/>
              </w:rPr>
            </w:pPr>
            <w:r>
              <w:rPr>
                <w:rFonts w:ascii="Arial" w:cs="Arial" w:eastAsia="Arial" w:hAnsi="Arial"/>
                <w:sz w:val="20"/>
                <w:szCs w:val="20"/>
                <w:color w:val="auto"/>
                <w:w w:val="71"/>
              </w:rPr>
              <w:t>$</w:t>
            </w:r>
          </w:p>
        </w:tc>
        <w:tc>
          <w:tcPr>
            <w:tcW w:w="1780" w:type="dxa"/>
            <w:vAlign w:val="bottom"/>
            <w:gridSpan w:val="2"/>
          </w:tcPr>
          <w:p>
            <w:pPr>
              <w:jc w:val="right"/>
              <w:ind w:right="280"/>
              <w:spacing w:after="0"/>
              <w:rPr>
                <w:sz w:val="20"/>
                <w:szCs w:val="20"/>
                <w:color w:val="auto"/>
              </w:rPr>
            </w:pPr>
            <w:r>
              <w:rPr>
                <w:rFonts w:ascii="Arial" w:cs="Arial" w:eastAsia="Arial" w:hAnsi="Arial"/>
                <w:sz w:val="20"/>
                <w:szCs w:val="20"/>
                <w:color w:val="auto"/>
              </w:rPr>
              <w:t>166,976</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660" w:type="dxa"/>
            <w:vAlign w:val="bottom"/>
            <w:gridSpan w:val="2"/>
          </w:tcPr>
          <w:p>
            <w:pPr>
              <w:jc w:val="right"/>
              <w:ind w:right="140"/>
              <w:spacing w:after="0"/>
              <w:rPr>
                <w:sz w:val="20"/>
                <w:szCs w:val="20"/>
                <w:color w:val="auto"/>
              </w:rPr>
            </w:pPr>
            <w:r>
              <w:rPr>
                <w:rFonts w:ascii="Arial" w:cs="Arial" w:eastAsia="Arial" w:hAnsi="Arial"/>
                <w:sz w:val="20"/>
                <w:szCs w:val="20"/>
                <w:color w:val="auto"/>
              </w:rPr>
              <w:t>4,215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Earnings before income taxes</w:t>
            </w: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20"/>
                <w:szCs w:val="20"/>
                <w:color w:val="auto"/>
              </w:rPr>
              <w:t>160,463</w:t>
            </w:r>
          </w:p>
        </w:tc>
        <w:tc>
          <w:tcPr>
            <w:tcW w:w="2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20"/>
                <w:szCs w:val="20"/>
                <w:color w:val="auto"/>
              </w:rPr>
              <w:t>156,248</w:t>
            </w: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4,215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20"/>
                <w:szCs w:val="20"/>
                <w:color w:val="auto"/>
              </w:rPr>
              <w:t>Net earnings</w:t>
            </w:r>
          </w:p>
        </w:tc>
        <w:tc>
          <w:tcPr>
            <w:tcW w:w="160" w:type="dxa"/>
            <w:vAlign w:val="bottom"/>
          </w:tcPr>
          <w:p>
            <w:pPr>
              <w:spacing w:after="0"/>
              <w:rPr>
                <w:sz w:val="19"/>
                <w:szCs w:val="19"/>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20"/>
                <w:szCs w:val="20"/>
                <w:color w:val="auto"/>
              </w:rPr>
              <w:t>107,510</w:t>
            </w:r>
          </w:p>
        </w:tc>
        <w:tc>
          <w:tcPr>
            <w:tcW w:w="200" w:type="dxa"/>
            <w:vAlign w:val="bottom"/>
          </w:tcPr>
          <w:p>
            <w:pPr>
              <w:spacing w:after="0"/>
              <w:rPr>
                <w:sz w:val="19"/>
                <w:szCs w:val="19"/>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20"/>
                <w:szCs w:val="20"/>
                <w:color w:val="auto"/>
              </w:rPr>
              <w:t>104,686</w:t>
            </w:r>
          </w:p>
        </w:tc>
        <w:tc>
          <w:tcPr>
            <w:tcW w:w="160" w:type="dxa"/>
            <w:vAlign w:val="bottom"/>
          </w:tcPr>
          <w:p>
            <w:pPr>
              <w:spacing w:after="0"/>
              <w:rPr>
                <w:sz w:val="19"/>
                <w:szCs w:val="19"/>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20"/>
                <w:szCs w:val="20"/>
                <w:color w:val="auto"/>
              </w:rPr>
              <w:t>2,824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Basic net earnings per share</w:t>
            </w: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20"/>
                <w:szCs w:val="20"/>
                <w:color w:val="auto"/>
              </w:rPr>
              <w:t>2.38</w:t>
            </w:r>
          </w:p>
        </w:tc>
        <w:tc>
          <w:tcPr>
            <w:tcW w:w="2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20"/>
                <w:szCs w:val="20"/>
                <w:color w:val="auto"/>
              </w:rPr>
              <w:t>2.32</w:t>
            </w: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0.06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20"/>
                <w:szCs w:val="20"/>
                <w:color w:val="auto"/>
              </w:rPr>
              <w:t>Diluted net earnings per share</w:t>
            </w:r>
          </w:p>
        </w:tc>
        <w:tc>
          <w:tcPr>
            <w:tcW w:w="160" w:type="dxa"/>
            <w:vAlign w:val="bottom"/>
          </w:tcPr>
          <w:p>
            <w:pPr>
              <w:spacing w:after="0"/>
              <w:rPr>
                <w:sz w:val="19"/>
                <w:szCs w:val="19"/>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20"/>
                <w:szCs w:val="20"/>
                <w:color w:val="auto"/>
              </w:rPr>
              <w:t>2.29</w:t>
            </w:r>
          </w:p>
        </w:tc>
        <w:tc>
          <w:tcPr>
            <w:tcW w:w="200" w:type="dxa"/>
            <w:vAlign w:val="bottom"/>
          </w:tcPr>
          <w:p>
            <w:pPr>
              <w:spacing w:after="0"/>
              <w:rPr>
                <w:sz w:val="19"/>
                <w:szCs w:val="19"/>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20"/>
                <w:szCs w:val="20"/>
                <w:color w:val="auto"/>
              </w:rPr>
              <w:t>2.22</w:t>
            </w:r>
          </w:p>
        </w:tc>
        <w:tc>
          <w:tcPr>
            <w:tcW w:w="160" w:type="dxa"/>
            <w:vAlign w:val="bottom"/>
          </w:tcPr>
          <w:p>
            <w:pPr>
              <w:spacing w:after="0"/>
              <w:rPr>
                <w:sz w:val="19"/>
                <w:szCs w:val="19"/>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20"/>
                <w:szCs w:val="20"/>
                <w:color w:val="auto"/>
              </w:rPr>
              <w:t>0.07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Net cash provided by (used in):</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tcPr>
          <w:p>
            <w:pPr>
              <w:ind w:left="160"/>
              <w:spacing w:after="0"/>
              <w:rPr>
                <w:sz w:val="20"/>
                <w:szCs w:val="20"/>
                <w:color w:val="auto"/>
              </w:rPr>
            </w:pPr>
            <w:r>
              <w:rPr>
                <w:rFonts w:ascii="Arial" w:cs="Arial" w:eastAsia="Arial" w:hAnsi="Arial"/>
                <w:sz w:val="20"/>
                <w:szCs w:val="20"/>
                <w:color w:val="auto"/>
              </w:rPr>
              <w:t>Operating activities</w:t>
            </w:r>
          </w:p>
        </w:tc>
        <w:tc>
          <w:tcPr>
            <w:tcW w:w="160" w:type="dxa"/>
            <w:vAlign w:val="bottom"/>
          </w:tcPr>
          <w:p>
            <w:pPr>
              <w:spacing w:after="0"/>
              <w:rPr>
                <w:sz w:val="19"/>
                <w:szCs w:val="19"/>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20"/>
                <w:szCs w:val="20"/>
                <w:color w:val="auto"/>
              </w:rPr>
              <w:t>67,844</w:t>
            </w:r>
          </w:p>
        </w:tc>
        <w:tc>
          <w:tcPr>
            <w:tcW w:w="200" w:type="dxa"/>
            <w:vAlign w:val="bottom"/>
          </w:tcPr>
          <w:p>
            <w:pPr>
              <w:spacing w:after="0"/>
              <w:rPr>
                <w:sz w:val="19"/>
                <w:szCs w:val="19"/>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20"/>
                <w:szCs w:val="20"/>
                <w:color w:val="auto"/>
              </w:rPr>
              <w:t>73,509</w:t>
            </w:r>
          </w:p>
        </w:tc>
        <w:tc>
          <w:tcPr>
            <w:tcW w:w="16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20"/>
                <w:szCs w:val="20"/>
                <w:color w:val="auto"/>
              </w:rPr>
              <w:t>(5,665)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rPr>
              <w:t>Financing activities</w:t>
            </w: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(66,630)</w:t>
            </w:r>
          </w:p>
        </w:tc>
        <w:tc>
          <w:tcPr>
            <w:tcW w:w="2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(72,295)</w:t>
            </w: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5,665</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As reported reflects the application of the provisions of SFAS No. 123R.</w:t>
      </w:r>
    </w:p>
    <w:p>
      <w:pPr>
        <w:spacing w:after="0" w:line="22"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Pro forma assumes the application of the provisions of APB No. 25.</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Per share data has been adjusted for all periods presented to reflect a two-for-one stock split effective March 28, 2005.</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Inventories</w:t>
      </w:r>
    </w:p>
    <w:p>
      <w:pPr>
        <w:spacing w:after="0" w:line="122" w:lineRule="exact"/>
        <w:rPr>
          <w:sz w:val="20"/>
          <w:szCs w:val="20"/>
          <w:color w:val="auto"/>
        </w:rPr>
      </w:pPr>
    </w:p>
    <w:p>
      <w:pPr>
        <w:ind w:right="180"/>
        <w:spacing w:after="0" w:line="263" w:lineRule="auto"/>
        <w:rPr>
          <w:sz w:val="20"/>
          <w:szCs w:val="20"/>
          <w:color w:val="auto"/>
        </w:rPr>
      </w:pPr>
      <w:r>
        <w:rPr>
          <w:rFonts w:ascii="Arial" w:cs="Arial" w:eastAsia="Arial" w:hAnsi="Arial"/>
          <w:sz w:val="19"/>
          <w:szCs w:val="19"/>
          <w:color w:val="auto"/>
        </w:rPr>
        <w:t>Inventories are valued at the lower of cost or net realizable value, with cost determined by the last-in, first-out (LIFO) method for most inventories and first-in, first-out (FIFO) for all other inventories. The company establishes a reserve for excess, slow-moving, and obsolete inventory that is based on the difference between the cost and estimated market value for that inventory. These reserves are based on a review and comparison of current inventory levels to the production and sales history of the inventory.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200" w:type="dxa"/>
            <w:vAlign w:val="bottom"/>
            <w:gridSpan w:val="2"/>
          </w:tcPr>
          <w:p>
            <w:pPr>
              <w:spacing w:after="0"/>
              <w:rPr>
                <w:sz w:val="20"/>
                <w:szCs w:val="20"/>
                <w:color w:val="auto"/>
              </w:rPr>
            </w:pPr>
            <w:r>
              <w:rPr>
                <w:rFonts w:ascii="Arial" w:cs="Arial" w:eastAsia="Arial" w:hAnsi="Arial"/>
                <w:sz w:val="20"/>
                <w:szCs w:val="20"/>
                <w:color w:val="auto"/>
              </w:rPr>
              <w:t>Inventories were as follows:</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438"/>
        </w:trPr>
        <w:tc>
          <w:tcPr>
            <w:tcW w:w="6200" w:type="dxa"/>
            <w:vAlign w:val="bottom"/>
            <w:gridSpan w:val="2"/>
          </w:tcPr>
          <w:p>
            <w:pPr>
              <w:ind w:left="660"/>
              <w:spacing w:after="0"/>
              <w:rPr>
                <w:sz w:val="20"/>
                <w:szCs w:val="20"/>
                <w:color w:val="auto"/>
              </w:rPr>
            </w:pPr>
            <w:r>
              <w:rPr>
                <w:rFonts w:ascii="Arial" w:cs="Arial" w:eastAsia="Arial" w:hAnsi="Arial"/>
                <w:sz w:val="20"/>
                <w:szCs w:val="20"/>
                <w:color w:val="auto"/>
              </w:rPr>
              <w:t>(Dollars in thousands)</w:t>
            </w:r>
          </w:p>
        </w:tc>
        <w:tc>
          <w:tcPr>
            <w:tcW w:w="200" w:type="dxa"/>
            <w:vAlign w:val="bottom"/>
          </w:tcPr>
          <w:p>
            <w:pPr>
              <w:spacing w:after="0"/>
              <w:rPr>
                <w:sz w:val="24"/>
                <w:szCs w:val="2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20"/>
                <w:szCs w:val="20"/>
                <w:color w:val="auto"/>
              </w:rPr>
              <w:t>July 29,</w:t>
            </w:r>
          </w:p>
        </w:tc>
        <w:tc>
          <w:tcPr>
            <w:tcW w:w="200" w:type="dxa"/>
            <w:vAlign w:val="bottom"/>
          </w:tcPr>
          <w:p>
            <w:pPr>
              <w:spacing w:after="0"/>
              <w:rPr>
                <w:sz w:val="24"/>
                <w:szCs w:val="2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20"/>
                <w:szCs w:val="20"/>
                <w:color w:val="auto"/>
              </w:rPr>
              <w:t>July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20"/>
                <w:szCs w:val="20"/>
                <w:color w:val="auto"/>
              </w:rPr>
              <w:t>October 31,</w:t>
            </w:r>
          </w:p>
        </w:tc>
      </w:tr>
      <w:tr>
        <w:trPr>
          <w:trHeight w:val="246"/>
        </w:trPr>
        <w:tc>
          <w:tcPr>
            <w:tcW w:w="660" w:type="dxa"/>
            <w:vAlign w:val="bottom"/>
          </w:tcPr>
          <w:p>
            <w:pPr>
              <w:spacing w:after="0"/>
              <w:rPr>
                <w:sz w:val="21"/>
                <w:szCs w:val="21"/>
                <w:color w:val="auto"/>
              </w:rPr>
            </w:pPr>
          </w:p>
        </w:tc>
        <w:tc>
          <w:tcPr>
            <w:tcW w:w="55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2005</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2004</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2004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23"/>
        </w:trPr>
        <w:tc>
          <w:tcPr>
            <w:tcW w:w="660" w:type="dxa"/>
            <w:vAlign w:val="bottom"/>
          </w:tcPr>
          <w:p>
            <w:pPr>
              <w:spacing w:after="0"/>
              <w:rPr>
                <w:sz w:val="19"/>
                <w:szCs w:val="19"/>
                <w:color w:val="auto"/>
              </w:rPr>
            </w:pPr>
          </w:p>
        </w:tc>
        <w:tc>
          <w:tcPr>
            <w:tcW w:w="554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Raw materials and work in process</w:t>
            </w:r>
          </w:p>
        </w:tc>
        <w:tc>
          <w:tcPr>
            <w:tcW w:w="200" w:type="dxa"/>
            <w:vAlign w:val="bottom"/>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w w:val="71"/>
              </w:rPr>
              <w:t>$</w:t>
            </w:r>
          </w:p>
        </w:tc>
        <w:tc>
          <w:tcPr>
            <w:tcW w:w="10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60,559</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w w:val="71"/>
              </w:rPr>
              <w:t>$</w:t>
            </w:r>
          </w:p>
        </w:tc>
        <w:tc>
          <w:tcPr>
            <w:tcW w:w="10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64,455</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64,169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20"/>
                <w:szCs w:val="20"/>
                <w:color w:val="auto"/>
              </w:rPr>
              <w:t>Finished goods and service parts</w:t>
            </w:r>
          </w:p>
        </w:tc>
        <w:tc>
          <w:tcPr>
            <w:tcW w:w="2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20"/>
                <w:szCs w:val="20"/>
                <w:color w:val="auto"/>
              </w:rPr>
              <w:t>227,890</w:t>
            </w:r>
          </w:p>
        </w:tc>
        <w:tc>
          <w:tcPr>
            <w:tcW w:w="2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20"/>
                <w:szCs w:val="20"/>
                <w:color w:val="auto"/>
              </w:rPr>
              <w:t>203,082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20"/>
                <w:szCs w:val="20"/>
                <w:color w:val="auto"/>
              </w:rPr>
              <w:t>210,141</w:t>
            </w:r>
          </w:p>
        </w:tc>
        <w:tc>
          <w:tcPr>
            <w:tcW w:w="80" w:type="dxa"/>
            <w:vAlign w:val="bottom"/>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55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288,449</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267,537</w:t>
            </w: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274,310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20"/>
                <w:szCs w:val="20"/>
                <w:color w:val="auto"/>
              </w:rPr>
              <w:t>Less:  LIFO</w:t>
            </w:r>
          </w:p>
        </w:tc>
        <w:tc>
          <w:tcPr>
            <w:tcW w:w="2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20"/>
                <w:szCs w:val="20"/>
                <w:color w:val="auto"/>
              </w:rPr>
              <w:t>30,227</w:t>
            </w:r>
          </w:p>
        </w:tc>
        <w:tc>
          <w:tcPr>
            <w:tcW w:w="2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20"/>
                <w:szCs w:val="20"/>
                <w:color w:val="auto"/>
              </w:rPr>
              <w:t>32,151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20"/>
                <w:szCs w:val="20"/>
                <w:color w:val="auto"/>
              </w:rPr>
              <w:t>30,227</w:t>
            </w:r>
          </w:p>
        </w:tc>
        <w:tc>
          <w:tcPr>
            <w:tcW w:w="8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5540" w:type="dxa"/>
            <w:vAlign w:val="bottom"/>
            <w:shd w:val="clear" w:color="auto" w:fill="CCEEFF"/>
          </w:tcPr>
          <w:p>
            <w:pPr>
              <w:ind w:left="620"/>
              <w:spacing w:after="0"/>
              <w:rPr>
                <w:sz w:val="20"/>
                <w:szCs w:val="20"/>
                <w:color w:val="auto"/>
              </w:rPr>
            </w:pPr>
            <w:r>
              <w:rPr>
                <w:rFonts w:ascii="Arial" w:cs="Arial" w:eastAsia="Arial" w:hAnsi="Arial"/>
                <w:sz w:val="20"/>
                <w:szCs w:val="20"/>
                <w:color w:val="auto"/>
              </w:rPr>
              <w:t>Other reserves</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23,076</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18,029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16,883</w:t>
            </w:r>
          </w:p>
        </w:tc>
        <w:tc>
          <w:tcPr>
            <w:tcW w:w="80" w:type="dxa"/>
            <w:vAlign w:val="bottom"/>
            <w:shd w:val="clear" w:color="auto" w:fill="CCEEFF"/>
          </w:tcPr>
          <w:p>
            <w:pPr>
              <w:spacing w:after="0"/>
              <w:rPr>
                <w:sz w:val="19"/>
                <w:szCs w:val="19"/>
                <w:color w:val="auto"/>
              </w:rPr>
            </w:pPr>
          </w:p>
        </w:tc>
      </w:tr>
      <w:tr>
        <w:trPr>
          <w:trHeight w:val="230"/>
        </w:trPr>
        <w:tc>
          <w:tcPr>
            <w:tcW w:w="6200" w:type="dxa"/>
            <w:vAlign w:val="bottom"/>
            <w:gridSpan w:val="2"/>
          </w:tcPr>
          <w:p>
            <w:pPr>
              <w:ind w:left="660"/>
              <w:spacing w:after="0" w:line="223" w:lineRule="exact"/>
              <w:rPr>
                <w:sz w:val="20"/>
                <w:szCs w:val="20"/>
                <w:color w:val="auto"/>
              </w:rPr>
            </w:pPr>
            <w:r>
              <w:rPr>
                <w:rFonts w:ascii="Arial" w:cs="Arial" w:eastAsia="Arial" w:hAnsi="Arial"/>
                <w:sz w:val="20"/>
                <w:szCs w:val="20"/>
                <w:color w:val="auto"/>
              </w:rPr>
              <w:t>Total</w:t>
            </w:r>
          </w:p>
        </w:tc>
        <w:tc>
          <w:tcPr>
            <w:tcW w:w="200" w:type="dxa"/>
            <w:vAlign w:val="bottom"/>
            <w:tcBorders>
              <w:top w:val="single" w:sz="8" w:color="auto"/>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w w:val="71"/>
              </w:rPr>
              <w:t>$</w:t>
            </w:r>
          </w:p>
        </w:tc>
        <w:tc>
          <w:tcPr>
            <w:tcW w:w="102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235,146</w:t>
            </w: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w w:val="71"/>
              </w:rPr>
              <w:t>$</w:t>
            </w:r>
          </w:p>
        </w:tc>
        <w:tc>
          <w:tcPr>
            <w:tcW w:w="102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217,357</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227,200</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bl>
    <w:p>
      <w:pPr>
        <w:sectPr>
          <w:pgSz w:w="11900" w:h="16838" w:orient="portrait"/>
          <w:cols w:equalWidth="0" w:num="1">
            <w:col w:w="11400"/>
          </w:cols>
          <w:pgMar w:left="240" w:top="121" w:right="259" w:bottom="0" w:gutter="0" w:footer="0" w:header="0"/>
        </w:sectPr>
      </w:pPr>
    </w:p>
    <w:bookmarkStart w:id="6" w:name="page7"/>
    <w:bookmarkEnd w:id="6"/>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 Share Data</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Reconciliations of basic and dilutive weighted average number of shares of common stock outstanding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620" w:type="dxa"/>
            <w:vAlign w:val="bottom"/>
            <w:gridSpan w:val="4"/>
            <w:vMerge w:val="restart"/>
          </w:tcPr>
          <w:p>
            <w:pPr>
              <w:spacing w:after="0"/>
              <w:rPr>
                <w:sz w:val="20"/>
                <w:szCs w:val="20"/>
                <w:color w:val="auto"/>
              </w:rPr>
            </w:pPr>
            <w:r>
              <w:rPr>
                <w:rFonts w:ascii="Arial" w:cs="Arial" w:eastAsia="Arial" w:hAnsi="Arial"/>
                <w:sz w:val="20"/>
                <w:szCs w:val="20"/>
                <w:color w:val="auto"/>
              </w:rPr>
              <w:t>(Shares in thousands)</w:t>
            </w:r>
          </w:p>
        </w:tc>
        <w:tc>
          <w:tcPr>
            <w:tcW w:w="2960" w:type="dxa"/>
            <w:vAlign w:val="bottom"/>
            <w:gridSpan w:val="4"/>
          </w:tcPr>
          <w:p>
            <w:pPr>
              <w:ind w:left="520"/>
              <w:spacing w:after="0"/>
              <w:rPr>
                <w:sz w:val="20"/>
                <w:szCs w:val="20"/>
                <w:color w:val="auto"/>
              </w:rPr>
            </w:pPr>
            <w:r>
              <w:rPr>
                <w:rFonts w:ascii="Arial" w:cs="Arial" w:eastAsia="Arial" w:hAnsi="Arial"/>
                <w:sz w:val="20"/>
                <w:szCs w:val="20"/>
                <w:color w:val="auto"/>
              </w:rPr>
              <w:t>Three Months Ended</w:t>
            </w:r>
          </w:p>
        </w:tc>
        <w:tc>
          <w:tcPr>
            <w:tcW w:w="2840" w:type="dxa"/>
            <w:vAlign w:val="bottom"/>
            <w:gridSpan w:val="4"/>
          </w:tcPr>
          <w:p>
            <w:pPr>
              <w:ind w:left="580"/>
              <w:spacing w:after="0"/>
              <w:rPr>
                <w:sz w:val="20"/>
                <w:szCs w:val="20"/>
                <w:color w:val="auto"/>
              </w:rPr>
            </w:pPr>
            <w:r>
              <w:rPr>
                <w:rFonts w:ascii="Arial" w:cs="Arial" w:eastAsia="Arial" w:hAnsi="Arial"/>
                <w:sz w:val="20"/>
                <w:szCs w:val="20"/>
                <w:color w:val="auto"/>
              </w:rPr>
              <w:t>Nine Months Ended</w:t>
            </w:r>
          </w:p>
        </w:tc>
        <w:tc>
          <w:tcPr>
            <w:tcW w:w="0" w:type="dxa"/>
            <w:vAlign w:val="bottom"/>
          </w:tcPr>
          <w:p>
            <w:pPr>
              <w:spacing w:after="0"/>
              <w:rPr>
                <w:sz w:val="1"/>
                <w:szCs w:val="1"/>
                <w:color w:val="auto"/>
              </w:rPr>
            </w:pPr>
          </w:p>
        </w:tc>
      </w:tr>
      <w:tr>
        <w:trPr>
          <w:trHeight w:val="206"/>
        </w:trPr>
        <w:tc>
          <w:tcPr>
            <w:tcW w:w="5620" w:type="dxa"/>
            <w:vAlign w:val="bottom"/>
            <w:gridSpan w:val="4"/>
            <w:vMerge w:val="continue"/>
          </w:tcPr>
          <w:p>
            <w:pPr>
              <w:spacing w:after="0"/>
              <w:rPr>
                <w:sz w:val="17"/>
                <w:szCs w:val="17"/>
                <w:color w:val="auto"/>
              </w:rPr>
            </w:pPr>
          </w:p>
        </w:tc>
        <w:tc>
          <w:tcPr>
            <w:tcW w:w="1480" w:type="dxa"/>
            <w:vAlign w:val="bottom"/>
            <w:tcBorders>
              <w:top w:val="single" w:sz="8" w:color="auto"/>
            </w:tcBorders>
            <w:gridSpan w:val="2"/>
          </w:tcPr>
          <w:p>
            <w:pPr>
              <w:jc w:val="center"/>
              <w:ind w:right="240"/>
              <w:spacing w:after="0" w:line="207" w:lineRule="exact"/>
              <w:rPr>
                <w:sz w:val="20"/>
                <w:szCs w:val="20"/>
                <w:color w:val="auto"/>
              </w:rPr>
            </w:pPr>
            <w:r>
              <w:rPr>
                <w:rFonts w:ascii="Arial" w:cs="Arial" w:eastAsia="Arial" w:hAnsi="Arial"/>
                <w:sz w:val="20"/>
                <w:szCs w:val="20"/>
                <w:color w:val="auto"/>
                <w:w w:val="92"/>
              </w:rPr>
              <w:t>July 29,</w:t>
            </w:r>
          </w:p>
        </w:tc>
        <w:tc>
          <w:tcPr>
            <w:tcW w:w="1260" w:type="dxa"/>
            <w:vAlign w:val="bottom"/>
            <w:tcBorders>
              <w:top w:val="single" w:sz="8" w:color="auto"/>
            </w:tcBorders>
          </w:tcPr>
          <w:p>
            <w:pPr>
              <w:jc w:val="right"/>
              <w:ind w:right="221"/>
              <w:spacing w:after="0" w:line="207" w:lineRule="exact"/>
              <w:rPr>
                <w:sz w:val="20"/>
                <w:szCs w:val="20"/>
                <w:color w:val="auto"/>
              </w:rPr>
            </w:pPr>
            <w:r>
              <w:rPr>
                <w:rFonts w:ascii="Arial" w:cs="Arial" w:eastAsia="Arial" w:hAnsi="Arial"/>
                <w:sz w:val="20"/>
                <w:szCs w:val="20"/>
                <w:color w:val="auto"/>
              </w:rPr>
              <w:t>July 30,</w:t>
            </w:r>
          </w:p>
        </w:tc>
        <w:tc>
          <w:tcPr>
            <w:tcW w:w="220" w:type="dxa"/>
            <w:vAlign w:val="bottom"/>
          </w:tcPr>
          <w:p>
            <w:pPr>
              <w:spacing w:after="0"/>
              <w:rPr>
                <w:sz w:val="17"/>
                <w:szCs w:val="17"/>
                <w:color w:val="auto"/>
              </w:rPr>
            </w:pPr>
          </w:p>
        </w:tc>
        <w:tc>
          <w:tcPr>
            <w:tcW w:w="1480" w:type="dxa"/>
            <w:vAlign w:val="bottom"/>
            <w:tcBorders>
              <w:top w:val="single" w:sz="8" w:color="auto"/>
            </w:tcBorders>
            <w:gridSpan w:val="2"/>
          </w:tcPr>
          <w:p>
            <w:pPr>
              <w:jc w:val="right"/>
              <w:ind w:right="540"/>
              <w:spacing w:after="0" w:line="207" w:lineRule="exact"/>
              <w:rPr>
                <w:sz w:val="20"/>
                <w:szCs w:val="20"/>
                <w:color w:val="auto"/>
              </w:rPr>
            </w:pPr>
            <w:r>
              <w:rPr>
                <w:rFonts w:ascii="Arial" w:cs="Arial" w:eastAsia="Arial" w:hAnsi="Arial"/>
                <w:sz w:val="20"/>
                <w:szCs w:val="20"/>
                <w:color w:val="auto"/>
              </w:rPr>
              <w:t>July 29,</w:t>
            </w:r>
          </w:p>
        </w:tc>
        <w:tc>
          <w:tcPr>
            <w:tcW w:w="1260" w:type="dxa"/>
            <w:vAlign w:val="bottom"/>
            <w:tcBorders>
              <w:top w:val="single" w:sz="8" w:color="auto"/>
            </w:tcBorders>
          </w:tcPr>
          <w:p>
            <w:pPr>
              <w:jc w:val="right"/>
              <w:ind w:right="221"/>
              <w:spacing w:after="0" w:line="207" w:lineRule="exact"/>
              <w:rPr>
                <w:sz w:val="20"/>
                <w:szCs w:val="20"/>
                <w:color w:val="auto"/>
              </w:rPr>
            </w:pPr>
            <w:r>
              <w:rPr>
                <w:rFonts w:ascii="Arial" w:cs="Arial" w:eastAsia="Arial" w:hAnsi="Arial"/>
                <w:sz w:val="20"/>
                <w:szCs w:val="20"/>
                <w:color w:val="auto"/>
              </w:rPr>
              <w:t>July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20" w:type="dxa"/>
            <w:vAlign w:val="bottom"/>
            <w:gridSpan w:val="4"/>
          </w:tcPr>
          <w:p>
            <w:pPr>
              <w:spacing w:after="0" w:line="206" w:lineRule="exact"/>
              <w:rPr>
                <w:sz w:val="20"/>
                <w:szCs w:val="20"/>
                <w:color w:val="auto"/>
              </w:rPr>
            </w:pPr>
            <w:r>
              <w:rPr>
                <w:rFonts w:ascii="Arial" w:cs="Arial" w:eastAsia="Arial" w:hAnsi="Arial"/>
                <w:sz w:val="20"/>
                <w:szCs w:val="20"/>
                <w:i w:val="1"/>
                <w:iCs w:val="1"/>
                <w:color w:val="auto"/>
              </w:rPr>
              <w:t>Basic</w:t>
            </w:r>
          </w:p>
        </w:tc>
        <w:tc>
          <w:tcPr>
            <w:tcW w:w="1240" w:type="dxa"/>
            <w:vAlign w:val="bottom"/>
          </w:tcPr>
          <w:p>
            <w:pPr>
              <w:jc w:val="right"/>
              <w:ind w:right="321"/>
              <w:spacing w:after="0" w:line="206" w:lineRule="exact"/>
              <w:rPr>
                <w:sz w:val="20"/>
                <w:szCs w:val="20"/>
                <w:color w:val="auto"/>
              </w:rPr>
            </w:pPr>
            <w:r>
              <w:rPr>
                <w:rFonts w:ascii="Arial" w:cs="Arial" w:eastAsia="Arial" w:hAnsi="Arial"/>
                <w:sz w:val="20"/>
                <w:szCs w:val="20"/>
                <w:color w:val="auto"/>
              </w:rPr>
              <w:t>2005</w:t>
            </w:r>
          </w:p>
        </w:tc>
        <w:tc>
          <w:tcPr>
            <w:tcW w:w="240" w:type="dxa"/>
            <w:vAlign w:val="bottom"/>
          </w:tcPr>
          <w:p>
            <w:pPr>
              <w:spacing w:after="0"/>
              <w:rPr>
                <w:sz w:val="17"/>
                <w:szCs w:val="17"/>
                <w:color w:val="auto"/>
              </w:rPr>
            </w:pPr>
          </w:p>
        </w:tc>
        <w:tc>
          <w:tcPr>
            <w:tcW w:w="1260" w:type="dxa"/>
            <w:vAlign w:val="bottom"/>
          </w:tcPr>
          <w:p>
            <w:pPr>
              <w:jc w:val="right"/>
              <w:ind w:right="341"/>
              <w:spacing w:after="0" w:line="206" w:lineRule="exact"/>
              <w:rPr>
                <w:sz w:val="20"/>
                <w:szCs w:val="20"/>
                <w:color w:val="auto"/>
              </w:rPr>
            </w:pPr>
            <w:r>
              <w:rPr>
                <w:rFonts w:ascii="Arial" w:cs="Arial" w:eastAsia="Arial" w:hAnsi="Arial"/>
                <w:sz w:val="20"/>
                <w:szCs w:val="20"/>
                <w:color w:val="auto"/>
              </w:rPr>
              <w:t>2004</w:t>
            </w:r>
          </w:p>
        </w:tc>
        <w:tc>
          <w:tcPr>
            <w:tcW w:w="220" w:type="dxa"/>
            <w:vAlign w:val="bottom"/>
          </w:tcPr>
          <w:p>
            <w:pPr>
              <w:spacing w:after="0"/>
              <w:rPr>
                <w:sz w:val="17"/>
                <w:szCs w:val="17"/>
                <w:color w:val="auto"/>
              </w:rPr>
            </w:pPr>
          </w:p>
        </w:tc>
        <w:tc>
          <w:tcPr>
            <w:tcW w:w="1260" w:type="dxa"/>
            <w:vAlign w:val="bottom"/>
          </w:tcPr>
          <w:p>
            <w:pPr>
              <w:jc w:val="right"/>
              <w:ind w:right="341"/>
              <w:spacing w:after="0" w:line="206" w:lineRule="exact"/>
              <w:rPr>
                <w:sz w:val="20"/>
                <w:szCs w:val="20"/>
                <w:color w:val="auto"/>
              </w:rPr>
            </w:pPr>
            <w:r>
              <w:rPr>
                <w:rFonts w:ascii="Arial" w:cs="Arial" w:eastAsia="Arial" w:hAnsi="Arial"/>
                <w:sz w:val="20"/>
                <w:szCs w:val="20"/>
                <w:color w:val="auto"/>
              </w:rPr>
              <w:t>2005</w:t>
            </w:r>
          </w:p>
        </w:tc>
        <w:tc>
          <w:tcPr>
            <w:tcW w:w="220" w:type="dxa"/>
            <w:vAlign w:val="bottom"/>
          </w:tcPr>
          <w:p>
            <w:pPr>
              <w:spacing w:after="0"/>
              <w:rPr>
                <w:sz w:val="17"/>
                <w:szCs w:val="17"/>
                <w:color w:val="auto"/>
              </w:rPr>
            </w:pPr>
          </w:p>
        </w:tc>
        <w:tc>
          <w:tcPr>
            <w:tcW w:w="1260" w:type="dxa"/>
            <w:vAlign w:val="bottom"/>
          </w:tcPr>
          <w:p>
            <w:pPr>
              <w:jc w:val="right"/>
              <w:ind w:right="341"/>
              <w:spacing w:after="0" w:line="206" w:lineRule="exact"/>
              <w:rPr>
                <w:sz w:val="20"/>
                <w:szCs w:val="20"/>
                <w:color w:val="auto"/>
              </w:rPr>
            </w:pPr>
            <w:r>
              <w:rPr>
                <w:rFonts w:ascii="Arial" w:cs="Arial" w:eastAsia="Arial" w:hAnsi="Arial"/>
                <w:sz w:val="20"/>
                <w:szCs w:val="20"/>
                <w:color w:val="auto"/>
              </w:rPr>
              <w:t>2004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gridSpan w:val="3"/>
            <w:shd w:val="clear" w:color="auto" w:fill="CCEEFF"/>
          </w:tcPr>
          <w:p>
            <w:pPr>
              <w:spacing w:after="0" w:line="223" w:lineRule="exact"/>
              <w:rPr>
                <w:sz w:val="20"/>
                <w:szCs w:val="20"/>
                <w:color w:val="auto"/>
              </w:rPr>
            </w:pPr>
            <w:r>
              <w:rPr>
                <w:rFonts w:ascii="Arial" w:cs="Arial" w:eastAsia="Arial" w:hAnsi="Arial"/>
                <w:sz w:val="20"/>
                <w:szCs w:val="20"/>
                <w:color w:val="auto"/>
              </w:rPr>
              <w:t>Weighted average number of shares of common stock</w:t>
            </w:r>
          </w:p>
        </w:tc>
        <w:tc>
          <w:tcPr>
            <w:tcW w:w="12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44,494</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48,738</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45,073</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49,367</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3"/>
          </w:tcPr>
          <w:p>
            <w:pPr>
              <w:spacing w:after="0"/>
              <w:rPr>
                <w:sz w:val="20"/>
                <w:szCs w:val="20"/>
                <w:color w:val="auto"/>
              </w:rPr>
            </w:pPr>
            <w:r>
              <w:rPr>
                <w:rFonts w:ascii="Arial" w:cs="Arial" w:eastAsia="Arial" w:hAnsi="Arial"/>
                <w:sz w:val="20"/>
                <w:szCs w:val="20"/>
                <w:color w:val="auto"/>
              </w:rPr>
              <w:t>Assumed issuance of contingent shares</w:t>
            </w:r>
          </w:p>
        </w:tc>
        <w:tc>
          <w:tcPr>
            <w:tcW w:w="148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48</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gridSpan w:val="3"/>
            <w:vMerge w:val="restart"/>
            <w:shd w:val="clear" w:color="auto" w:fill="CCEEFF"/>
          </w:tcPr>
          <w:p>
            <w:pPr>
              <w:spacing w:after="0" w:line="213" w:lineRule="exact"/>
              <w:rPr>
                <w:sz w:val="20"/>
                <w:szCs w:val="20"/>
                <w:color w:val="auto"/>
              </w:rPr>
            </w:pPr>
            <w:r>
              <w:rPr>
                <w:rFonts w:ascii="Arial" w:cs="Arial" w:eastAsia="Arial" w:hAnsi="Arial"/>
                <w:sz w:val="20"/>
                <w:szCs w:val="20"/>
                <w:color w:val="auto"/>
                <w:w w:val="92"/>
              </w:rPr>
              <w:t>Weighted average number of shares of common stock and assumed</w:t>
            </w: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5600" w:type="dxa"/>
            <w:vAlign w:val="bottom"/>
            <w:gridSpan w:val="3"/>
            <w:vMerge w:val="continue"/>
            <w:shd w:val="clear" w:color="auto" w:fill="CCEEFF"/>
          </w:tcPr>
          <w:p>
            <w:pPr>
              <w:spacing w:after="0"/>
              <w:rPr>
                <w:sz w:val="16"/>
                <w:szCs w:val="16"/>
                <w:color w:val="auto"/>
              </w:rPr>
            </w:pPr>
          </w:p>
        </w:tc>
        <w:tc>
          <w:tcPr>
            <w:tcW w:w="14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20"/>
                <w:szCs w:val="20"/>
                <w:color w:val="auto"/>
              </w:rPr>
              <w:t>44,494</w:t>
            </w:r>
          </w:p>
        </w:tc>
        <w:tc>
          <w:tcPr>
            <w:tcW w:w="1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20"/>
                <w:szCs w:val="20"/>
                <w:color w:val="auto"/>
              </w:rPr>
              <w:t>48,738</w:t>
            </w:r>
          </w:p>
        </w:tc>
        <w:tc>
          <w:tcPr>
            <w:tcW w:w="1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20"/>
                <w:szCs w:val="20"/>
                <w:color w:val="auto"/>
              </w:rPr>
              <w:t>45,121</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49,396</w:t>
            </w:r>
          </w:p>
        </w:tc>
        <w:tc>
          <w:tcPr>
            <w:tcW w:w="10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600" w:type="dxa"/>
            <w:vAlign w:val="bottom"/>
            <w:gridSpan w:val="3"/>
            <w:shd w:val="clear" w:color="auto" w:fill="CCEEFF"/>
          </w:tcPr>
          <w:p>
            <w:pPr>
              <w:ind w:left="160"/>
              <w:spacing w:after="0"/>
              <w:rPr>
                <w:sz w:val="20"/>
                <w:szCs w:val="20"/>
                <w:color w:val="auto"/>
              </w:rPr>
            </w:pPr>
            <w:r>
              <w:rPr>
                <w:rFonts w:ascii="Arial" w:cs="Arial" w:eastAsia="Arial" w:hAnsi="Arial"/>
                <w:sz w:val="20"/>
                <w:szCs w:val="20"/>
                <w:color w:val="auto"/>
              </w:rPr>
              <w:t>issuance of contingent shares</w:t>
            </w:r>
          </w:p>
        </w:tc>
        <w:tc>
          <w:tcPr>
            <w:tcW w:w="1480" w:type="dxa"/>
            <w:vAlign w:val="bottom"/>
            <w:gridSpan w:val="2"/>
            <w:vMerge w:val="continue"/>
            <w:shd w:val="clear" w:color="auto" w:fill="CCEEFF"/>
          </w:tcPr>
          <w:p>
            <w:pPr>
              <w:spacing w:after="0"/>
              <w:rPr>
                <w:sz w:val="20"/>
                <w:szCs w:val="20"/>
                <w:color w:val="auto"/>
              </w:rPr>
            </w:pPr>
          </w:p>
        </w:tc>
        <w:tc>
          <w:tcPr>
            <w:tcW w:w="1480" w:type="dxa"/>
            <w:vAlign w:val="bottom"/>
            <w:gridSpan w:val="2"/>
            <w:vMerge w:val="continue"/>
            <w:shd w:val="clear" w:color="auto" w:fill="CCEEFF"/>
          </w:tcPr>
          <w:p>
            <w:pPr>
              <w:spacing w:after="0"/>
              <w:rPr>
                <w:sz w:val="20"/>
                <w:szCs w:val="20"/>
                <w:color w:val="auto"/>
              </w:rPr>
            </w:pPr>
          </w:p>
        </w:tc>
        <w:tc>
          <w:tcPr>
            <w:tcW w:w="1480" w:type="dxa"/>
            <w:vAlign w:val="bottom"/>
            <w:gridSpan w:val="2"/>
            <w:vMerge w:val="continue"/>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980" w:type="dxa"/>
            <w:vAlign w:val="bottom"/>
            <w:tcBorders>
              <w:top w:val="single" w:sz="8" w:color="CCEEFF"/>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600" w:type="dxa"/>
            <w:vAlign w:val="bottom"/>
            <w:gridSpan w:val="3"/>
            <w:shd w:val="clear" w:color="auto" w:fill="CCEEFF"/>
          </w:tcPr>
          <w:p>
            <w:pPr>
              <w:spacing w:after="0" w:line="189" w:lineRule="exact"/>
              <w:rPr>
                <w:sz w:val="20"/>
                <w:szCs w:val="20"/>
                <w:color w:val="auto"/>
              </w:rPr>
            </w:pPr>
            <w:r>
              <w:rPr>
                <w:rFonts w:ascii="Arial" w:cs="Arial" w:eastAsia="Arial" w:hAnsi="Arial"/>
                <w:sz w:val="20"/>
                <w:szCs w:val="20"/>
                <w:i w:val="1"/>
                <w:iCs w:val="1"/>
                <w:color w:val="auto"/>
              </w:rPr>
              <w:t>Dilutive</w:t>
            </w:r>
          </w:p>
        </w:tc>
        <w:tc>
          <w:tcPr>
            <w:tcW w:w="1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9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5600" w:type="dxa"/>
            <w:vAlign w:val="bottom"/>
            <w:gridSpan w:val="3"/>
          </w:tcPr>
          <w:p>
            <w:pPr>
              <w:spacing w:after="0" w:line="213" w:lineRule="exact"/>
              <w:rPr>
                <w:sz w:val="20"/>
                <w:szCs w:val="20"/>
                <w:color w:val="auto"/>
              </w:rPr>
            </w:pPr>
            <w:r>
              <w:rPr>
                <w:rFonts w:ascii="Arial" w:cs="Arial" w:eastAsia="Arial" w:hAnsi="Arial"/>
                <w:sz w:val="20"/>
                <w:szCs w:val="20"/>
                <w:color w:val="auto"/>
                <w:w w:val="92"/>
              </w:rPr>
              <w:t>Weighted average number of shares of common stock and assumed</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600" w:type="dxa"/>
            <w:vAlign w:val="bottom"/>
            <w:gridSpan w:val="3"/>
          </w:tcPr>
          <w:p>
            <w:pPr>
              <w:ind w:left="160"/>
              <w:spacing w:after="0"/>
              <w:rPr>
                <w:sz w:val="20"/>
                <w:szCs w:val="20"/>
                <w:color w:val="auto"/>
              </w:rPr>
            </w:pPr>
            <w:r>
              <w:rPr>
                <w:rFonts w:ascii="Arial" w:cs="Arial" w:eastAsia="Arial" w:hAnsi="Arial"/>
                <w:sz w:val="20"/>
                <w:szCs w:val="20"/>
                <w:color w:val="auto"/>
              </w:rPr>
              <w:t>issuance of contingent shares</w:t>
            </w:r>
          </w:p>
        </w:tc>
        <w:tc>
          <w:tcPr>
            <w:tcW w:w="1480" w:type="dxa"/>
            <w:vAlign w:val="bottom"/>
            <w:gridSpan w:val="2"/>
          </w:tcPr>
          <w:p>
            <w:pPr>
              <w:jc w:val="right"/>
              <w:ind w:right="240"/>
              <w:spacing w:after="0"/>
              <w:rPr>
                <w:sz w:val="20"/>
                <w:szCs w:val="20"/>
                <w:color w:val="auto"/>
              </w:rPr>
            </w:pPr>
            <w:r>
              <w:rPr>
                <w:rFonts w:ascii="Arial" w:cs="Arial" w:eastAsia="Arial" w:hAnsi="Arial"/>
                <w:sz w:val="20"/>
                <w:szCs w:val="20"/>
                <w:color w:val="auto"/>
              </w:rPr>
              <w:t>44,494</w:t>
            </w:r>
          </w:p>
        </w:tc>
        <w:tc>
          <w:tcPr>
            <w:tcW w:w="1480" w:type="dxa"/>
            <w:vAlign w:val="bottom"/>
            <w:gridSpan w:val="2"/>
          </w:tcPr>
          <w:p>
            <w:pPr>
              <w:jc w:val="right"/>
              <w:ind w:right="220"/>
              <w:spacing w:after="0"/>
              <w:rPr>
                <w:sz w:val="20"/>
                <w:szCs w:val="20"/>
                <w:color w:val="auto"/>
              </w:rPr>
            </w:pPr>
            <w:r>
              <w:rPr>
                <w:rFonts w:ascii="Arial" w:cs="Arial" w:eastAsia="Arial" w:hAnsi="Arial"/>
                <w:sz w:val="20"/>
                <w:szCs w:val="20"/>
                <w:color w:val="auto"/>
              </w:rPr>
              <w:t>48,738</w:t>
            </w:r>
          </w:p>
        </w:tc>
        <w:tc>
          <w:tcPr>
            <w:tcW w:w="1480" w:type="dxa"/>
            <w:vAlign w:val="bottom"/>
            <w:gridSpan w:val="2"/>
          </w:tcPr>
          <w:p>
            <w:pPr>
              <w:jc w:val="right"/>
              <w:ind w:right="220"/>
              <w:spacing w:after="0"/>
              <w:rPr>
                <w:sz w:val="20"/>
                <w:szCs w:val="20"/>
                <w:color w:val="auto"/>
              </w:rPr>
            </w:pPr>
            <w:r>
              <w:rPr>
                <w:rFonts w:ascii="Arial" w:cs="Arial" w:eastAsia="Arial" w:hAnsi="Arial"/>
                <w:sz w:val="20"/>
                <w:szCs w:val="20"/>
                <w:color w:val="auto"/>
              </w:rPr>
              <w:t>45,121</w:t>
            </w:r>
          </w:p>
        </w:tc>
        <w:tc>
          <w:tcPr>
            <w:tcW w:w="1260" w:type="dxa"/>
            <w:vAlign w:val="bottom"/>
          </w:tcPr>
          <w:p>
            <w:pPr>
              <w:jc w:val="right"/>
              <w:spacing w:after="0"/>
              <w:rPr>
                <w:sz w:val="20"/>
                <w:szCs w:val="20"/>
                <w:color w:val="auto"/>
              </w:rPr>
            </w:pPr>
            <w:r>
              <w:rPr>
                <w:rFonts w:ascii="Arial" w:cs="Arial" w:eastAsia="Arial" w:hAnsi="Arial"/>
                <w:sz w:val="20"/>
                <w:szCs w:val="20"/>
                <w:color w:val="auto"/>
              </w:rPr>
              <w:t>49,396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20"/>
                <w:szCs w:val="20"/>
                <w:color w:val="auto"/>
              </w:rPr>
              <w:t>Effect of dilutive securities</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20"/>
                <w:szCs w:val="20"/>
                <w:color w:val="auto"/>
              </w:rPr>
              <w:t>1,944</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2,849</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1,845</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2,647</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gridSpan w:val="3"/>
            <w:vMerge w:val="restart"/>
          </w:tcPr>
          <w:p>
            <w:pPr>
              <w:spacing w:after="0" w:line="213" w:lineRule="exact"/>
              <w:rPr>
                <w:sz w:val="20"/>
                <w:szCs w:val="20"/>
                <w:color w:val="auto"/>
              </w:rPr>
            </w:pPr>
            <w:r>
              <w:rPr>
                <w:rFonts w:ascii="Arial" w:cs="Arial" w:eastAsia="Arial" w:hAnsi="Arial"/>
                <w:sz w:val="20"/>
                <w:szCs w:val="20"/>
                <w:color w:val="auto"/>
                <w:w w:val="97"/>
              </w:rPr>
              <w:t>Weighted average number of shares of common stock, assumed</w:t>
            </w: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5600" w:type="dxa"/>
            <w:vAlign w:val="bottom"/>
            <w:gridSpan w:val="3"/>
            <w:vMerge w:val="continue"/>
          </w:tcPr>
          <w:p>
            <w:pPr>
              <w:spacing w:after="0"/>
              <w:rPr>
                <w:sz w:val="16"/>
                <w:szCs w:val="16"/>
                <w:color w:val="auto"/>
              </w:rPr>
            </w:pPr>
          </w:p>
        </w:tc>
        <w:tc>
          <w:tcPr>
            <w:tcW w:w="1480" w:type="dxa"/>
            <w:vAlign w:val="bottom"/>
            <w:gridSpan w:val="2"/>
            <w:vMerge w:val="restart"/>
          </w:tcPr>
          <w:p>
            <w:pPr>
              <w:jc w:val="right"/>
              <w:ind w:right="240"/>
              <w:spacing w:after="0"/>
              <w:rPr>
                <w:sz w:val="20"/>
                <w:szCs w:val="20"/>
                <w:color w:val="auto"/>
              </w:rPr>
            </w:pPr>
            <w:r>
              <w:rPr>
                <w:rFonts w:ascii="Arial" w:cs="Arial" w:eastAsia="Arial" w:hAnsi="Arial"/>
                <w:sz w:val="20"/>
                <w:szCs w:val="20"/>
                <w:color w:val="auto"/>
              </w:rPr>
              <w:t>46,438</w:t>
            </w:r>
          </w:p>
        </w:tc>
        <w:tc>
          <w:tcPr>
            <w:tcW w:w="1480" w:type="dxa"/>
            <w:vAlign w:val="bottom"/>
            <w:gridSpan w:val="2"/>
            <w:vMerge w:val="restart"/>
          </w:tcPr>
          <w:p>
            <w:pPr>
              <w:jc w:val="right"/>
              <w:ind w:right="220"/>
              <w:spacing w:after="0"/>
              <w:rPr>
                <w:sz w:val="20"/>
                <w:szCs w:val="20"/>
                <w:color w:val="auto"/>
              </w:rPr>
            </w:pPr>
            <w:r>
              <w:rPr>
                <w:rFonts w:ascii="Arial" w:cs="Arial" w:eastAsia="Arial" w:hAnsi="Arial"/>
                <w:sz w:val="20"/>
                <w:szCs w:val="20"/>
                <w:color w:val="auto"/>
              </w:rPr>
              <w:t>51,587</w:t>
            </w:r>
          </w:p>
        </w:tc>
        <w:tc>
          <w:tcPr>
            <w:tcW w:w="1480" w:type="dxa"/>
            <w:vAlign w:val="bottom"/>
            <w:gridSpan w:val="2"/>
            <w:vMerge w:val="restart"/>
          </w:tcPr>
          <w:p>
            <w:pPr>
              <w:jc w:val="right"/>
              <w:ind w:right="220"/>
              <w:spacing w:after="0"/>
              <w:rPr>
                <w:sz w:val="20"/>
                <w:szCs w:val="20"/>
                <w:color w:val="auto"/>
              </w:rPr>
            </w:pPr>
            <w:r>
              <w:rPr>
                <w:rFonts w:ascii="Arial" w:cs="Arial" w:eastAsia="Arial" w:hAnsi="Arial"/>
                <w:sz w:val="20"/>
                <w:szCs w:val="20"/>
                <w:color w:val="auto"/>
              </w:rPr>
              <w:t>46,966</w:t>
            </w:r>
          </w:p>
        </w:tc>
        <w:tc>
          <w:tcPr>
            <w:tcW w:w="1260" w:type="dxa"/>
            <w:vAlign w:val="bottom"/>
            <w:vMerge w:val="restart"/>
          </w:tcPr>
          <w:p>
            <w:pPr>
              <w:jc w:val="right"/>
              <w:spacing w:after="0"/>
              <w:rPr>
                <w:sz w:val="20"/>
                <w:szCs w:val="20"/>
                <w:color w:val="auto"/>
              </w:rPr>
            </w:pPr>
            <w:r>
              <w:rPr>
                <w:rFonts w:ascii="Arial" w:cs="Arial" w:eastAsia="Arial" w:hAnsi="Arial"/>
                <w:sz w:val="20"/>
                <w:szCs w:val="20"/>
                <w:color w:val="auto"/>
              </w:rPr>
              <w:t>52,043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600" w:type="dxa"/>
            <w:vAlign w:val="bottom"/>
            <w:gridSpan w:val="3"/>
          </w:tcPr>
          <w:p>
            <w:pPr>
              <w:ind w:left="160"/>
              <w:spacing w:after="0"/>
              <w:rPr>
                <w:sz w:val="20"/>
                <w:szCs w:val="20"/>
                <w:color w:val="auto"/>
              </w:rPr>
            </w:pPr>
            <w:r>
              <w:rPr>
                <w:rFonts w:ascii="Arial" w:cs="Arial" w:eastAsia="Arial" w:hAnsi="Arial"/>
                <w:sz w:val="20"/>
                <w:szCs w:val="20"/>
                <w:color w:val="auto"/>
                <w:w w:val="99"/>
              </w:rPr>
              <w:t>issuance of contingent shares, and effect of dilutive securities</w:t>
            </w:r>
          </w:p>
        </w:tc>
        <w:tc>
          <w:tcPr>
            <w:tcW w:w="1480" w:type="dxa"/>
            <w:vAlign w:val="bottom"/>
            <w:gridSpan w:val="2"/>
            <w:vMerge w:val="continue"/>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Shares for all periods presented have been adjusted to reflect a two-for-one stock split effective March 28, 2005.</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Data</w:t>
      </w:r>
    </w:p>
    <w:p>
      <w:pPr>
        <w:spacing w:after="0" w:line="122" w:lineRule="exact"/>
        <w:rPr>
          <w:sz w:val="20"/>
          <w:szCs w:val="20"/>
          <w:color w:val="auto"/>
        </w:rPr>
      </w:pPr>
    </w:p>
    <w:p>
      <w:pPr>
        <w:ind w:right="160"/>
        <w:spacing w:after="0" w:line="258" w:lineRule="auto"/>
        <w:rPr>
          <w:sz w:val="20"/>
          <w:szCs w:val="20"/>
          <w:color w:val="auto"/>
        </w:rPr>
      </w:pPr>
      <w:r>
        <w:rPr>
          <w:rFonts w:ascii="Arial" w:cs="Arial" w:eastAsia="Arial" w:hAnsi="Arial"/>
          <w:sz w:val="19"/>
          <w:szCs w:val="19"/>
          <w:color w:val="auto"/>
        </w:rPr>
        <w:t>The presentation of segment information reflects the manner in which management organizes segments for making operating decisions and assessing performance. On this basis, the company has determined it has two reportable business segments: Professional and Residential. The Other segment consists of company-owned distributor operations in the United States and corporate activities, including corporate financing activities and elimination of intersegment revenues and expenses. Effective the beginning of fiscal 2005, the company combined the Distribution segment with the Other segment because the company-owned distributorships that comprised the former Distribution segment do not meet the quantitative thresholds for separate reporting as an operating segment for all periods presented. Prior periods have been reclassified to conform to the current period presentation.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shows the summarized financial information concerning the company’s reportable segments: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gridSpan w:val="4"/>
          </w:tcPr>
          <w:p>
            <w:pPr>
              <w:spacing w:after="0"/>
              <w:rPr>
                <w:sz w:val="20"/>
                <w:szCs w:val="20"/>
                <w:color w:val="auto"/>
              </w:rPr>
            </w:pPr>
            <w:r>
              <w:rPr>
                <w:rFonts w:ascii="Arial" w:cs="Arial" w:eastAsia="Arial" w:hAnsi="Arial"/>
                <w:sz w:val="20"/>
                <w:szCs w:val="20"/>
                <w:color w:val="auto"/>
              </w:rPr>
              <w:t>(Dollars in thousands)</w:t>
            </w: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560" w:type="dxa"/>
            <w:vAlign w:val="bottom"/>
            <w:gridSpan w:val="4"/>
          </w:tcPr>
          <w:p>
            <w:pPr>
              <w:spacing w:after="0" w:line="206" w:lineRule="exact"/>
              <w:rPr>
                <w:sz w:val="20"/>
                <w:szCs w:val="20"/>
                <w:color w:val="auto"/>
              </w:rPr>
            </w:pPr>
            <w:r>
              <w:rPr>
                <w:rFonts w:ascii="Arial" w:cs="Arial" w:eastAsia="Arial" w:hAnsi="Arial"/>
                <w:sz w:val="20"/>
                <w:szCs w:val="20"/>
                <w:color w:val="auto"/>
              </w:rPr>
              <w:t>Three months ended July 29, 2005</w:t>
            </w:r>
          </w:p>
        </w:tc>
        <w:tc>
          <w:tcPr>
            <w:tcW w:w="1560" w:type="dxa"/>
            <w:vAlign w:val="bottom"/>
            <w:gridSpan w:val="2"/>
          </w:tcPr>
          <w:p>
            <w:pPr>
              <w:ind w:left="40"/>
              <w:spacing w:after="0" w:line="206" w:lineRule="exact"/>
              <w:rPr>
                <w:sz w:val="20"/>
                <w:szCs w:val="20"/>
                <w:color w:val="auto"/>
              </w:rPr>
            </w:pPr>
            <w:r>
              <w:rPr>
                <w:rFonts w:ascii="Arial" w:cs="Arial" w:eastAsia="Arial" w:hAnsi="Arial"/>
                <w:sz w:val="20"/>
                <w:szCs w:val="20"/>
                <w:color w:val="auto"/>
              </w:rPr>
              <w:t>Professional</w:t>
            </w:r>
          </w:p>
        </w:tc>
        <w:tc>
          <w:tcPr>
            <w:tcW w:w="1480" w:type="dxa"/>
            <w:vAlign w:val="bottom"/>
            <w:gridSpan w:val="2"/>
          </w:tcPr>
          <w:p>
            <w:pPr>
              <w:jc w:val="right"/>
              <w:ind w:right="600"/>
              <w:spacing w:after="0" w:line="206" w:lineRule="exact"/>
              <w:rPr>
                <w:sz w:val="20"/>
                <w:szCs w:val="20"/>
                <w:color w:val="auto"/>
              </w:rPr>
            </w:pPr>
            <w:r>
              <w:rPr>
                <w:rFonts w:ascii="Arial" w:cs="Arial" w:eastAsia="Arial" w:hAnsi="Arial"/>
                <w:sz w:val="20"/>
                <w:szCs w:val="20"/>
                <w:color w:val="auto"/>
                <w:w w:val="86"/>
              </w:rPr>
              <w:t>Residential</w:t>
            </w:r>
          </w:p>
        </w:tc>
        <w:tc>
          <w:tcPr>
            <w:tcW w:w="1480" w:type="dxa"/>
            <w:vAlign w:val="bottom"/>
            <w:gridSpan w:val="2"/>
          </w:tcPr>
          <w:p>
            <w:pPr>
              <w:jc w:val="right"/>
              <w:ind w:right="800"/>
              <w:spacing w:after="0" w:line="206" w:lineRule="exact"/>
              <w:rPr>
                <w:sz w:val="20"/>
                <w:szCs w:val="20"/>
                <w:color w:val="auto"/>
              </w:rPr>
            </w:pPr>
            <w:r>
              <w:rPr>
                <w:rFonts w:ascii="Arial" w:cs="Arial" w:eastAsia="Arial" w:hAnsi="Arial"/>
                <w:sz w:val="20"/>
                <w:szCs w:val="20"/>
                <w:color w:val="auto"/>
              </w:rPr>
              <w:t>Other</w:t>
            </w:r>
          </w:p>
        </w:tc>
        <w:tc>
          <w:tcPr>
            <w:tcW w:w="1200" w:type="dxa"/>
            <w:vAlign w:val="bottom"/>
            <w:gridSpan w:val="2"/>
          </w:tcPr>
          <w:p>
            <w:pPr>
              <w:jc w:val="right"/>
              <w:ind w:right="520"/>
              <w:spacing w:after="0" w:line="206" w:lineRule="exact"/>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4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gridSpan w:val="3"/>
            <w:shd w:val="clear" w:color="auto" w:fill="CCEEFF"/>
          </w:tcPr>
          <w:p>
            <w:pPr>
              <w:spacing w:after="0" w:line="223" w:lineRule="exact"/>
              <w:rPr>
                <w:sz w:val="20"/>
                <w:szCs w:val="20"/>
                <w:color w:val="auto"/>
              </w:rPr>
            </w:pPr>
            <w:r>
              <w:rPr>
                <w:rFonts w:ascii="Arial" w:cs="Arial" w:eastAsia="Arial" w:hAnsi="Arial"/>
                <w:sz w:val="20"/>
                <w:szCs w:val="20"/>
                <w:color w:val="auto"/>
              </w:rPr>
              <w:t>Net sales</w:t>
            </w:r>
          </w:p>
        </w:tc>
        <w:tc>
          <w:tcPr>
            <w:tcW w:w="10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$302,517</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$148,590</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$15,835</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$466,942</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3"/>
          </w:tcPr>
          <w:p>
            <w:pPr>
              <w:spacing w:after="0"/>
              <w:rPr>
                <w:sz w:val="20"/>
                <w:szCs w:val="20"/>
                <w:color w:val="auto"/>
              </w:rPr>
            </w:pPr>
            <w:r>
              <w:rPr>
                <w:rFonts w:ascii="Arial" w:cs="Arial" w:eastAsia="Arial" w:hAnsi="Arial"/>
                <w:sz w:val="20"/>
                <w:szCs w:val="20"/>
                <w:color w:val="auto"/>
              </w:rPr>
              <w:t>Intersegment gross sales</w:t>
            </w:r>
          </w:p>
        </w:tc>
        <w:tc>
          <w:tcPr>
            <w:tcW w:w="1560" w:type="dxa"/>
            <w:vAlign w:val="bottom"/>
            <w:gridSpan w:val="2"/>
          </w:tcPr>
          <w:p>
            <w:pPr>
              <w:jc w:val="right"/>
              <w:ind w:right="500"/>
              <w:spacing w:after="0"/>
              <w:rPr>
                <w:sz w:val="20"/>
                <w:szCs w:val="20"/>
                <w:color w:val="auto"/>
              </w:rPr>
            </w:pPr>
            <w:r>
              <w:rPr>
                <w:rFonts w:ascii="Arial" w:cs="Arial" w:eastAsia="Arial" w:hAnsi="Arial"/>
                <w:sz w:val="20"/>
                <w:szCs w:val="20"/>
                <w:color w:val="auto"/>
              </w:rPr>
              <w:t>13,618</w:t>
            </w:r>
          </w:p>
        </w:tc>
        <w:tc>
          <w:tcPr>
            <w:tcW w:w="1480" w:type="dxa"/>
            <w:vAlign w:val="bottom"/>
            <w:gridSpan w:val="2"/>
          </w:tcPr>
          <w:p>
            <w:pPr>
              <w:jc w:val="right"/>
              <w:ind w:right="600"/>
              <w:spacing w:after="0"/>
              <w:rPr>
                <w:sz w:val="20"/>
                <w:szCs w:val="20"/>
                <w:color w:val="auto"/>
              </w:rPr>
            </w:pPr>
            <w:r>
              <w:rPr>
                <w:rFonts w:ascii="Arial" w:cs="Arial" w:eastAsia="Arial" w:hAnsi="Arial"/>
                <w:sz w:val="20"/>
                <w:szCs w:val="20"/>
                <w:color w:val="auto"/>
              </w:rPr>
              <w:t>1,472</w:t>
            </w:r>
          </w:p>
        </w:tc>
        <w:tc>
          <w:tcPr>
            <w:tcW w:w="1480" w:type="dxa"/>
            <w:vAlign w:val="bottom"/>
            <w:gridSpan w:val="2"/>
          </w:tcPr>
          <w:p>
            <w:pPr>
              <w:jc w:val="right"/>
              <w:ind w:right="500"/>
              <w:spacing w:after="0"/>
              <w:rPr>
                <w:sz w:val="20"/>
                <w:szCs w:val="20"/>
                <w:color w:val="auto"/>
              </w:rPr>
            </w:pPr>
            <w:r>
              <w:rPr>
                <w:rFonts w:ascii="Arial" w:cs="Arial" w:eastAsia="Arial" w:hAnsi="Arial"/>
                <w:sz w:val="20"/>
                <w:szCs w:val="20"/>
                <w:color w:val="auto"/>
              </w:rPr>
              <w:t>(15,090)</w:t>
            </w:r>
          </w:p>
        </w:tc>
        <w:tc>
          <w:tcPr>
            <w:tcW w:w="120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20"/>
                <w:szCs w:val="20"/>
                <w:color w:val="auto"/>
              </w:rPr>
              <w:t>Earnings (loss) before income taxes</w:t>
            </w: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20"/>
                <w:szCs w:val="20"/>
                <w:color w:val="auto"/>
              </w:rPr>
              <w:t>59,894</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20"/>
                <w:szCs w:val="20"/>
                <w:color w:val="auto"/>
              </w:rPr>
              <w:t>10,096</w:t>
            </w: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20"/>
                <w:szCs w:val="20"/>
                <w:color w:val="auto"/>
              </w:rPr>
              <w:t>(19,502)</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20"/>
                <w:szCs w:val="20"/>
                <w:color w:val="auto"/>
              </w:rPr>
              <w:t>50,488</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40" w:type="dxa"/>
            <w:vAlign w:val="bottom"/>
            <w:gridSpan w:val="3"/>
            <w:shd w:val="clear" w:color="auto" w:fill="CCEEFF"/>
          </w:tcPr>
          <w:p>
            <w:pPr>
              <w:spacing w:after="0" w:line="189" w:lineRule="exact"/>
              <w:rPr>
                <w:sz w:val="20"/>
                <w:szCs w:val="20"/>
                <w:color w:val="auto"/>
              </w:rPr>
            </w:pPr>
            <w:r>
              <w:rPr>
                <w:rFonts w:ascii="Arial" w:cs="Arial" w:eastAsia="Arial" w:hAnsi="Arial"/>
                <w:sz w:val="20"/>
                <w:szCs w:val="20"/>
                <w:color w:val="auto"/>
              </w:rPr>
              <w:t>Three months ended July 30, 2004</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Net sales</w:t>
            </w:r>
          </w:p>
        </w:tc>
        <w:tc>
          <w:tcPr>
            <w:tcW w:w="18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gridSpan w:val="2"/>
          </w:tcPr>
          <w:p>
            <w:pPr>
              <w:jc w:val="right"/>
              <w:ind w:right="500"/>
              <w:spacing w:after="0"/>
              <w:rPr>
                <w:sz w:val="20"/>
                <w:szCs w:val="20"/>
                <w:color w:val="auto"/>
              </w:rPr>
            </w:pPr>
            <w:r>
              <w:rPr>
                <w:rFonts w:ascii="Arial" w:cs="Arial" w:eastAsia="Arial" w:hAnsi="Arial"/>
                <w:sz w:val="20"/>
                <w:szCs w:val="20"/>
                <w:color w:val="auto"/>
              </w:rPr>
              <w:t>$287,928</w:t>
            </w:r>
          </w:p>
        </w:tc>
        <w:tc>
          <w:tcPr>
            <w:tcW w:w="1480" w:type="dxa"/>
            <w:vAlign w:val="bottom"/>
            <w:tcBorders>
              <w:top w:val="single" w:sz="8" w:color="CCEEFF"/>
            </w:tcBorders>
            <w:gridSpan w:val="2"/>
          </w:tcPr>
          <w:p>
            <w:pPr>
              <w:jc w:val="right"/>
              <w:ind w:right="600"/>
              <w:spacing w:after="0"/>
              <w:rPr>
                <w:sz w:val="20"/>
                <w:szCs w:val="20"/>
                <w:color w:val="auto"/>
              </w:rPr>
            </w:pPr>
            <w:r>
              <w:rPr>
                <w:rFonts w:ascii="Arial" w:cs="Arial" w:eastAsia="Arial" w:hAnsi="Arial"/>
                <w:sz w:val="20"/>
                <w:szCs w:val="20"/>
                <w:color w:val="auto"/>
              </w:rPr>
              <w:t>$144,227</w:t>
            </w:r>
          </w:p>
        </w:tc>
        <w:tc>
          <w:tcPr>
            <w:tcW w:w="1480" w:type="dxa"/>
            <w:vAlign w:val="bottom"/>
            <w:tcBorders>
              <w:top w:val="single" w:sz="8" w:color="CCEEFF"/>
            </w:tcBorders>
            <w:gridSpan w:val="2"/>
          </w:tcPr>
          <w:p>
            <w:pPr>
              <w:jc w:val="right"/>
              <w:ind w:right="560"/>
              <w:spacing w:after="0"/>
              <w:rPr>
                <w:sz w:val="20"/>
                <w:szCs w:val="20"/>
                <w:color w:val="auto"/>
              </w:rPr>
            </w:pPr>
            <w:r>
              <w:rPr>
                <w:rFonts w:ascii="Arial" w:cs="Arial" w:eastAsia="Arial" w:hAnsi="Arial"/>
                <w:sz w:val="20"/>
                <w:szCs w:val="20"/>
                <w:color w:val="auto"/>
              </w:rPr>
              <w:t>$21,889</w:t>
            </w:r>
          </w:p>
        </w:tc>
        <w:tc>
          <w:tcPr>
            <w:tcW w:w="120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20"/>
                <w:szCs w:val="20"/>
                <w:color w:val="auto"/>
              </w:rPr>
              <w:t>$454,044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20"/>
                <w:szCs w:val="20"/>
                <w:color w:val="auto"/>
              </w:rPr>
              <w:t>Intersegment gross sales</w:t>
            </w: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20"/>
                <w:szCs w:val="20"/>
                <w:color w:val="auto"/>
              </w:rPr>
              <w:t>26,711</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20"/>
                <w:szCs w:val="20"/>
                <w:color w:val="auto"/>
              </w:rPr>
              <w:t>2,873</w:t>
            </w: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20"/>
                <w:szCs w:val="20"/>
                <w:color w:val="auto"/>
              </w:rPr>
              <w:t>(29,584)</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40" w:type="dxa"/>
            <w:vAlign w:val="bottom"/>
            <w:gridSpan w:val="3"/>
          </w:tcPr>
          <w:p>
            <w:pPr>
              <w:spacing w:after="0"/>
              <w:rPr>
                <w:sz w:val="20"/>
                <w:szCs w:val="20"/>
                <w:color w:val="auto"/>
              </w:rPr>
            </w:pPr>
            <w:r>
              <w:rPr>
                <w:rFonts w:ascii="Arial" w:cs="Arial" w:eastAsia="Arial" w:hAnsi="Arial"/>
                <w:sz w:val="20"/>
                <w:szCs w:val="20"/>
                <w:color w:val="auto"/>
              </w:rPr>
              <w:t>Earnings (loss) before income taxes</w:t>
            </w:r>
          </w:p>
        </w:tc>
        <w:tc>
          <w:tcPr>
            <w:tcW w:w="1560" w:type="dxa"/>
            <w:vAlign w:val="bottom"/>
            <w:gridSpan w:val="2"/>
          </w:tcPr>
          <w:p>
            <w:pPr>
              <w:jc w:val="right"/>
              <w:ind w:right="500"/>
              <w:spacing w:after="0"/>
              <w:rPr>
                <w:sz w:val="20"/>
                <w:szCs w:val="20"/>
                <w:color w:val="auto"/>
              </w:rPr>
            </w:pPr>
            <w:r>
              <w:rPr>
                <w:rFonts w:ascii="Arial" w:cs="Arial" w:eastAsia="Arial" w:hAnsi="Arial"/>
                <w:sz w:val="20"/>
                <w:szCs w:val="20"/>
                <w:color w:val="auto"/>
              </w:rPr>
              <w:t>54,326</w:t>
            </w:r>
          </w:p>
        </w:tc>
        <w:tc>
          <w:tcPr>
            <w:tcW w:w="1480" w:type="dxa"/>
            <w:vAlign w:val="bottom"/>
            <w:gridSpan w:val="2"/>
          </w:tcPr>
          <w:p>
            <w:pPr>
              <w:jc w:val="right"/>
              <w:ind w:right="600"/>
              <w:spacing w:after="0"/>
              <w:rPr>
                <w:sz w:val="20"/>
                <w:szCs w:val="20"/>
                <w:color w:val="auto"/>
              </w:rPr>
            </w:pPr>
            <w:r>
              <w:rPr>
                <w:rFonts w:ascii="Arial" w:cs="Arial" w:eastAsia="Arial" w:hAnsi="Arial"/>
                <w:sz w:val="20"/>
                <w:szCs w:val="20"/>
                <w:color w:val="auto"/>
              </w:rPr>
              <w:t>17,635</w:t>
            </w:r>
          </w:p>
        </w:tc>
        <w:tc>
          <w:tcPr>
            <w:tcW w:w="1480" w:type="dxa"/>
            <w:vAlign w:val="bottom"/>
            <w:gridSpan w:val="2"/>
          </w:tcPr>
          <w:p>
            <w:pPr>
              <w:jc w:val="right"/>
              <w:ind w:right="500"/>
              <w:spacing w:after="0"/>
              <w:rPr>
                <w:sz w:val="20"/>
                <w:szCs w:val="20"/>
                <w:color w:val="auto"/>
              </w:rPr>
            </w:pPr>
            <w:r>
              <w:rPr>
                <w:rFonts w:ascii="Arial" w:cs="Arial" w:eastAsia="Arial" w:hAnsi="Arial"/>
                <w:sz w:val="20"/>
                <w:szCs w:val="20"/>
                <w:color w:val="auto"/>
              </w:rPr>
              <w:t>(21,587)</w:t>
            </w:r>
          </w:p>
        </w:tc>
        <w:tc>
          <w:tcPr>
            <w:tcW w:w="1200" w:type="dxa"/>
            <w:vAlign w:val="bottom"/>
            <w:gridSpan w:val="2"/>
          </w:tcPr>
          <w:p>
            <w:pPr>
              <w:jc w:val="right"/>
              <w:ind w:right="260"/>
              <w:spacing w:after="0"/>
              <w:rPr>
                <w:sz w:val="20"/>
                <w:szCs w:val="20"/>
                <w:color w:val="auto"/>
              </w:rPr>
            </w:pPr>
            <w:r>
              <w:rPr>
                <w:rFonts w:ascii="Arial" w:cs="Arial" w:eastAsia="Arial" w:hAnsi="Arial"/>
                <w:sz w:val="20"/>
                <w:szCs w:val="20"/>
                <w:color w:val="auto"/>
              </w:rPr>
              <w:t>50,374</w:t>
            </w:r>
          </w:p>
        </w:tc>
        <w:tc>
          <w:tcPr>
            <w:tcW w:w="0" w:type="dxa"/>
            <w:vAlign w:val="bottom"/>
          </w:tcPr>
          <w:p>
            <w:pPr>
              <w:spacing w:after="0"/>
              <w:rPr>
                <w:sz w:val="1"/>
                <w:szCs w:val="1"/>
                <w:color w:val="auto"/>
              </w:rPr>
            </w:pPr>
          </w:p>
        </w:tc>
      </w:tr>
      <w:tr>
        <w:trPr>
          <w:trHeight w:val="398"/>
        </w:trPr>
        <w:tc>
          <w:tcPr>
            <w:tcW w:w="4560" w:type="dxa"/>
            <w:vAlign w:val="bottom"/>
            <w:gridSpan w:val="4"/>
          </w:tcPr>
          <w:p>
            <w:pPr>
              <w:spacing w:after="0"/>
              <w:rPr>
                <w:sz w:val="20"/>
                <w:szCs w:val="20"/>
                <w:color w:val="auto"/>
              </w:rPr>
            </w:pPr>
            <w:r>
              <w:rPr>
                <w:rFonts w:ascii="Arial" w:cs="Arial" w:eastAsia="Arial" w:hAnsi="Arial"/>
                <w:sz w:val="20"/>
                <w:szCs w:val="20"/>
                <w:color w:val="auto"/>
              </w:rPr>
              <w:t>Nine months ended July 29, 2005</w:t>
            </w:r>
          </w:p>
        </w:tc>
        <w:tc>
          <w:tcPr>
            <w:tcW w:w="1560" w:type="dxa"/>
            <w:vAlign w:val="bottom"/>
            <w:gridSpan w:val="2"/>
          </w:tcPr>
          <w:p>
            <w:pPr>
              <w:ind w:left="40"/>
              <w:spacing w:after="0"/>
              <w:rPr>
                <w:sz w:val="20"/>
                <w:szCs w:val="20"/>
                <w:color w:val="auto"/>
              </w:rPr>
            </w:pPr>
            <w:r>
              <w:rPr>
                <w:rFonts w:ascii="Arial" w:cs="Arial" w:eastAsia="Arial" w:hAnsi="Arial"/>
                <w:sz w:val="20"/>
                <w:szCs w:val="20"/>
                <w:color w:val="auto"/>
              </w:rPr>
              <w:t>Professional</w:t>
            </w:r>
          </w:p>
        </w:tc>
        <w:tc>
          <w:tcPr>
            <w:tcW w:w="1480" w:type="dxa"/>
            <w:vAlign w:val="bottom"/>
            <w:gridSpan w:val="2"/>
          </w:tcPr>
          <w:p>
            <w:pPr>
              <w:jc w:val="right"/>
              <w:ind w:right="600"/>
              <w:spacing w:after="0"/>
              <w:rPr>
                <w:sz w:val="20"/>
                <w:szCs w:val="20"/>
                <w:color w:val="auto"/>
              </w:rPr>
            </w:pPr>
            <w:r>
              <w:rPr>
                <w:rFonts w:ascii="Arial" w:cs="Arial" w:eastAsia="Arial" w:hAnsi="Arial"/>
                <w:sz w:val="20"/>
                <w:szCs w:val="20"/>
                <w:color w:val="auto"/>
                <w:w w:val="86"/>
              </w:rPr>
              <w:t>Residential</w:t>
            </w:r>
          </w:p>
        </w:tc>
        <w:tc>
          <w:tcPr>
            <w:tcW w:w="1480" w:type="dxa"/>
            <w:vAlign w:val="bottom"/>
            <w:gridSpan w:val="2"/>
          </w:tcPr>
          <w:p>
            <w:pPr>
              <w:jc w:val="right"/>
              <w:ind w:right="800"/>
              <w:spacing w:after="0"/>
              <w:rPr>
                <w:sz w:val="20"/>
                <w:szCs w:val="20"/>
                <w:color w:val="auto"/>
              </w:rPr>
            </w:pPr>
            <w:r>
              <w:rPr>
                <w:rFonts w:ascii="Arial" w:cs="Arial" w:eastAsia="Arial" w:hAnsi="Arial"/>
                <w:sz w:val="20"/>
                <w:szCs w:val="20"/>
                <w:color w:val="auto"/>
              </w:rPr>
              <w:t>Other</w:t>
            </w:r>
          </w:p>
        </w:tc>
        <w:tc>
          <w:tcPr>
            <w:tcW w:w="1200" w:type="dxa"/>
            <w:vAlign w:val="bottom"/>
            <w:gridSpan w:val="2"/>
          </w:tcPr>
          <w:p>
            <w:pPr>
              <w:jc w:val="right"/>
              <w:ind w:right="520"/>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4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gridSpan w:val="3"/>
            <w:shd w:val="clear" w:color="auto" w:fill="CCEEFF"/>
          </w:tcPr>
          <w:p>
            <w:pPr>
              <w:spacing w:after="0" w:line="223" w:lineRule="exact"/>
              <w:rPr>
                <w:sz w:val="20"/>
                <w:szCs w:val="20"/>
                <w:color w:val="auto"/>
              </w:rPr>
            </w:pPr>
            <w:r>
              <w:rPr>
                <w:rFonts w:ascii="Arial" w:cs="Arial" w:eastAsia="Arial" w:hAnsi="Arial"/>
                <w:sz w:val="20"/>
                <w:szCs w:val="20"/>
                <w:color w:val="auto"/>
              </w:rPr>
              <w:t>Net sales</w:t>
            </w:r>
          </w:p>
        </w:tc>
        <w:tc>
          <w:tcPr>
            <w:tcW w:w="10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$936,799</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$472,188</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$33,309</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91"/>
              </w:rPr>
              <w:t>$1,442,296</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3"/>
          </w:tcPr>
          <w:p>
            <w:pPr>
              <w:spacing w:after="0"/>
              <w:rPr>
                <w:sz w:val="20"/>
                <w:szCs w:val="20"/>
                <w:color w:val="auto"/>
              </w:rPr>
            </w:pPr>
            <w:r>
              <w:rPr>
                <w:rFonts w:ascii="Arial" w:cs="Arial" w:eastAsia="Arial" w:hAnsi="Arial"/>
                <w:sz w:val="20"/>
                <w:szCs w:val="20"/>
                <w:color w:val="auto"/>
              </w:rPr>
              <w:t>Intersegment gross sales</w:t>
            </w:r>
          </w:p>
        </w:tc>
        <w:tc>
          <w:tcPr>
            <w:tcW w:w="1560" w:type="dxa"/>
            <w:vAlign w:val="bottom"/>
            <w:gridSpan w:val="2"/>
          </w:tcPr>
          <w:p>
            <w:pPr>
              <w:jc w:val="right"/>
              <w:ind w:right="500"/>
              <w:spacing w:after="0"/>
              <w:rPr>
                <w:sz w:val="20"/>
                <w:szCs w:val="20"/>
                <w:color w:val="auto"/>
              </w:rPr>
            </w:pPr>
            <w:r>
              <w:rPr>
                <w:rFonts w:ascii="Arial" w:cs="Arial" w:eastAsia="Arial" w:hAnsi="Arial"/>
                <w:sz w:val="20"/>
                <w:szCs w:val="20"/>
                <w:color w:val="auto"/>
              </w:rPr>
              <w:t>41,681</w:t>
            </w:r>
          </w:p>
        </w:tc>
        <w:tc>
          <w:tcPr>
            <w:tcW w:w="1480" w:type="dxa"/>
            <w:vAlign w:val="bottom"/>
            <w:gridSpan w:val="2"/>
          </w:tcPr>
          <w:p>
            <w:pPr>
              <w:jc w:val="right"/>
              <w:ind w:right="600"/>
              <w:spacing w:after="0"/>
              <w:rPr>
                <w:sz w:val="20"/>
                <w:szCs w:val="20"/>
                <w:color w:val="auto"/>
              </w:rPr>
            </w:pPr>
            <w:r>
              <w:rPr>
                <w:rFonts w:ascii="Arial" w:cs="Arial" w:eastAsia="Arial" w:hAnsi="Arial"/>
                <w:sz w:val="20"/>
                <w:szCs w:val="20"/>
                <w:color w:val="auto"/>
              </w:rPr>
              <w:t>6,045</w:t>
            </w:r>
          </w:p>
        </w:tc>
        <w:tc>
          <w:tcPr>
            <w:tcW w:w="1480" w:type="dxa"/>
            <w:vAlign w:val="bottom"/>
            <w:gridSpan w:val="2"/>
          </w:tcPr>
          <w:p>
            <w:pPr>
              <w:jc w:val="right"/>
              <w:ind w:right="500"/>
              <w:spacing w:after="0"/>
              <w:rPr>
                <w:sz w:val="20"/>
                <w:szCs w:val="20"/>
                <w:color w:val="auto"/>
              </w:rPr>
            </w:pPr>
            <w:r>
              <w:rPr>
                <w:rFonts w:ascii="Arial" w:cs="Arial" w:eastAsia="Arial" w:hAnsi="Arial"/>
                <w:sz w:val="20"/>
                <w:szCs w:val="20"/>
                <w:color w:val="auto"/>
              </w:rPr>
              <w:t>(47,726)</w:t>
            </w:r>
          </w:p>
        </w:tc>
        <w:tc>
          <w:tcPr>
            <w:tcW w:w="120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20"/>
                <w:szCs w:val="20"/>
                <w:color w:val="auto"/>
              </w:rPr>
              <w:t>Earnings (loss) before income taxes</w:t>
            </w: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20"/>
                <w:szCs w:val="20"/>
                <w:color w:val="auto"/>
              </w:rPr>
              <w:t>183,382</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20"/>
                <w:szCs w:val="20"/>
                <w:color w:val="auto"/>
              </w:rPr>
              <w:t>43,493</w:t>
            </w: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20"/>
                <w:szCs w:val="20"/>
                <w:color w:val="auto"/>
              </w:rPr>
              <w:t>(66,412)</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20"/>
                <w:szCs w:val="20"/>
                <w:color w:val="auto"/>
              </w:rPr>
              <w:t>160,463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3"/>
          </w:tcPr>
          <w:p>
            <w:pPr>
              <w:spacing w:after="0"/>
              <w:rPr>
                <w:sz w:val="20"/>
                <w:szCs w:val="20"/>
                <w:color w:val="auto"/>
              </w:rPr>
            </w:pPr>
            <w:r>
              <w:rPr>
                <w:rFonts w:ascii="Arial" w:cs="Arial" w:eastAsia="Arial" w:hAnsi="Arial"/>
                <w:sz w:val="20"/>
                <w:szCs w:val="20"/>
                <w:color w:val="auto"/>
              </w:rPr>
              <w:t>Total assets</w:t>
            </w:r>
          </w:p>
        </w:tc>
        <w:tc>
          <w:tcPr>
            <w:tcW w:w="1560" w:type="dxa"/>
            <w:vAlign w:val="bottom"/>
            <w:gridSpan w:val="2"/>
          </w:tcPr>
          <w:p>
            <w:pPr>
              <w:jc w:val="right"/>
              <w:ind w:right="500"/>
              <w:spacing w:after="0"/>
              <w:rPr>
                <w:sz w:val="20"/>
                <w:szCs w:val="20"/>
                <w:color w:val="auto"/>
              </w:rPr>
            </w:pPr>
            <w:r>
              <w:rPr>
                <w:rFonts w:ascii="Arial" w:cs="Arial" w:eastAsia="Arial" w:hAnsi="Arial"/>
                <w:sz w:val="20"/>
                <w:szCs w:val="20"/>
                <w:color w:val="auto"/>
              </w:rPr>
              <w:t>480,771</w:t>
            </w:r>
          </w:p>
        </w:tc>
        <w:tc>
          <w:tcPr>
            <w:tcW w:w="1480" w:type="dxa"/>
            <w:vAlign w:val="bottom"/>
            <w:gridSpan w:val="2"/>
          </w:tcPr>
          <w:p>
            <w:pPr>
              <w:jc w:val="right"/>
              <w:ind w:right="600"/>
              <w:spacing w:after="0"/>
              <w:rPr>
                <w:sz w:val="20"/>
                <w:szCs w:val="20"/>
                <w:color w:val="auto"/>
              </w:rPr>
            </w:pPr>
            <w:r>
              <w:rPr>
                <w:rFonts w:ascii="Arial" w:cs="Arial" w:eastAsia="Arial" w:hAnsi="Arial"/>
                <w:sz w:val="20"/>
                <w:szCs w:val="20"/>
                <w:color w:val="auto"/>
              </w:rPr>
              <w:t>219,594</w:t>
            </w:r>
          </w:p>
        </w:tc>
        <w:tc>
          <w:tcPr>
            <w:tcW w:w="1480" w:type="dxa"/>
            <w:vAlign w:val="bottom"/>
            <w:gridSpan w:val="2"/>
          </w:tcPr>
          <w:p>
            <w:pPr>
              <w:jc w:val="right"/>
              <w:ind w:right="560"/>
              <w:spacing w:after="0"/>
              <w:rPr>
                <w:sz w:val="20"/>
                <w:szCs w:val="20"/>
                <w:color w:val="auto"/>
              </w:rPr>
            </w:pPr>
            <w:r>
              <w:rPr>
                <w:rFonts w:ascii="Arial" w:cs="Arial" w:eastAsia="Arial" w:hAnsi="Arial"/>
                <w:sz w:val="20"/>
                <w:szCs w:val="20"/>
                <w:color w:val="auto"/>
              </w:rPr>
              <w:t>312,173</w:t>
            </w:r>
          </w:p>
        </w:tc>
        <w:tc>
          <w:tcPr>
            <w:tcW w:w="1200" w:type="dxa"/>
            <w:vAlign w:val="bottom"/>
            <w:gridSpan w:val="2"/>
          </w:tcPr>
          <w:p>
            <w:pPr>
              <w:jc w:val="right"/>
              <w:ind w:right="260"/>
              <w:spacing w:after="0"/>
              <w:rPr>
                <w:sz w:val="20"/>
                <w:szCs w:val="20"/>
                <w:color w:val="auto"/>
              </w:rPr>
            </w:pPr>
            <w:r>
              <w:rPr>
                <w:rFonts w:ascii="Arial" w:cs="Arial" w:eastAsia="Arial" w:hAnsi="Arial"/>
                <w:sz w:val="20"/>
                <w:szCs w:val="20"/>
                <w:color w:val="auto"/>
              </w:rPr>
              <w:t>1,012,538</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40" w:type="dxa"/>
            <w:vAlign w:val="bottom"/>
            <w:gridSpan w:val="3"/>
          </w:tcPr>
          <w:p>
            <w:pPr>
              <w:spacing w:after="0" w:line="189" w:lineRule="exact"/>
              <w:rPr>
                <w:sz w:val="20"/>
                <w:szCs w:val="20"/>
                <w:color w:val="auto"/>
              </w:rPr>
            </w:pPr>
            <w:r>
              <w:rPr>
                <w:rFonts w:ascii="Arial" w:cs="Arial" w:eastAsia="Arial" w:hAnsi="Arial"/>
                <w:sz w:val="20"/>
                <w:szCs w:val="20"/>
                <w:color w:val="auto"/>
              </w:rPr>
              <w:t>Nine months ended July 30, 2004</w:t>
            </w: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6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20"/>
                <w:szCs w:val="20"/>
                <w:color w:val="auto"/>
              </w:rPr>
              <w:t>Net sales</w:t>
            </w: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20"/>
                <w:szCs w:val="20"/>
                <w:color w:val="auto"/>
              </w:rPr>
              <w:t>$834,130</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20"/>
                <w:szCs w:val="20"/>
                <w:color w:val="auto"/>
              </w:rPr>
              <w:t>$436,952</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20"/>
                <w:szCs w:val="20"/>
                <w:color w:val="auto"/>
              </w:rPr>
              <w:t>$44,562</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20"/>
                <w:szCs w:val="20"/>
                <w:color w:val="auto"/>
                <w:w w:val="91"/>
              </w:rPr>
              <w:t>$1,315,644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3"/>
          </w:tcPr>
          <w:p>
            <w:pPr>
              <w:spacing w:after="0"/>
              <w:rPr>
                <w:sz w:val="20"/>
                <w:szCs w:val="20"/>
                <w:color w:val="auto"/>
              </w:rPr>
            </w:pPr>
            <w:r>
              <w:rPr>
                <w:rFonts w:ascii="Arial" w:cs="Arial" w:eastAsia="Arial" w:hAnsi="Arial"/>
                <w:sz w:val="20"/>
                <w:szCs w:val="20"/>
                <w:color w:val="auto"/>
              </w:rPr>
              <w:t>Intersegment gross sales</w:t>
            </w:r>
          </w:p>
        </w:tc>
        <w:tc>
          <w:tcPr>
            <w:tcW w:w="1560" w:type="dxa"/>
            <w:vAlign w:val="bottom"/>
            <w:gridSpan w:val="2"/>
          </w:tcPr>
          <w:p>
            <w:pPr>
              <w:jc w:val="right"/>
              <w:ind w:right="500"/>
              <w:spacing w:after="0"/>
              <w:rPr>
                <w:sz w:val="20"/>
                <w:szCs w:val="20"/>
                <w:color w:val="auto"/>
              </w:rPr>
            </w:pPr>
            <w:r>
              <w:rPr>
                <w:rFonts w:ascii="Arial" w:cs="Arial" w:eastAsia="Arial" w:hAnsi="Arial"/>
                <w:sz w:val="20"/>
                <w:szCs w:val="20"/>
                <w:color w:val="auto"/>
              </w:rPr>
              <w:t>72,706</w:t>
            </w:r>
          </w:p>
        </w:tc>
        <w:tc>
          <w:tcPr>
            <w:tcW w:w="1480" w:type="dxa"/>
            <w:vAlign w:val="bottom"/>
            <w:gridSpan w:val="2"/>
          </w:tcPr>
          <w:p>
            <w:pPr>
              <w:jc w:val="right"/>
              <w:ind w:right="600"/>
              <w:spacing w:after="0"/>
              <w:rPr>
                <w:sz w:val="20"/>
                <w:szCs w:val="20"/>
                <w:color w:val="auto"/>
              </w:rPr>
            </w:pPr>
            <w:r>
              <w:rPr>
                <w:rFonts w:ascii="Arial" w:cs="Arial" w:eastAsia="Arial" w:hAnsi="Arial"/>
                <w:sz w:val="20"/>
                <w:szCs w:val="20"/>
                <w:color w:val="auto"/>
              </w:rPr>
              <w:t>6,958</w:t>
            </w:r>
          </w:p>
        </w:tc>
        <w:tc>
          <w:tcPr>
            <w:tcW w:w="1480" w:type="dxa"/>
            <w:vAlign w:val="bottom"/>
            <w:gridSpan w:val="2"/>
          </w:tcPr>
          <w:p>
            <w:pPr>
              <w:jc w:val="right"/>
              <w:ind w:right="500"/>
              <w:spacing w:after="0"/>
              <w:rPr>
                <w:sz w:val="20"/>
                <w:szCs w:val="20"/>
                <w:color w:val="auto"/>
              </w:rPr>
            </w:pPr>
            <w:r>
              <w:rPr>
                <w:rFonts w:ascii="Arial" w:cs="Arial" w:eastAsia="Arial" w:hAnsi="Arial"/>
                <w:sz w:val="20"/>
                <w:szCs w:val="20"/>
                <w:color w:val="auto"/>
              </w:rPr>
              <w:t>(79,664)</w:t>
            </w:r>
          </w:p>
        </w:tc>
        <w:tc>
          <w:tcPr>
            <w:tcW w:w="120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20"/>
                <w:szCs w:val="20"/>
                <w:color w:val="auto"/>
              </w:rPr>
              <w:t>Earnings (loss) before income taxes</w:t>
            </w: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20"/>
                <w:szCs w:val="20"/>
                <w:color w:val="auto"/>
              </w:rPr>
              <w:t>154,479</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20"/>
                <w:szCs w:val="20"/>
                <w:color w:val="auto"/>
              </w:rPr>
              <w:t>52,691</w:t>
            </w: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20"/>
                <w:szCs w:val="20"/>
                <w:color w:val="auto"/>
              </w:rPr>
              <w:t>(64,279)</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20"/>
                <w:szCs w:val="20"/>
                <w:color w:val="auto"/>
              </w:rPr>
              <w:t>142,891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40" w:type="dxa"/>
            <w:vAlign w:val="bottom"/>
            <w:gridSpan w:val="3"/>
          </w:tcPr>
          <w:p>
            <w:pPr>
              <w:spacing w:after="0"/>
              <w:rPr>
                <w:sz w:val="20"/>
                <w:szCs w:val="20"/>
                <w:color w:val="auto"/>
              </w:rPr>
            </w:pPr>
            <w:r>
              <w:rPr>
                <w:rFonts w:ascii="Arial" w:cs="Arial" w:eastAsia="Arial" w:hAnsi="Arial"/>
                <w:sz w:val="20"/>
                <w:szCs w:val="20"/>
                <w:color w:val="auto"/>
              </w:rPr>
              <w:t>Total assets</w:t>
            </w:r>
          </w:p>
        </w:tc>
        <w:tc>
          <w:tcPr>
            <w:tcW w:w="1560" w:type="dxa"/>
            <w:vAlign w:val="bottom"/>
            <w:gridSpan w:val="2"/>
          </w:tcPr>
          <w:p>
            <w:pPr>
              <w:jc w:val="right"/>
              <w:ind w:right="500"/>
              <w:spacing w:after="0"/>
              <w:rPr>
                <w:sz w:val="20"/>
                <w:szCs w:val="20"/>
                <w:color w:val="auto"/>
              </w:rPr>
            </w:pPr>
            <w:r>
              <w:rPr>
                <w:rFonts w:ascii="Arial" w:cs="Arial" w:eastAsia="Arial" w:hAnsi="Arial"/>
                <w:sz w:val="20"/>
                <w:szCs w:val="20"/>
                <w:color w:val="auto"/>
              </w:rPr>
              <w:t>459,486</w:t>
            </w:r>
          </w:p>
        </w:tc>
        <w:tc>
          <w:tcPr>
            <w:tcW w:w="1480" w:type="dxa"/>
            <w:vAlign w:val="bottom"/>
            <w:gridSpan w:val="2"/>
          </w:tcPr>
          <w:p>
            <w:pPr>
              <w:jc w:val="right"/>
              <w:ind w:right="600"/>
              <w:spacing w:after="0"/>
              <w:rPr>
                <w:sz w:val="20"/>
                <w:szCs w:val="20"/>
                <w:color w:val="auto"/>
              </w:rPr>
            </w:pPr>
            <w:r>
              <w:rPr>
                <w:rFonts w:ascii="Arial" w:cs="Arial" w:eastAsia="Arial" w:hAnsi="Arial"/>
                <w:sz w:val="20"/>
                <w:szCs w:val="20"/>
                <w:color w:val="auto"/>
              </w:rPr>
              <w:t>182,542</w:t>
            </w:r>
          </w:p>
        </w:tc>
        <w:tc>
          <w:tcPr>
            <w:tcW w:w="1480" w:type="dxa"/>
            <w:vAlign w:val="bottom"/>
            <w:gridSpan w:val="2"/>
          </w:tcPr>
          <w:p>
            <w:pPr>
              <w:jc w:val="right"/>
              <w:ind w:right="560"/>
              <w:spacing w:after="0"/>
              <w:rPr>
                <w:sz w:val="20"/>
                <w:szCs w:val="20"/>
                <w:color w:val="auto"/>
              </w:rPr>
            </w:pPr>
            <w:r>
              <w:rPr>
                <w:rFonts w:ascii="Arial" w:cs="Arial" w:eastAsia="Arial" w:hAnsi="Arial"/>
                <w:sz w:val="20"/>
                <w:szCs w:val="20"/>
                <w:color w:val="auto"/>
              </w:rPr>
              <w:t>318,725</w:t>
            </w:r>
          </w:p>
        </w:tc>
        <w:tc>
          <w:tcPr>
            <w:tcW w:w="1200" w:type="dxa"/>
            <w:vAlign w:val="bottom"/>
            <w:gridSpan w:val="2"/>
          </w:tcPr>
          <w:p>
            <w:pPr>
              <w:jc w:val="right"/>
              <w:ind w:right="260"/>
              <w:spacing w:after="0"/>
              <w:rPr>
                <w:sz w:val="20"/>
                <w:szCs w:val="20"/>
                <w:color w:val="auto"/>
              </w:rPr>
            </w:pPr>
            <w:r>
              <w:rPr>
                <w:rFonts w:ascii="Arial" w:cs="Arial" w:eastAsia="Arial" w:hAnsi="Arial"/>
                <w:sz w:val="20"/>
                <w:szCs w:val="20"/>
                <w:color w:val="auto"/>
              </w:rPr>
              <w:t>960,753</w:t>
            </w:r>
          </w:p>
        </w:tc>
        <w:tc>
          <w:tcPr>
            <w:tcW w:w="0" w:type="dxa"/>
            <w:vAlign w:val="bottom"/>
          </w:tcPr>
          <w:p>
            <w:pPr>
              <w:spacing w:after="0"/>
              <w:rPr>
                <w:sz w:val="1"/>
                <w:szCs w:val="1"/>
                <w:color w:val="auto"/>
              </w:rPr>
            </w:pP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460" w:type="dxa"/>
            <w:vAlign w:val="bottom"/>
            <w:gridSpan w:val="5"/>
          </w:tcPr>
          <w:p>
            <w:pPr>
              <w:spacing w:after="0"/>
              <w:rPr>
                <w:sz w:val="20"/>
                <w:szCs w:val="20"/>
                <w:color w:val="auto"/>
              </w:rPr>
            </w:pPr>
            <w:r>
              <w:rPr>
                <w:rFonts w:ascii="Arial" w:cs="Arial" w:eastAsia="Arial" w:hAnsi="Arial"/>
                <w:sz w:val="20"/>
                <w:szCs w:val="20"/>
                <w:color w:val="auto"/>
                <w:w w:val="97"/>
              </w:rPr>
              <w:t>The following table presents the details of the Other segment earnings (loss) before income taxes:</w:t>
            </w:r>
          </w:p>
        </w:tc>
        <w:tc>
          <w:tcPr>
            <w:tcW w:w="9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5"/>
        </w:trPr>
        <w:tc>
          <w:tcPr>
            <w:tcW w:w="5160" w:type="dxa"/>
            <w:vAlign w:val="bottom"/>
            <w:vMerge w:val="restart"/>
          </w:tcPr>
          <w:p>
            <w:pPr>
              <w:spacing w:after="0"/>
              <w:rPr>
                <w:sz w:val="20"/>
                <w:szCs w:val="20"/>
                <w:color w:val="auto"/>
              </w:rPr>
            </w:pPr>
            <w:r>
              <w:rPr>
                <w:rFonts w:ascii="Arial" w:cs="Arial" w:eastAsia="Arial" w:hAnsi="Arial"/>
                <w:sz w:val="20"/>
                <w:szCs w:val="20"/>
                <w:color w:val="auto"/>
              </w:rPr>
              <w:t>(Dollars in thousands)</w:t>
            </w:r>
          </w:p>
        </w:tc>
        <w:tc>
          <w:tcPr>
            <w:tcW w:w="3300" w:type="dxa"/>
            <w:vAlign w:val="bottom"/>
            <w:gridSpan w:val="4"/>
          </w:tcPr>
          <w:p>
            <w:pPr>
              <w:jc w:val="right"/>
              <w:ind w:right="998"/>
              <w:spacing w:after="0"/>
              <w:rPr>
                <w:sz w:val="20"/>
                <w:szCs w:val="20"/>
                <w:color w:val="auto"/>
              </w:rPr>
            </w:pPr>
            <w:r>
              <w:rPr>
                <w:rFonts w:ascii="Arial" w:cs="Arial" w:eastAsia="Arial" w:hAnsi="Arial"/>
                <w:sz w:val="20"/>
                <w:szCs w:val="20"/>
                <w:color w:val="auto"/>
              </w:rPr>
              <w:t>Three Months Ended</w:t>
            </w:r>
          </w:p>
        </w:tc>
        <w:tc>
          <w:tcPr>
            <w:tcW w:w="2960" w:type="dxa"/>
            <w:vAlign w:val="bottom"/>
            <w:gridSpan w:val="4"/>
          </w:tcPr>
          <w:p>
            <w:pPr>
              <w:jc w:val="right"/>
              <w:ind w:right="658"/>
              <w:spacing w:after="0"/>
              <w:rPr>
                <w:sz w:val="20"/>
                <w:szCs w:val="20"/>
                <w:color w:val="auto"/>
              </w:rPr>
            </w:pPr>
            <w:r>
              <w:rPr>
                <w:rFonts w:ascii="Arial" w:cs="Arial" w:eastAsia="Arial" w:hAnsi="Arial"/>
                <w:sz w:val="20"/>
                <w:szCs w:val="20"/>
                <w:color w:val="auto"/>
              </w:rPr>
              <w:t>Nine Months Ended</w:t>
            </w:r>
          </w:p>
        </w:tc>
        <w:tc>
          <w:tcPr>
            <w:tcW w:w="0" w:type="dxa"/>
            <w:vAlign w:val="bottom"/>
          </w:tcPr>
          <w:p>
            <w:pPr>
              <w:spacing w:after="0"/>
              <w:rPr>
                <w:sz w:val="1"/>
                <w:szCs w:val="1"/>
                <w:color w:val="auto"/>
              </w:rPr>
            </w:pPr>
          </w:p>
        </w:tc>
      </w:tr>
      <w:tr>
        <w:trPr>
          <w:trHeight w:val="206"/>
        </w:trPr>
        <w:tc>
          <w:tcPr>
            <w:tcW w:w="5160" w:type="dxa"/>
            <w:vAlign w:val="bottom"/>
            <w:vMerge w:val="continue"/>
          </w:tcPr>
          <w:p>
            <w:pPr>
              <w:spacing w:after="0"/>
              <w:rPr>
                <w:sz w:val="17"/>
                <w:szCs w:val="17"/>
                <w:color w:val="auto"/>
              </w:rPr>
            </w:pPr>
          </w:p>
        </w:tc>
        <w:tc>
          <w:tcPr>
            <w:tcW w:w="1840" w:type="dxa"/>
            <w:vAlign w:val="bottom"/>
            <w:tcBorders>
              <w:top w:val="single" w:sz="8" w:color="auto"/>
            </w:tcBorders>
            <w:gridSpan w:val="2"/>
          </w:tcPr>
          <w:p>
            <w:pPr>
              <w:jc w:val="right"/>
              <w:ind w:right="938"/>
              <w:spacing w:after="0" w:line="207" w:lineRule="exact"/>
              <w:rPr>
                <w:sz w:val="20"/>
                <w:szCs w:val="20"/>
                <w:color w:val="auto"/>
              </w:rPr>
            </w:pPr>
            <w:r>
              <w:rPr>
                <w:rFonts w:ascii="Arial" w:cs="Arial" w:eastAsia="Arial" w:hAnsi="Arial"/>
                <w:sz w:val="20"/>
                <w:szCs w:val="20"/>
                <w:color w:val="auto"/>
              </w:rPr>
              <w:t>July 29,</w:t>
            </w:r>
          </w:p>
        </w:tc>
        <w:tc>
          <w:tcPr>
            <w:tcW w:w="940" w:type="dxa"/>
            <w:vAlign w:val="bottom"/>
            <w:tcBorders>
              <w:top w:val="single" w:sz="8" w:color="auto"/>
            </w:tcBorders>
          </w:tcPr>
          <w:p>
            <w:pPr>
              <w:jc w:val="right"/>
              <w:ind w:right="61"/>
              <w:spacing w:after="0" w:line="207" w:lineRule="exact"/>
              <w:rPr>
                <w:sz w:val="20"/>
                <w:szCs w:val="20"/>
                <w:color w:val="auto"/>
              </w:rPr>
            </w:pPr>
            <w:r>
              <w:rPr>
                <w:rFonts w:ascii="Arial" w:cs="Arial" w:eastAsia="Arial" w:hAnsi="Arial"/>
                <w:sz w:val="20"/>
                <w:szCs w:val="20"/>
                <w:color w:val="auto"/>
              </w:rPr>
              <w:t>July 30,</w:t>
            </w:r>
          </w:p>
        </w:tc>
        <w:tc>
          <w:tcPr>
            <w:tcW w:w="520" w:type="dxa"/>
            <w:vAlign w:val="bottom"/>
          </w:tcPr>
          <w:p>
            <w:pPr>
              <w:spacing w:after="0"/>
              <w:rPr>
                <w:sz w:val="17"/>
                <w:szCs w:val="17"/>
                <w:color w:val="auto"/>
              </w:rPr>
            </w:pPr>
          </w:p>
        </w:tc>
        <w:tc>
          <w:tcPr>
            <w:tcW w:w="1900" w:type="dxa"/>
            <w:vAlign w:val="bottom"/>
            <w:tcBorders>
              <w:top w:val="single" w:sz="8" w:color="auto"/>
            </w:tcBorders>
            <w:gridSpan w:val="2"/>
          </w:tcPr>
          <w:p>
            <w:pPr>
              <w:jc w:val="right"/>
              <w:ind w:right="1021"/>
              <w:spacing w:after="0" w:line="207" w:lineRule="exact"/>
              <w:rPr>
                <w:sz w:val="20"/>
                <w:szCs w:val="20"/>
                <w:color w:val="auto"/>
              </w:rPr>
            </w:pPr>
            <w:r>
              <w:rPr>
                <w:rFonts w:ascii="Arial" w:cs="Arial" w:eastAsia="Arial" w:hAnsi="Arial"/>
                <w:sz w:val="20"/>
                <w:szCs w:val="20"/>
                <w:color w:val="auto"/>
              </w:rPr>
              <w:t>July 29,</w:t>
            </w:r>
          </w:p>
        </w:tc>
        <w:tc>
          <w:tcPr>
            <w:tcW w:w="960" w:type="dxa"/>
            <w:vAlign w:val="bottom"/>
            <w:tcBorders>
              <w:top w:val="single" w:sz="8" w:color="auto"/>
            </w:tcBorders>
          </w:tcPr>
          <w:p>
            <w:pPr>
              <w:jc w:val="right"/>
              <w:ind w:right="61"/>
              <w:spacing w:after="0" w:line="207" w:lineRule="exact"/>
              <w:rPr>
                <w:sz w:val="20"/>
                <w:szCs w:val="20"/>
                <w:color w:val="auto"/>
              </w:rPr>
            </w:pPr>
            <w:r>
              <w:rPr>
                <w:rFonts w:ascii="Arial" w:cs="Arial" w:eastAsia="Arial" w:hAnsi="Arial"/>
                <w:sz w:val="20"/>
                <w:szCs w:val="20"/>
                <w:color w:val="auto"/>
              </w:rPr>
              <w:t>July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16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rPr>
              <w:t>2005</w:t>
            </w:r>
          </w:p>
        </w:tc>
        <w:tc>
          <w:tcPr>
            <w:tcW w:w="84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rPr>
              <w:t>2004</w:t>
            </w:r>
          </w:p>
        </w:tc>
        <w:tc>
          <w:tcPr>
            <w:tcW w:w="5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2005</w:t>
            </w:r>
          </w:p>
        </w:tc>
        <w:tc>
          <w:tcPr>
            <w:tcW w:w="96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rPr>
              <w:t>2004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Corporate expenses</w:t>
            </w:r>
          </w:p>
        </w:tc>
        <w:tc>
          <w:tcPr>
            <w:tcW w:w="100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$(20,960)</w:t>
            </w:r>
          </w:p>
        </w:tc>
        <w:tc>
          <w:tcPr>
            <w:tcW w:w="8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$(27,130)</w:t>
            </w: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$(68,843)</w:t>
            </w: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$(72,616)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Finance charge revenue</w:t>
            </w:r>
          </w:p>
        </w:tc>
        <w:tc>
          <w:tcPr>
            <w:tcW w:w="1840" w:type="dxa"/>
            <w:vAlign w:val="bottom"/>
            <w:gridSpan w:val="2"/>
          </w:tcPr>
          <w:p>
            <w:pPr>
              <w:jc w:val="right"/>
              <w:ind w:right="758"/>
              <w:spacing w:after="0"/>
              <w:rPr>
                <w:sz w:val="20"/>
                <w:szCs w:val="20"/>
                <w:color w:val="auto"/>
              </w:rPr>
            </w:pPr>
            <w:r>
              <w:rPr>
                <w:rFonts w:ascii="Arial" w:cs="Arial" w:eastAsia="Arial" w:hAnsi="Arial"/>
                <w:sz w:val="20"/>
                <w:szCs w:val="20"/>
                <w:color w:val="auto"/>
              </w:rPr>
              <w:t>701</w:t>
            </w:r>
          </w:p>
        </w:tc>
        <w:tc>
          <w:tcPr>
            <w:tcW w:w="940" w:type="dxa"/>
            <w:vAlign w:val="bottom"/>
          </w:tcPr>
          <w:p>
            <w:pPr>
              <w:jc w:val="right"/>
              <w:spacing w:after="0"/>
              <w:rPr>
                <w:sz w:val="20"/>
                <w:szCs w:val="20"/>
                <w:color w:val="auto"/>
              </w:rPr>
            </w:pPr>
            <w:r>
              <w:rPr>
                <w:rFonts w:ascii="Arial" w:cs="Arial" w:eastAsia="Arial" w:hAnsi="Arial"/>
                <w:sz w:val="20"/>
                <w:szCs w:val="20"/>
                <w:color w:val="auto"/>
              </w:rPr>
              <w:t>788</w:t>
            </w:r>
          </w:p>
        </w:tc>
        <w:tc>
          <w:tcPr>
            <w:tcW w:w="520" w:type="dxa"/>
            <w:vAlign w:val="bottom"/>
          </w:tcPr>
          <w:p>
            <w:pPr>
              <w:spacing w:after="0"/>
              <w:rPr>
                <w:sz w:val="19"/>
                <w:szCs w:val="19"/>
                <w:color w:val="auto"/>
              </w:rPr>
            </w:pPr>
          </w:p>
        </w:tc>
        <w:tc>
          <w:tcPr>
            <w:tcW w:w="1900" w:type="dxa"/>
            <w:vAlign w:val="bottom"/>
            <w:gridSpan w:val="2"/>
          </w:tcPr>
          <w:p>
            <w:pPr>
              <w:jc w:val="right"/>
              <w:ind w:right="861"/>
              <w:spacing w:after="0"/>
              <w:rPr>
                <w:sz w:val="20"/>
                <w:szCs w:val="20"/>
                <w:color w:val="auto"/>
              </w:rPr>
            </w:pPr>
            <w:r>
              <w:rPr>
                <w:rFonts w:ascii="Arial" w:cs="Arial" w:eastAsia="Arial" w:hAnsi="Arial"/>
                <w:sz w:val="20"/>
                <w:szCs w:val="20"/>
                <w:color w:val="auto"/>
              </w:rPr>
              <w:t>2,283</w:t>
            </w:r>
          </w:p>
        </w:tc>
        <w:tc>
          <w:tcPr>
            <w:tcW w:w="1060" w:type="dxa"/>
            <w:vAlign w:val="bottom"/>
            <w:gridSpan w:val="2"/>
          </w:tcPr>
          <w:p>
            <w:pPr>
              <w:jc w:val="right"/>
              <w:ind w:right="18"/>
              <w:spacing w:after="0"/>
              <w:rPr>
                <w:sz w:val="20"/>
                <w:szCs w:val="20"/>
                <w:color w:val="auto"/>
              </w:rPr>
            </w:pPr>
            <w:r>
              <w:rPr>
                <w:rFonts w:ascii="Arial" w:cs="Arial" w:eastAsia="Arial" w:hAnsi="Arial"/>
                <w:sz w:val="20"/>
                <w:szCs w:val="20"/>
                <w:color w:val="auto"/>
              </w:rPr>
              <w:t>2,498</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spacing w:after="0"/>
              <w:rPr>
                <w:sz w:val="20"/>
                <w:szCs w:val="20"/>
                <w:color w:val="auto"/>
              </w:rPr>
            </w:pPr>
            <w:r>
              <w:rPr>
                <w:rFonts w:ascii="Arial" w:cs="Arial" w:eastAsia="Arial" w:hAnsi="Arial"/>
                <w:sz w:val="20"/>
                <w:szCs w:val="20"/>
                <w:color w:val="auto"/>
              </w:rPr>
              <w:t>Elimination of corporate financing expense</w:t>
            </w:r>
          </w:p>
        </w:tc>
        <w:tc>
          <w:tcPr>
            <w:tcW w:w="1840" w:type="dxa"/>
            <w:vAlign w:val="bottom"/>
            <w:gridSpan w:val="2"/>
            <w:shd w:val="clear" w:color="auto" w:fill="CCEEFF"/>
          </w:tcPr>
          <w:p>
            <w:pPr>
              <w:jc w:val="right"/>
              <w:ind w:right="758"/>
              <w:spacing w:after="0"/>
              <w:rPr>
                <w:sz w:val="20"/>
                <w:szCs w:val="20"/>
                <w:color w:val="auto"/>
              </w:rPr>
            </w:pPr>
            <w:r>
              <w:rPr>
                <w:rFonts w:ascii="Arial" w:cs="Arial" w:eastAsia="Arial" w:hAnsi="Arial"/>
                <w:sz w:val="20"/>
                <w:szCs w:val="20"/>
                <w:color w:val="auto"/>
              </w:rPr>
              <w:t>5,296</w:t>
            </w:r>
          </w:p>
        </w:tc>
        <w:tc>
          <w:tcPr>
            <w:tcW w:w="1460" w:type="dxa"/>
            <w:vAlign w:val="bottom"/>
            <w:gridSpan w:val="2"/>
            <w:shd w:val="clear" w:color="auto" w:fill="CCEEFF"/>
          </w:tcPr>
          <w:p>
            <w:pPr>
              <w:jc w:val="right"/>
              <w:ind w:right="438"/>
              <w:spacing w:after="0"/>
              <w:rPr>
                <w:sz w:val="20"/>
                <w:szCs w:val="20"/>
                <w:color w:val="auto"/>
              </w:rPr>
            </w:pPr>
            <w:r>
              <w:rPr>
                <w:rFonts w:ascii="Arial" w:cs="Arial" w:eastAsia="Arial" w:hAnsi="Arial"/>
                <w:sz w:val="20"/>
                <w:szCs w:val="20"/>
                <w:color w:val="auto"/>
              </w:rPr>
              <w:t>4,605</w:t>
            </w:r>
          </w:p>
        </w:tc>
        <w:tc>
          <w:tcPr>
            <w:tcW w:w="1900" w:type="dxa"/>
            <w:vAlign w:val="bottom"/>
            <w:gridSpan w:val="2"/>
            <w:shd w:val="clear" w:color="auto" w:fill="CCEEFF"/>
          </w:tcPr>
          <w:p>
            <w:pPr>
              <w:jc w:val="right"/>
              <w:ind w:right="861"/>
              <w:spacing w:after="0"/>
              <w:rPr>
                <w:sz w:val="20"/>
                <w:szCs w:val="20"/>
                <w:color w:val="auto"/>
              </w:rPr>
            </w:pPr>
            <w:r>
              <w:rPr>
                <w:rFonts w:ascii="Arial" w:cs="Arial" w:eastAsia="Arial" w:hAnsi="Arial"/>
                <w:sz w:val="20"/>
                <w:szCs w:val="20"/>
                <w:color w:val="auto"/>
              </w:rPr>
              <w:t>13,793</w:t>
            </w:r>
          </w:p>
        </w:tc>
        <w:tc>
          <w:tcPr>
            <w:tcW w:w="1060" w:type="dxa"/>
            <w:vAlign w:val="bottom"/>
            <w:gridSpan w:val="2"/>
            <w:shd w:val="clear" w:color="auto" w:fill="CCEEFF"/>
          </w:tcPr>
          <w:p>
            <w:pPr>
              <w:jc w:val="right"/>
              <w:ind w:right="18"/>
              <w:spacing w:after="0"/>
              <w:rPr>
                <w:sz w:val="20"/>
                <w:szCs w:val="20"/>
                <w:color w:val="auto"/>
              </w:rPr>
            </w:pPr>
            <w:r>
              <w:rPr>
                <w:rFonts w:ascii="Arial" w:cs="Arial" w:eastAsia="Arial" w:hAnsi="Arial"/>
                <w:sz w:val="20"/>
                <w:szCs w:val="20"/>
                <w:color w:val="auto"/>
              </w:rPr>
              <w:t>12,046</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Interest expense, net</w:t>
            </w:r>
          </w:p>
        </w:tc>
        <w:tc>
          <w:tcPr>
            <w:tcW w:w="1840" w:type="dxa"/>
            <w:vAlign w:val="bottom"/>
            <w:gridSpan w:val="2"/>
          </w:tcPr>
          <w:p>
            <w:pPr>
              <w:jc w:val="right"/>
              <w:ind w:right="698"/>
              <w:spacing w:after="0"/>
              <w:rPr>
                <w:sz w:val="20"/>
                <w:szCs w:val="20"/>
                <w:color w:val="auto"/>
              </w:rPr>
            </w:pPr>
            <w:r>
              <w:rPr>
                <w:rFonts w:ascii="Arial" w:cs="Arial" w:eastAsia="Arial" w:hAnsi="Arial"/>
                <w:sz w:val="20"/>
                <w:szCs w:val="20"/>
                <w:color w:val="auto"/>
              </w:rPr>
              <w:t>(4,820)</w:t>
            </w:r>
          </w:p>
        </w:tc>
        <w:tc>
          <w:tcPr>
            <w:tcW w:w="1460" w:type="dxa"/>
            <w:vAlign w:val="bottom"/>
            <w:gridSpan w:val="2"/>
          </w:tcPr>
          <w:p>
            <w:pPr>
              <w:jc w:val="right"/>
              <w:ind w:right="378"/>
              <w:spacing w:after="0"/>
              <w:rPr>
                <w:sz w:val="20"/>
                <w:szCs w:val="20"/>
                <w:color w:val="auto"/>
              </w:rPr>
            </w:pPr>
            <w:r>
              <w:rPr>
                <w:rFonts w:ascii="Arial" w:cs="Arial" w:eastAsia="Arial" w:hAnsi="Arial"/>
                <w:sz w:val="20"/>
                <w:szCs w:val="20"/>
                <w:color w:val="auto"/>
              </w:rPr>
              <w:t>(3,893)</w:t>
            </w:r>
          </w:p>
        </w:tc>
        <w:tc>
          <w:tcPr>
            <w:tcW w:w="1900" w:type="dxa"/>
            <w:vAlign w:val="bottom"/>
            <w:gridSpan w:val="2"/>
          </w:tcPr>
          <w:p>
            <w:pPr>
              <w:jc w:val="right"/>
              <w:ind w:right="781"/>
              <w:spacing w:after="0"/>
              <w:rPr>
                <w:sz w:val="20"/>
                <w:szCs w:val="20"/>
                <w:color w:val="auto"/>
              </w:rPr>
            </w:pPr>
            <w:r>
              <w:rPr>
                <w:rFonts w:ascii="Arial" w:cs="Arial" w:eastAsia="Arial" w:hAnsi="Arial"/>
                <w:sz w:val="20"/>
                <w:szCs w:val="20"/>
                <w:color w:val="auto"/>
              </w:rPr>
              <w:t>(13,453)</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(11,477)</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spacing w:after="0"/>
              <w:rPr>
                <w:sz w:val="20"/>
                <w:szCs w:val="20"/>
                <w:color w:val="auto"/>
              </w:rPr>
            </w:pPr>
            <w:r>
              <w:rPr>
                <w:rFonts w:ascii="Arial" w:cs="Arial" w:eastAsia="Arial" w:hAnsi="Arial"/>
                <w:sz w:val="20"/>
                <w:szCs w:val="20"/>
                <w:color w:val="auto"/>
              </w:rPr>
              <w:t>Distribution</w:t>
            </w:r>
          </w:p>
        </w:tc>
        <w:tc>
          <w:tcPr>
            <w:tcW w:w="1840" w:type="dxa"/>
            <w:vAlign w:val="bottom"/>
            <w:gridSpan w:val="2"/>
            <w:shd w:val="clear" w:color="auto" w:fill="CCEEFF"/>
          </w:tcPr>
          <w:p>
            <w:pPr>
              <w:jc w:val="right"/>
              <w:ind w:right="758"/>
              <w:spacing w:after="0"/>
              <w:rPr>
                <w:sz w:val="20"/>
                <w:szCs w:val="20"/>
                <w:color w:val="auto"/>
              </w:rPr>
            </w:pPr>
            <w:r>
              <w:rPr>
                <w:rFonts w:ascii="Arial" w:cs="Arial" w:eastAsia="Arial" w:hAnsi="Arial"/>
                <w:sz w:val="20"/>
                <w:szCs w:val="20"/>
                <w:color w:val="auto"/>
              </w:rPr>
              <w:t>1,134</w:t>
            </w:r>
          </w:p>
        </w:tc>
        <w:tc>
          <w:tcPr>
            <w:tcW w:w="1460" w:type="dxa"/>
            <w:vAlign w:val="bottom"/>
            <w:gridSpan w:val="2"/>
            <w:shd w:val="clear" w:color="auto" w:fill="CCEEFF"/>
          </w:tcPr>
          <w:p>
            <w:pPr>
              <w:jc w:val="right"/>
              <w:ind w:right="438"/>
              <w:spacing w:after="0"/>
              <w:rPr>
                <w:sz w:val="20"/>
                <w:szCs w:val="20"/>
                <w:color w:val="auto"/>
              </w:rPr>
            </w:pPr>
            <w:r>
              <w:rPr>
                <w:rFonts w:ascii="Arial" w:cs="Arial" w:eastAsia="Arial" w:hAnsi="Arial"/>
                <w:sz w:val="20"/>
                <w:szCs w:val="20"/>
                <w:color w:val="auto"/>
              </w:rPr>
              <w:t>2,255</w:t>
            </w:r>
          </w:p>
        </w:tc>
        <w:tc>
          <w:tcPr>
            <w:tcW w:w="1900" w:type="dxa"/>
            <w:vAlign w:val="bottom"/>
            <w:gridSpan w:val="2"/>
            <w:shd w:val="clear" w:color="auto" w:fill="CCEEFF"/>
          </w:tcPr>
          <w:p>
            <w:pPr>
              <w:jc w:val="right"/>
              <w:ind w:right="861"/>
              <w:spacing w:after="0"/>
              <w:rPr>
                <w:sz w:val="20"/>
                <w:szCs w:val="20"/>
                <w:color w:val="auto"/>
              </w:rPr>
            </w:pPr>
            <w:r>
              <w:rPr>
                <w:rFonts w:ascii="Arial" w:cs="Arial" w:eastAsia="Arial" w:hAnsi="Arial"/>
                <w:sz w:val="20"/>
                <w:szCs w:val="20"/>
                <w:color w:val="auto"/>
              </w:rPr>
              <w:t>412</w:t>
            </w:r>
          </w:p>
        </w:tc>
        <w:tc>
          <w:tcPr>
            <w:tcW w:w="1060" w:type="dxa"/>
            <w:vAlign w:val="bottom"/>
            <w:gridSpan w:val="2"/>
            <w:shd w:val="clear" w:color="auto" w:fill="CCEEFF"/>
          </w:tcPr>
          <w:p>
            <w:pPr>
              <w:jc w:val="right"/>
              <w:ind w:right="18"/>
              <w:spacing w:after="0"/>
              <w:rPr>
                <w:sz w:val="20"/>
                <w:szCs w:val="20"/>
                <w:color w:val="auto"/>
              </w:rPr>
            </w:pPr>
            <w:r>
              <w:rPr>
                <w:rFonts w:ascii="Arial" w:cs="Arial" w:eastAsia="Arial" w:hAnsi="Arial"/>
                <w:sz w:val="20"/>
                <w:szCs w:val="20"/>
                <w:color w:val="auto"/>
              </w:rPr>
              <w:t>1,685</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Other</w:t>
            </w:r>
          </w:p>
        </w:tc>
        <w:tc>
          <w:tcPr>
            <w:tcW w:w="1840" w:type="dxa"/>
            <w:vAlign w:val="bottom"/>
            <w:gridSpan w:val="2"/>
          </w:tcPr>
          <w:p>
            <w:pPr>
              <w:jc w:val="right"/>
              <w:ind w:right="698"/>
              <w:spacing w:after="0"/>
              <w:rPr>
                <w:sz w:val="20"/>
                <w:szCs w:val="20"/>
                <w:color w:val="auto"/>
              </w:rPr>
            </w:pPr>
            <w:r>
              <w:rPr>
                <w:rFonts w:ascii="Arial" w:cs="Arial" w:eastAsia="Arial" w:hAnsi="Arial"/>
                <w:sz w:val="20"/>
                <w:szCs w:val="20"/>
                <w:color w:val="auto"/>
              </w:rPr>
              <w:t>(853)</w:t>
            </w:r>
          </w:p>
        </w:tc>
        <w:tc>
          <w:tcPr>
            <w:tcW w:w="1460" w:type="dxa"/>
            <w:vAlign w:val="bottom"/>
            <w:gridSpan w:val="2"/>
          </w:tcPr>
          <w:p>
            <w:pPr>
              <w:jc w:val="right"/>
              <w:ind w:right="438"/>
              <w:spacing w:after="0"/>
              <w:rPr>
                <w:sz w:val="20"/>
                <w:szCs w:val="20"/>
                <w:color w:val="auto"/>
              </w:rPr>
            </w:pPr>
            <w:r>
              <w:rPr>
                <w:rFonts w:ascii="Arial" w:cs="Arial" w:eastAsia="Arial" w:hAnsi="Arial"/>
                <w:sz w:val="20"/>
                <w:szCs w:val="20"/>
                <w:color w:val="auto"/>
              </w:rPr>
              <w:t>1,788</w:t>
            </w:r>
          </w:p>
        </w:tc>
        <w:tc>
          <w:tcPr>
            <w:tcW w:w="1900" w:type="dxa"/>
            <w:vAlign w:val="bottom"/>
            <w:gridSpan w:val="2"/>
          </w:tcPr>
          <w:p>
            <w:pPr>
              <w:jc w:val="right"/>
              <w:ind w:right="781"/>
              <w:spacing w:after="0"/>
              <w:rPr>
                <w:sz w:val="20"/>
                <w:szCs w:val="20"/>
                <w:color w:val="auto"/>
              </w:rPr>
            </w:pPr>
            <w:r>
              <w:rPr>
                <w:rFonts w:ascii="Arial" w:cs="Arial" w:eastAsia="Arial" w:hAnsi="Arial"/>
                <w:sz w:val="20"/>
                <w:szCs w:val="20"/>
                <w:color w:val="auto"/>
              </w:rPr>
              <w:t>(604)</w:t>
            </w:r>
          </w:p>
        </w:tc>
        <w:tc>
          <w:tcPr>
            <w:tcW w:w="1060" w:type="dxa"/>
            <w:vAlign w:val="bottom"/>
            <w:gridSpan w:val="2"/>
          </w:tcPr>
          <w:p>
            <w:pPr>
              <w:jc w:val="right"/>
              <w:ind w:right="18"/>
              <w:spacing w:after="0"/>
              <w:rPr>
                <w:sz w:val="20"/>
                <w:szCs w:val="20"/>
                <w:color w:val="auto"/>
              </w:rPr>
            </w:pPr>
            <w:r>
              <w:rPr>
                <w:rFonts w:ascii="Arial" w:cs="Arial" w:eastAsia="Arial" w:hAnsi="Arial"/>
                <w:sz w:val="20"/>
                <w:szCs w:val="20"/>
                <w:color w:val="auto"/>
              </w:rPr>
              <w:t>3,585</w:t>
            </w:r>
          </w:p>
        </w:tc>
        <w:tc>
          <w:tcPr>
            <w:tcW w:w="0" w:type="dxa"/>
            <w:vAlign w:val="bottom"/>
          </w:tcPr>
          <w:p>
            <w:pPr>
              <w:spacing w:after="0"/>
              <w:rPr>
                <w:sz w:val="1"/>
                <w:szCs w:val="1"/>
                <w:color w:val="auto"/>
              </w:rPr>
            </w:pPr>
          </w:p>
        </w:tc>
      </w:tr>
      <w:tr>
        <w:trPr>
          <w:trHeight w:val="230"/>
        </w:trPr>
        <w:tc>
          <w:tcPr>
            <w:tcW w:w="5160" w:type="dxa"/>
            <w:vAlign w:val="bottom"/>
            <w:tcBorders>
              <w:top w:val="single" w:sz="8" w:color="CCEEFF"/>
              <w:bottom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Total</w:t>
            </w:r>
          </w:p>
        </w:tc>
        <w:tc>
          <w:tcPr>
            <w:tcW w:w="100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$(19,502</w:t>
            </w:r>
          </w:p>
        </w:tc>
        <w:tc>
          <w:tcPr>
            <w:tcW w:w="840" w:type="dxa"/>
            <w:vAlign w:val="bottom"/>
            <w:tcBorders>
              <w:top w:val="single" w:sz="8" w:color="CCEEFF"/>
              <w:bottom w:val="single" w:sz="8" w:color="CCEEFF"/>
            </w:tcBorders>
            <w:shd w:val="clear" w:color="auto" w:fill="CCEEFF"/>
          </w:tcPr>
          <w:p>
            <w:pPr>
              <w:jc w:val="right"/>
              <w:ind w:right="698"/>
              <w:spacing w:after="0"/>
              <w:rPr>
                <w:sz w:val="20"/>
                <w:szCs w:val="20"/>
                <w:color w:val="auto"/>
              </w:rPr>
            </w:pPr>
            <w:r>
              <w:rPr>
                <w:rFonts w:ascii="Arial" w:cs="Arial" w:eastAsia="Arial" w:hAnsi="Arial"/>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$(21,587</w:t>
            </w:r>
          </w:p>
        </w:tc>
        <w:tc>
          <w:tcPr>
            <w:tcW w:w="520" w:type="dxa"/>
            <w:vAlign w:val="bottom"/>
            <w:tcBorders>
              <w:top w:val="single" w:sz="8" w:color="CCEEFF"/>
              <w:bottom w:val="single" w:sz="8" w:color="CCEEFF"/>
            </w:tcBorders>
            <w:shd w:val="clear" w:color="auto" w:fill="CCEEFF"/>
          </w:tcPr>
          <w:p>
            <w:pPr>
              <w:jc w:val="right"/>
              <w:ind w:right="378"/>
              <w:spacing w:after="0"/>
              <w:rPr>
                <w:sz w:val="20"/>
                <w:szCs w:val="20"/>
                <w:color w:val="auto"/>
              </w:rPr>
            </w:pPr>
            <w:r>
              <w:rPr>
                <w:rFonts w:ascii="Arial" w:cs="Arial" w:eastAsia="Arial" w:hAnsi="Arial"/>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$(66,412</w:t>
            </w:r>
          </w:p>
        </w:tc>
        <w:tc>
          <w:tcPr>
            <w:tcW w:w="960" w:type="dxa"/>
            <w:vAlign w:val="bottom"/>
            <w:tcBorders>
              <w:top w:val="single" w:sz="8" w:color="CCEEFF"/>
              <w:bottom w:val="single" w:sz="8" w:color="CCEEFF"/>
            </w:tcBorders>
            <w:shd w:val="clear" w:color="auto" w:fill="CCEEFF"/>
          </w:tcPr>
          <w:p>
            <w:pPr>
              <w:jc w:val="right"/>
              <w:ind w:right="781"/>
              <w:spacing w:after="0" w:line="223" w:lineRule="exact"/>
              <w:rPr>
                <w:sz w:val="20"/>
                <w:szCs w:val="20"/>
                <w:color w:val="auto"/>
              </w:rPr>
            </w:pPr>
            <w:r>
              <w:rPr>
                <w:rFonts w:ascii="Arial" w:cs="Arial" w:eastAsia="Arial" w:hAnsi="Arial"/>
                <w:sz w:val="20"/>
                <w:szCs w:val="20"/>
                <w:color w:val="auto"/>
                <w:w w:val="89"/>
              </w:rPr>
              <w:t>)</w:t>
            </w:r>
          </w:p>
        </w:tc>
        <w:tc>
          <w:tcPr>
            <w:tcW w:w="9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$(64,279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ectPr>
          <w:pgSz w:w="11900" w:h="16843" w:orient="portrait"/>
          <w:cols w:equalWidth="0" w:num="1">
            <w:col w:w="11420"/>
          </w:cols>
          <w:pgMar w:left="240" w:top="111" w:right="239" w:bottom="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Goodwill</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color w:val="auto"/>
        </w:rPr>
        <w:t>The changes in the net carrying amount of goodwill for the first nine months of fiscal 2005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(Dollars in thousands)</w:t>
            </w:r>
          </w:p>
        </w:tc>
        <w:tc>
          <w:tcPr>
            <w:tcW w:w="140" w:type="dxa"/>
            <w:vAlign w:val="bottom"/>
          </w:tcPr>
          <w:p>
            <w:pPr>
              <w:spacing w:after="0"/>
              <w:rPr>
                <w:sz w:val="19"/>
                <w:szCs w:val="19"/>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20"/>
                <w:szCs w:val="20"/>
                <w:color w:val="auto"/>
                <w:w w:val="89"/>
              </w:rPr>
              <w:t>Professional</w:t>
            </w:r>
          </w:p>
        </w:tc>
        <w:tc>
          <w:tcPr>
            <w:tcW w:w="180" w:type="dxa"/>
            <w:vAlign w:val="bottom"/>
          </w:tcPr>
          <w:p>
            <w:pPr>
              <w:spacing w:after="0"/>
              <w:rPr>
                <w:sz w:val="19"/>
                <w:szCs w:val="19"/>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20"/>
                <w:szCs w:val="20"/>
                <w:color w:val="auto"/>
                <w:w w:val="94"/>
              </w:rPr>
              <w:t>Residential</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46"/>
        </w:trPr>
        <w:tc>
          <w:tcPr>
            <w:tcW w:w="5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20"/>
                <w:szCs w:val="20"/>
                <w:color w:val="auto"/>
                <w:w w:val="84"/>
              </w:rPr>
              <w:t>Segment</w:t>
            </w:r>
          </w:p>
        </w:tc>
        <w:tc>
          <w:tcPr>
            <w:tcW w:w="180" w:type="dxa"/>
            <w:vAlign w:val="bottom"/>
          </w:tcPr>
          <w:p>
            <w:pPr>
              <w:spacing w:after="0"/>
              <w:rPr>
                <w:sz w:val="21"/>
                <w:szCs w:val="21"/>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20"/>
                <w:szCs w:val="20"/>
                <w:color w:val="auto"/>
              </w:rPr>
              <w:t>Segment</w:t>
            </w:r>
          </w:p>
        </w:tc>
        <w:tc>
          <w:tcPr>
            <w:tcW w:w="300" w:type="dxa"/>
            <w:vAlign w:val="bottom"/>
          </w:tcPr>
          <w:p>
            <w:pPr>
              <w:spacing w:after="0"/>
              <w:rPr>
                <w:sz w:val="21"/>
                <w:szCs w:val="21"/>
                <w:color w:val="auto"/>
              </w:rPr>
            </w:pPr>
          </w:p>
        </w:tc>
        <w:tc>
          <w:tcPr>
            <w:tcW w:w="1280" w:type="dxa"/>
            <w:vAlign w:val="bottom"/>
            <w:gridSpan w:val="3"/>
          </w:tcPr>
          <w:p>
            <w:pPr>
              <w:jc w:val="right"/>
              <w:ind w:right="700"/>
              <w:spacing w:after="0"/>
              <w:rPr>
                <w:sz w:val="20"/>
                <w:szCs w:val="20"/>
                <w:color w:val="auto"/>
              </w:rPr>
            </w:pPr>
            <w:r>
              <w:rPr>
                <w:rFonts w:ascii="Arial" w:cs="Arial" w:eastAsia="Arial" w:hAnsi="Arial"/>
                <w:sz w:val="20"/>
                <w:szCs w:val="20"/>
                <w:color w:val="auto"/>
              </w:rPr>
              <w:t>Total</w:t>
            </w:r>
          </w:p>
        </w:tc>
      </w:tr>
      <w:tr>
        <w:trPr>
          <w:trHeight w:val="223"/>
        </w:trPr>
        <w:tc>
          <w:tcPr>
            <w:tcW w:w="516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Balance as of October 31, 2004</w:t>
            </w:r>
          </w:p>
        </w:tc>
        <w:tc>
          <w:tcPr>
            <w:tcW w:w="1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2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68,996</w:t>
            </w:r>
          </w:p>
        </w:tc>
        <w:tc>
          <w:tcPr>
            <w:tcW w:w="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9,059</w:t>
            </w:r>
          </w:p>
        </w:tc>
        <w:tc>
          <w:tcPr>
            <w:tcW w:w="2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01"/>
              <w:spacing w:after="0" w:line="223" w:lineRule="exact"/>
              <w:rPr>
                <w:sz w:val="20"/>
                <w:szCs w:val="20"/>
                <w:color w:val="auto"/>
              </w:rPr>
            </w:pPr>
            <w:r>
              <w:rPr>
                <w:rFonts w:ascii="Arial" w:cs="Arial" w:eastAsia="Arial" w:hAnsi="Arial"/>
                <w:sz w:val="20"/>
                <w:szCs w:val="20"/>
                <w:color w:val="auto"/>
                <w:w w:val="71"/>
              </w:rPr>
              <w:t>$</w:t>
            </w:r>
          </w:p>
        </w:tc>
        <w:tc>
          <w:tcPr>
            <w:tcW w:w="10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78,055</w:t>
            </w: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Goodwill acquired during the fiscal year</w:t>
            </w:r>
          </w:p>
        </w:tc>
        <w:tc>
          <w:tcPr>
            <w:tcW w:w="14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20"/>
                <w:szCs w:val="20"/>
                <w:color w:val="auto"/>
              </w:rPr>
              <w:t>1,798</w:t>
            </w:r>
          </w:p>
        </w:tc>
        <w:tc>
          <w:tcPr>
            <w:tcW w:w="18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20"/>
                <w:szCs w:val="20"/>
                <w:color w:val="auto"/>
              </w:rPr>
              <w:t>1,916</w:t>
            </w:r>
          </w:p>
        </w:tc>
        <w:tc>
          <w:tcPr>
            <w:tcW w:w="3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20"/>
                <w:szCs w:val="20"/>
                <w:color w:val="auto"/>
              </w:rPr>
              <w:t>3,714</w:t>
            </w:r>
          </w:p>
        </w:tc>
        <w:tc>
          <w:tcPr>
            <w:tcW w:w="200" w:type="dxa"/>
            <w:vAlign w:val="bottom"/>
          </w:tcPr>
          <w:p>
            <w:pPr>
              <w:spacing w:after="0"/>
              <w:rPr>
                <w:sz w:val="19"/>
                <w:szCs w:val="19"/>
                <w:color w:val="auto"/>
              </w:rPr>
            </w:pPr>
          </w:p>
        </w:tc>
      </w:tr>
      <w:tr>
        <w:trPr>
          <w:trHeight w:val="230"/>
        </w:trPr>
        <w:tc>
          <w:tcPr>
            <w:tcW w:w="5160" w:type="dxa"/>
            <w:vAlign w:val="bottom"/>
            <w:shd w:val="clear" w:color="auto" w:fill="CCEEFF"/>
          </w:tcPr>
          <w:p>
            <w:pPr>
              <w:spacing w:after="0"/>
              <w:rPr>
                <w:sz w:val="20"/>
                <w:szCs w:val="20"/>
                <w:color w:val="auto"/>
              </w:rPr>
            </w:pPr>
            <w:r>
              <w:rPr>
                <w:rFonts w:ascii="Arial" w:cs="Arial" w:eastAsia="Arial" w:hAnsi="Arial"/>
                <w:sz w:val="20"/>
                <w:szCs w:val="20"/>
                <w:color w:val="auto"/>
              </w:rPr>
              <w:t>Translation adjustment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77</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(371)</w:t>
            </w:r>
          </w:p>
        </w:tc>
        <w:tc>
          <w:tcPr>
            <w:tcW w:w="3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20"/>
                <w:szCs w:val="20"/>
                <w:color w:val="auto"/>
              </w:rPr>
              <w:t>(294)</w:t>
            </w:r>
          </w:p>
        </w:tc>
      </w:tr>
      <w:tr>
        <w:trPr>
          <w:trHeight w:val="230"/>
        </w:trPr>
        <w:tc>
          <w:tcPr>
            <w:tcW w:w="5160" w:type="dxa"/>
            <w:vAlign w:val="bottom"/>
          </w:tcPr>
          <w:p>
            <w:pPr>
              <w:spacing w:after="0" w:line="223" w:lineRule="exact"/>
              <w:rPr>
                <w:sz w:val="20"/>
                <w:szCs w:val="20"/>
                <w:color w:val="auto"/>
              </w:rPr>
            </w:pPr>
            <w:r>
              <w:rPr>
                <w:rFonts w:ascii="Arial" w:cs="Arial" w:eastAsia="Arial" w:hAnsi="Arial"/>
                <w:sz w:val="20"/>
                <w:szCs w:val="20"/>
                <w:color w:val="auto"/>
              </w:rPr>
              <w:t>Balance as of July 29, 2005</w:t>
            </w:r>
          </w:p>
        </w:tc>
        <w:tc>
          <w:tcPr>
            <w:tcW w:w="14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71"/>
              </w:rPr>
              <w:t>$</w:t>
            </w:r>
          </w:p>
        </w:tc>
        <w:tc>
          <w:tcPr>
            <w:tcW w:w="124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70,871</w:t>
            </w: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10,604</w:t>
            </w:r>
          </w:p>
        </w:tc>
        <w:tc>
          <w:tcPr>
            <w:tcW w:w="2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w w:val="71"/>
              </w:rPr>
              <w:t>$</w:t>
            </w:r>
          </w:p>
        </w:tc>
        <w:tc>
          <w:tcPr>
            <w:tcW w:w="106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81,475</w:t>
            </w: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Intangible Assets</w:t>
      </w:r>
    </w:p>
    <w:p>
      <w:pPr>
        <w:spacing w:after="0" w:line="122"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color w:val="auto"/>
        </w:rPr>
        <w:t>As a result of the company’s acquisition of Hayter, as previously discussed, the company acquired $2.6 million of non-amortizable intangible assets related to the Hayter brand name. The company also acquired $1.3 million of amortizable customer related intangible assets with an estimated life of 10 years.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color w:val="auto"/>
        </w:rPr>
        <w:t>The components of other amortizable intangible assets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240" w:type="dxa"/>
            <w:vAlign w:val="bottom"/>
            <w:vMerge w:val="restart"/>
          </w:tcPr>
          <w:p>
            <w:pPr>
              <w:spacing w:after="0"/>
              <w:rPr>
                <w:sz w:val="20"/>
                <w:szCs w:val="20"/>
                <w:color w:val="auto"/>
              </w:rPr>
            </w:pPr>
            <w:r>
              <w:rPr>
                <w:rFonts w:ascii="Arial" w:cs="Arial" w:eastAsia="Arial" w:hAnsi="Arial"/>
                <w:sz w:val="20"/>
                <w:szCs w:val="20"/>
                <w:color w:val="auto"/>
              </w:rPr>
              <w:t>(Dollars in thousands)</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40" w:type="dxa"/>
            <w:vAlign w:val="bottom"/>
            <w:gridSpan w:val="5"/>
          </w:tcPr>
          <w:p>
            <w:pPr>
              <w:jc w:val="right"/>
              <w:ind w:right="1121"/>
              <w:spacing w:after="0"/>
              <w:rPr>
                <w:sz w:val="20"/>
                <w:szCs w:val="20"/>
                <w:color w:val="auto"/>
              </w:rPr>
            </w:pPr>
            <w:r>
              <w:rPr>
                <w:rFonts w:ascii="Arial" w:cs="Arial" w:eastAsia="Arial" w:hAnsi="Arial"/>
                <w:sz w:val="20"/>
                <w:szCs w:val="20"/>
                <w:color w:val="auto"/>
              </w:rPr>
              <w:t>July 29, 2005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00" w:type="dxa"/>
            <w:vAlign w:val="bottom"/>
            <w:gridSpan w:val="6"/>
          </w:tcPr>
          <w:p>
            <w:pPr>
              <w:jc w:val="right"/>
              <w:ind w:right="898"/>
              <w:spacing w:after="0"/>
              <w:rPr>
                <w:sz w:val="20"/>
                <w:szCs w:val="20"/>
                <w:color w:val="auto"/>
              </w:rPr>
            </w:pPr>
            <w:r>
              <w:rPr>
                <w:rFonts w:ascii="Arial" w:cs="Arial" w:eastAsia="Arial" w:hAnsi="Arial"/>
                <w:sz w:val="20"/>
                <w:szCs w:val="20"/>
                <w:color w:val="auto"/>
              </w:rPr>
              <w:t>October 31, 2004</w:t>
            </w:r>
          </w:p>
        </w:tc>
        <w:tc>
          <w:tcPr>
            <w:tcW w:w="0" w:type="dxa"/>
            <w:vAlign w:val="bottom"/>
          </w:tcPr>
          <w:p>
            <w:pPr>
              <w:spacing w:after="0"/>
              <w:rPr>
                <w:sz w:val="1"/>
                <w:szCs w:val="1"/>
                <w:color w:val="auto"/>
              </w:rPr>
            </w:pPr>
          </w:p>
        </w:tc>
      </w:tr>
      <w:tr>
        <w:trPr>
          <w:trHeight w:val="206"/>
        </w:trPr>
        <w:tc>
          <w:tcPr>
            <w:tcW w:w="424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1640" w:type="dxa"/>
            <w:vAlign w:val="bottom"/>
            <w:tcBorders>
              <w:top w:val="single" w:sz="8" w:color="auto"/>
            </w:tcBorders>
            <w:gridSpan w:val="3"/>
          </w:tcPr>
          <w:p>
            <w:pPr>
              <w:jc w:val="right"/>
              <w:ind w:right="340"/>
              <w:spacing w:after="0" w:line="207" w:lineRule="exact"/>
              <w:rPr>
                <w:sz w:val="20"/>
                <w:szCs w:val="20"/>
                <w:color w:val="auto"/>
              </w:rPr>
            </w:pPr>
            <w:r>
              <w:rPr>
                <w:rFonts w:ascii="Arial" w:cs="Arial" w:eastAsia="Arial" w:hAnsi="Arial"/>
                <w:sz w:val="20"/>
                <w:szCs w:val="20"/>
                <w:color w:val="auto"/>
                <w:w w:val="95"/>
              </w:rPr>
              <w:t>Gross Carrying</w:t>
            </w: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81"/>
              <w:spacing w:after="0" w:line="207" w:lineRule="exact"/>
              <w:rPr>
                <w:sz w:val="20"/>
                <w:szCs w:val="20"/>
                <w:color w:val="auto"/>
              </w:rPr>
            </w:pPr>
            <w:r>
              <w:rPr>
                <w:rFonts w:ascii="Arial" w:cs="Arial" w:eastAsia="Arial" w:hAnsi="Arial"/>
                <w:sz w:val="20"/>
                <w:szCs w:val="20"/>
                <w:color w:val="auto"/>
                <w:w w:val="91"/>
              </w:rPr>
              <w:t>Accumulated</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center"/>
              <w:ind w:right="120"/>
              <w:spacing w:after="0" w:line="207" w:lineRule="exact"/>
              <w:rPr>
                <w:sz w:val="20"/>
                <w:szCs w:val="20"/>
                <w:color w:val="auto"/>
              </w:rPr>
            </w:pPr>
            <w:r>
              <w:rPr>
                <w:rFonts w:ascii="Arial" w:cs="Arial" w:eastAsia="Arial" w:hAnsi="Arial"/>
                <w:sz w:val="20"/>
                <w:szCs w:val="20"/>
                <w:color w:val="auto"/>
                <w:w w:val="90"/>
              </w:rPr>
              <w:t>Gross Carrying</w:t>
            </w: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81"/>
              <w:spacing w:after="0" w:line="207" w:lineRule="exact"/>
              <w:rPr>
                <w:sz w:val="20"/>
                <w:szCs w:val="20"/>
                <w:color w:val="auto"/>
              </w:rPr>
            </w:pPr>
            <w:r>
              <w:rPr>
                <w:rFonts w:ascii="Arial" w:cs="Arial" w:eastAsia="Arial" w:hAnsi="Arial"/>
                <w:sz w:val="20"/>
                <w:szCs w:val="20"/>
                <w:color w:val="auto"/>
                <w:w w:val="93"/>
              </w:rPr>
              <w:t>Accumulated</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20"/>
                <w:szCs w:val="20"/>
                <w:color w:val="auto"/>
              </w:rPr>
              <w:t>Amount</w:t>
            </w:r>
          </w:p>
        </w:tc>
        <w:tc>
          <w:tcPr>
            <w:tcW w:w="140" w:type="dxa"/>
            <w:vAlign w:val="bottom"/>
          </w:tcPr>
          <w:p>
            <w:pPr>
              <w:spacing w:after="0"/>
              <w:rPr>
                <w:sz w:val="21"/>
                <w:szCs w:val="21"/>
                <w:color w:val="auto"/>
              </w:rPr>
            </w:pPr>
          </w:p>
        </w:tc>
        <w:tc>
          <w:tcPr>
            <w:tcW w:w="1500" w:type="dxa"/>
            <w:vAlign w:val="bottom"/>
            <w:gridSpan w:val="2"/>
          </w:tcPr>
          <w:p>
            <w:pPr>
              <w:jc w:val="right"/>
              <w:ind w:right="321"/>
              <w:spacing w:after="0"/>
              <w:rPr>
                <w:sz w:val="20"/>
                <w:szCs w:val="20"/>
                <w:color w:val="auto"/>
              </w:rPr>
            </w:pPr>
            <w:r>
              <w:rPr>
                <w:rFonts w:ascii="Arial" w:cs="Arial" w:eastAsia="Arial" w:hAnsi="Arial"/>
                <w:sz w:val="20"/>
                <w:szCs w:val="20"/>
                <w:color w:val="auto"/>
                <w:w w:val="95"/>
              </w:rPr>
              <w:t>Amortization</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20"/>
                <w:szCs w:val="20"/>
                <w:color w:val="auto"/>
                <w:w w:val="95"/>
              </w:rPr>
              <w:t>Amount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218"/>
              <w:spacing w:after="0"/>
              <w:rPr>
                <w:sz w:val="20"/>
                <w:szCs w:val="20"/>
                <w:color w:val="auto"/>
              </w:rPr>
            </w:pPr>
            <w:r>
              <w:rPr>
                <w:rFonts w:ascii="Arial" w:cs="Arial" w:eastAsia="Arial" w:hAnsi="Arial"/>
                <w:sz w:val="20"/>
                <w:szCs w:val="20"/>
                <w:color w:val="auto"/>
                <w:w w:val="97"/>
              </w:rPr>
              <w:t>Amortization</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Patents</w:t>
            </w:r>
          </w:p>
        </w:tc>
        <w:tc>
          <w:tcPr>
            <w:tcW w:w="7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6,553</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2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(5,534)</w:t>
            </w:r>
          </w:p>
        </w:tc>
        <w:tc>
          <w:tcPr>
            <w:tcW w:w="2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6,553</w:t>
            </w: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28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(5,275)</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20"/>
                <w:szCs w:val="20"/>
                <w:color w:val="auto"/>
              </w:rPr>
              <w:t>Non-compete agreements</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20"/>
                <w:szCs w:val="20"/>
                <w:color w:val="auto"/>
              </w:rPr>
              <w:t>1,000</w:t>
            </w:r>
          </w:p>
        </w:tc>
        <w:tc>
          <w:tcPr>
            <w:tcW w:w="140" w:type="dxa"/>
            <w:vAlign w:val="bottom"/>
          </w:tcPr>
          <w:p>
            <w:pPr>
              <w:spacing w:after="0"/>
              <w:rPr>
                <w:sz w:val="19"/>
                <w:szCs w:val="19"/>
                <w:color w:val="auto"/>
              </w:rPr>
            </w:pPr>
          </w:p>
        </w:tc>
        <w:tc>
          <w:tcPr>
            <w:tcW w:w="1500" w:type="dxa"/>
            <w:vAlign w:val="bottom"/>
            <w:gridSpan w:val="2"/>
          </w:tcPr>
          <w:p>
            <w:pPr>
              <w:jc w:val="right"/>
              <w:ind w:right="61"/>
              <w:spacing w:after="0"/>
              <w:rPr>
                <w:sz w:val="20"/>
                <w:szCs w:val="20"/>
                <w:color w:val="auto"/>
              </w:rPr>
            </w:pPr>
            <w:r>
              <w:rPr>
                <w:rFonts w:ascii="Arial" w:cs="Arial" w:eastAsia="Arial" w:hAnsi="Arial"/>
                <w:sz w:val="20"/>
                <w:szCs w:val="20"/>
                <w:color w:val="auto"/>
              </w:rPr>
              <w:t>(799)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20"/>
                <w:szCs w:val="20"/>
                <w:color w:val="auto"/>
              </w:rPr>
              <w:t>1,000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(723)</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20"/>
                <w:szCs w:val="20"/>
                <w:color w:val="auto"/>
              </w:rPr>
              <w:t>Customer related</w:t>
            </w: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20"/>
                <w:szCs w:val="20"/>
                <w:color w:val="auto"/>
              </w:rPr>
              <w:t>1,221</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61"/>
              <w:spacing w:after="0"/>
              <w:rPr>
                <w:sz w:val="20"/>
                <w:szCs w:val="20"/>
                <w:color w:val="auto"/>
              </w:rPr>
            </w:pPr>
            <w:r>
              <w:rPr>
                <w:rFonts w:ascii="Arial" w:cs="Arial" w:eastAsia="Arial" w:hAnsi="Arial"/>
                <w:sz w:val="20"/>
                <w:szCs w:val="20"/>
                <w:color w:val="auto"/>
              </w:rPr>
              <w:t>(61)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8"/>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20"/>
                <w:szCs w:val="20"/>
                <w:color w:val="auto"/>
              </w:rPr>
              <w:t>Other</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20"/>
                <w:szCs w:val="20"/>
                <w:color w:val="auto"/>
              </w:rPr>
              <w:t>2,000</w:t>
            </w:r>
          </w:p>
        </w:tc>
        <w:tc>
          <w:tcPr>
            <w:tcW w:w="140" w:type="dxa"/>
            <w:vAlign w:val="bottom"/>
          </w:tcPr>
          <w:p>
            <w:pPr>
              <w:spacing w:after="0"/>
              <w:rPr>
                <w:sz w:val="19"/>
                <w:szCs w:val="19"/>
                <w:color w:val="auto"/>
              </w:rPr>
            </w:pPr>
          </w:p>
        </w:tc>
        <w:tc>
          <w:tcPr>
            <w:tcW w:w="1500" w:type="dxa"/>
            <w:vAlign w:val="bottom"/>
            <w:gridSpan w:val="2"/>
          </w:tcPr>
          <w:p>
            <w:pPr>
              <w:jc w:val="right"/>
              <w:ind w:right="61"/>
              <w:spacing w:after="0"/>
              <w:rPr>
                <w:sz w:val="20"/>
                <w:szCs w:val="20"/>
                <w:color w:val="auto"/>
              </w:rPr>
            </w:pPr>
            <w:r>
              <w:rPr>
                <w:rFonts w:ascii="Arial" w:cs="Arial" w:eastAsia="Arial" w:hAnsi="Arial"/>
                <w:sz w:val="20"/>
                <w:szCs w:val="20"/>
                <w:color w:val="auto"/>
              </w:rPr>
              <w:t>(1,215)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20"/>
                <w:szCs w:val="20"/>
                <w:color w:val="auto"/>
              </w:rPr>
              <w:t>1,700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(1,055)</w:t>
            </w:r>
          </w:p>
        </w:tc>
        <w:tc>
          <w:tcPr>
            <w:tcW w:w="0" w:type="dxa"/>
            <w:vAlign w:val="bottom"/>
          </w:tcPr>
          <w:p>
            <w:pPr>
              <w:spacing w:after="0"/>
              <w:rPr>
                <w:sz w:val="1"/>
                <w:szCs w:val="1"/>
                <w:color w:val="auto"/>
              </w:rPr>
            </w:pPr>
          </w:p>
        </w:tc>
      </w:tr>
      <w:tr>
        <w:trPr>
          <w:trHeight w:val="243"/>
        </w:trPr>
        <w:tc>
          <w:tcPr>
            <w:tcW w:w="4240" w:type="dxa"/>
            <w:vAlign w:val="bottom"/>
            <w:tcBorders>
              <w:top w:val="single" w:sz="8" w:color="CCEEFF"/>
              <w:bottom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Total</w:t>
            </w:r>
          </w:p>
        </w:tc>
        <w:tc>
          <w:tcPr>
            <w:tcW w:w="7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10,774</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2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(7,609</w:t>
            </w:r>
          </w:p>
        </w:tc>
        <w:tc>
          <w:tcPr>
            <w:tcW w:w="240" w:type="dxa"/>
            <w:vAlign w:val="bottom"/>
            <w:tcBorders>
              <w:top w:val="single" w:sz="8" w:color="CCEEFF"/>
              <w:bottom w:val="single" w:sz="8" w:color="CCEEFF"/>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w w:val="89"/>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9,253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28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(7,053</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4"/>
        </w:trPr>
        <w:tc>
          <w:tcPr>
            <w:tcW w:w="4240" w:type="dxa"/>
            <w:vAlign w:val="bottom"/>
          </w:tcPr>
          <w:p>
            <w:pPr>
              <w:spacing w:after="0" w:line="217" w:lineRule="exact"/>
              <w:rPr>
                <w:sz w:val="20"/>
                <w:szCs w:val="20"/>
                <w:color w:val="auto"/>
              </w:rPr>
            </w:pPr>
            <w:r>
              <w:rPr>
                <w:rFonts w:ascii="Arial" w:cs="Arial" w:eastAsia="Arial" w:hAnsi="Arial"/>
                <w:sz w:val="20"/>
                <w:szCs w:val="20"/>
                <w:color w:val="auto"/>
              </w:rPr>
              <w:t>Total other amortizable intangible assets, net</w:t>
            </w:r>
          </w:p>
        </w:tc>
        <w:tc>
          <w:tcPr>
            <w:tcW w:w="700" w:type="dxa"/>
            <w:vAlign w:val="bottom"/>
          </w:tcPr>
          <w:p>
            <w:pPr>
              <w:spacing w:after="0"/>
              <w:rPr>
                <w:sz w:val="19"/>
                <w:szCs w:val="19"/>
                <w:color w:val="auto"/>
              </w:rPr>
            </w:pPr>
          </w:p>
        </w:tc>
        <w:tc>
          <w:tcPr>
            <w:tcW w:w="240" w:type="dxa"/>
            <w:vAlign w:val="bottom"/>
            <w:tcBorders>
              <w:bottom w:val="single" w:sz="8" w:color="auto"/>
            </w:tcBorders>
          </w:tcPr>
          <w:p>
            <w:pPr>
              <w:jc w:val="right"/>
              <w:ind w:right="41"/>
              <w:spacing w:after="0" w:line="217" w:lineRule="exact"/>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3,165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2,200</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right="300"/>
        <w:spacing w:after="0" w:line="250" w:lineRule="auto"/>
        <w:rPr>
          <w:sz w:val="20"/>
          <w:szCs w:val="20"/>
          <w:color w:val="auto"/>
        </w:rPr>
      </w:pPr>
      <w:r>
        <w:rPr>
          <w:rFonts w:ascii="Arial" w:cs="Arial" w:eastAsia="Arial" w:hAnsi="Arial"/>
          <w:sz w:val="20"/>
          <w:szCs w:val="20"/>
          <w:color w:val="auto"/>
        </w:rPr>
        <w:t>Amortization expense for intangible assets during the first nine months of fiscal 2005 was $920,000. Estimated amortization expense for the remainder of fiscal 2005 and succeeding fiscal years is as follows: 2005 (remainder), $144,000; 2006, $830,000; 2007, $637,000; 2008, $461,000; 2009, $251,000; 2010, $174,000 and after 2010, $668,000.</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Warranty Guarantees</w:t>
      </w:r>
    </w:p>
    <w:p>
      <w:pPr>
        <w:spacing w:after="0" w:line="122"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The company’s products are warranted to ensure customer confidence in design, workmanship, and overall quality. Warranty coverage ranges from a period of six months to seven years, and generally covers parts, labor, and other expenses for non-maintenance repairs, provided operator abuse, improper use, or negligence did not necessitate the repair. An authorized Toro distributor or dealer must perform warranty work. Distributors, dealers, and contractors submit claims for warranty reimbursement and are credited for the cost of repairs, labor and other expenses as long as the repairs meet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The company also sells additional warranty coverage on select products when the factory warranty period expires.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Warranty provisions, claims, and changes in estimates for the first nine-month periods in fiscal 2005 and 2004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60" w:type="dxa"/>
            <w:vAlign w:val="bottom"/>
            <w:gridSpan w:val="2"/>
          </w:tcPr>
          <w:p>
            <w:pPr>
              <w:spacing w:after="0"/>
              <w:rPr>
                <w:sz w:val="20"/>
                <w:szCs w:val="20"/>
                <w:color w:val="auto"/>
              </w:rPr>
            </w:pPr>
            <w:r>
              <w:rPr>
                <w:rFonts w:ascii="Arial" w:cs="Arial" w:eastAsia="Arial" w:hAnsi="Arial"/>
                <w:sz w:val="20"/>
                <w:szCs w:val="20"/>
                <w:color w:val="auto"/>
              </w:rPr>
              <w:t>(Dollars in Thousands)</w:t>
            </w:r>
          </w:p>
        </w:tc>
        <w:tc>
          <w:tcPr>
            <w:tcW w:w="2100" w:type="dxa"/>
            <w:vAlign w:val="bottom"/>
          </w:tcPr>
          <w:p>
            <w:pPr>
              <w:ind w:left="1020"/>
              <w:spacing w:after="0"/>
              <w:rPr>
                <w:sz w:val="20"/>
                <w:szCs w:val="20"/>
                <w:color w:val="auto"/>
              </w:rPr>
            </w:pPr>
            <w:r>
              <w:rPr>
                <w:rFonts w:ascii="Arial" w:cs="Arial" w:eastAsia="Arial" w:hAnsi="Arial"/>
                <w:sz w:val="20"/>
                <w:szCs w:val="20"/>
                <w:color w:val="auto"/>
              </w:rPr>
              <w:t>Beginning</w:t>
            </w:r>
          </w:p>
        </w:tc>
        <w:tc>
          <w:tcPr>
            <w:tcW w:w="1360" w:type="dxa"/>
            <w:vAlign w:val="bottom"/>
          </w:tcPr>
          <w:p>
            <w:pPr>
              <w:ind w:left="320"/>
              <w:spacing w:after="0"/>
              <w:rPr>
                <w:sz w:val="20"/>
                <w:szCs w:val="20"/>
                <w:color w:val="auto"/>
              </w:rPr>
            </w:pPr>
            <w:r>
              <w:rPr>
                <w:rFonts w:ascii="Arial" w:cs="Arial" w:eastAsia="Arial" w:hAnsi="Arial"/>
                <w:sz w:val="20"/>
                <w:szCs w:val="20"/>
                <w:color w:val="auto"/>
              </w:rPr>
              <w:t>Warranty</w:t>
            </w:r>
          </w:p>
        </w:tc>
        <w:tc>
          <w:tcPr>
            <w:tcW w:w="1280" w:type="dxa"/>
            <w:vAlign w:val="bottom"/>
          </w:tcPr>
          <w:p>
            <w:pPr>
              <w:jc w:val="center"/>
              <w:spacing w:after="0"/>
              <w:rPr>
                <w:sz w:val="20"/>
                <w:szCs w:val="20"/>
                <w:color w:val="auto"/>
              </w:rPr>
            </w:pPr>
            <w:r>
              <w:rPr>
                <w:rFonts w:ascii="Arial" w:cs="Arial" w:eastAsia="Arial" w:hAnsi="Arial"/>
                <w:sz w:val="20"/>
                <w:szCs w:val="20"/>
                <w:color w:val="auto"/>
                <w:w w:val="91"/>
              </w:rPr>
              <w:t>Warranty</w:t>
            </w:r>
          </w:p>
        </w:tc>
        <w:tc>
          <w:tcPr>
            <w:tcW w:w="1500" w:type="dxa"/>
            <w:vAlign w:val="bottom"/>
            <w:gridSpan w:val="2"/>
          </w:tcPr>
          <w:p>
            <w:pPr>
              <w:jc w:val="right"/>
              <w:ind w:right="261"/>
              <w:spacing w:after="0"/>
              <w:rPr>
                <w:sz w:val="20"/>
                <w:szCs w:val="20"/>
                <w:color w:val="auto"/>
              </w:rPr>
            </w:pPr>
            <w:r>
              <w:rPr>
                <w:rFonts w:ascii="Arial" w:cs="Arial" w:eastAsia="Arial" w:hAnsi="Arial"/>
                <w:sz w:val="20"/>
                <w:szCs w:val="20"/>
                <w:color w:val="auto"/>
              </w:rPr>
              <w:t>Changes in</w:t>
            </w:r>
          </w:p>
        </w:tc>
        <w:tc>
          <w:tcPr>
            <w:tcW w:w="1180" w:type="dxa"/>
            <w:vAlign w:val="bottom"/>
            <w:gridSpan w:val="2"/>
          </w:tcPr>
          <w:p>
            <w:pPr>
              <w:jc w:val="center"/>
              <w:ind w:right="140"/>
              <w:spacing w:after="0"/>
              <w:rPr>
                <w:sz w:val="20"/>
                <w:szCs w:val="20"/>
                <w:color w:val="auto"/>
              </w:rPr>
            </w:pPr>
            <w:r>
              <w:rPr>
                <w:rFonts w:ascii="Arial" w:cs="Arial" w:eastAsia="Arial" w:hAnsi="Arial"/>
                <w:sz w:val="20"/>
                <w:szCs w:val="20"/>
                <w:color w:val="auto"/>
                <w:w w:val="89"/>
              </w:rPr>
              <w:t>Ending</w:t>
            </w:r>
          </w:p>
        </w:tc>
        <w:tc>
          <w:tcPr>
            <w:tcW w:w="0" w:type="dxa"/>
            <w:vAlign w:val="bottom"/>
          </w:tcPr>
          <w:p>
            <w:pPr>
              <w:spacing w:after="0"/>
              <w:rPr>
                <w:sz w:val="1"/>
                <w:szCs w:val="1"/>
                <w:color w:val="auto"/>
              </w:rPr>
            </w:pPr>
          </w:p>
        </w:tc>
      </w:tr>
      <w:tr>
        <w:trPr>
          <w:trHeight w:val="246"/>
        </w:trPr>
        <w:tc>
          <w:tcPr>
            <w:tcW w:w="2860" w:type="dxa"/>
            <w:vAlign w:val="bottom"/>
            <w:gridSpan w:val="2"/>
          </w:tcPr>
          <w:p>
            <w:pPr>
              <w:spacing w:after="0"/>
              <w:rPr>
                <w:sz w:val="20"/>
                <w:szCs w:val="20"/>
                <w:color w:val="auto"/>
              </w:rPr>
            </w:pPr>
            <w:r>
              <w:rPr>
                <w:rFonts w:ascii="Arial" w:cs="Arial" w:eastAsia="Arial" w:hAnsi="Arial"/>
                <w:sz w:val="20"/>
                <w:szCs w:val="20"/>
                <w:color w:val="auto"/>
              </w:rPr>
              <w:t>Nine Months Ended</w:t>
            </w:r>
          </w:p>
        </w:tc>
        <w:tc>
          <w:tcPr>
            <w:tcW w:w="2100" w:type="dxa"/>
            <w:vAlign w:val="bottom"/>
          </w:tcPr>
          <w:p>
            <w:pPr>
              <w:ind w:left="1120"/>
              <w:spacing w:after="0"/>
              <w:rPr>
                <w:sz w:val="20"/>
                <w:szCs w:val="20"/>
                <w:color w:val="auto"/>
              </w:rPr>
            </w:pPr>
            <w:r>
              <w:rPr>
                <w:rFonts w:ascii="Arial" w:cs="Arial" w:eastAsia="Arial" w:hAnsi="Arial"/>
                <w:sz w:val="20"/>
                <w:szCs w:val="20"/>
                <w:color w:val="auto"/>
              </w:rPr>
              <w:t>Balance</w:t>
            </w:r>
          </w:p>
        </w:tc>
        <w:tc>
          <w:tcPr>
            <w:tcW w:w="1360" w:type="dxa"/>
            <w:vAlign w:val="bottom"/>
          </w:tcPr>
          <w:p>
            <w:pPr>
              <w:ind w:left="260"/>
              <w:spacing w:after="0"/>
              <w:rPr>
                <w:sz w:val="20"/>
                <w:szCs w:val="20"/>
                <w:color w:val="auto"/>
              </w:rPr>
            </w:pPr>
            <w:r>
              <w:rPr>
                <w:rFonts w:ascii="Arial" w:cs="Arial" w:eastAsia="Arial" w:hAnsi="Arial"/>
                <w:sz w:val="20"/>
                <w:szCs w:val="20"/>
                <w:color w:val="auto"/>
              </w:rPr>
              <w:t>Provisions</w:t>
            </w:r>
          </w:p>
        </w:tc>
        <w:tc>
          <w:tcPr>
            <w:tcW w:w="1280" w:type="dxa"/>
            <w:vAlign w:val="bottom"/>
          </w:tcPr>
          <w:p>
            <w:pPr>
              <w:jc w:val="center"/>
              <w:spacing w:after="0"/>
              <w:rPr>
                <w:sz w:val="20"/>
                <w:szCs w:val="20"/>
                <w:color w:val="auto"/>
              </w:rPr>
            </w:pPr>
            <w:r>
              <w:rPr>
                <w:rFonts w:ascii="Arial" w:cs="Arial" w:eastAsia="Arial" w:hAnsi="Arial"/>
                <w:sz w:val="20"/>
                <w:szCs w:val="20"/>
                <w:color w:val="auto"/>
                <w:w w:val="94"/>
              </w:rPr>
              <w:t>Claims</w:t>
            </w:r>
          </w:p>
        </w:tc>
        <w:tc>
          <w:tcPr>
            <w:tcW w:w="1500" w:type="dxa"/>
            <w:vAlign w:val="bottom"/>
            <w:gridSpan w:val="2"/>
          </w:tcPr>
          <w:p>
            <w:pPr>
              <w:jc w:val="right"/>
              <w:ind w:right="321"/>
              <w:spacing w:after="0"/>
              <w:rPr>
                <w:sz w:val="20"/>
                <w:szCs w:val="20"/>
                <w:color w:val="auto"/>
              </w:rPr>
            </w:pPr>
            <w:r>
              <w:rPr>
                <w:rFonts w:ascii="Arial" w:cs="Arial" w:eastAsia="Arial" w:hAnsi="Arial"/>
                <w:sz w:val="20"/>
                <w:szCs w:val="20"/>
                <w:color w:val="auto"/>
              </w:rPr>
              <w:t>Estimates</w:t>
            </w:r>
          </w:p>
        </w:tc>
        <w:tc>
          <w:tcPr>
            <w:tcW w:w="1180" w:type="dxa"/>
            <w:vAlign w:val="bottom"/>
            <w:gridSpan w:val="2"/>
          </w:tcPr>
          <w:p>
            <w:pPr>
              <w:jc w:val="center"/>
              <w:ind w:right="140"/>
              <w:spacing w:after="0"/>
              <w:rPr>
                <w:sz w:val="20"/>
                <w:szCs w:val="20"/>
                <w:color w:val="auto"/>
              </w:rPr>
            </w:pPr>
            <w:r>
              <w:rPr>
                <w:rFonts w:ascii="Arial" w:cs="Arial" w:eastAsia="Arial" w:hAnsi="Arial"/>
                <w:sz w:val="20"/>
                <w:szCs w:val="20"/>
                <w:color w:val="auto"/>
                <w:w w:val="88"/>
              </w:rPr>
              <w:t>Balance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4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rPr>
              <w:t>July 29, 2005</w:t>
            </w:r>
          </w:p>
        </w:tc>
        <w:tc>
          <w:tcPr>
            <w:tcW w:w="2100" w:type="dxa"/>
            <w:vAlign w:val="bottom"/>
            <w:tcBorders>
              <w:top w:val="single" w:sz="8" w:color="auto"/>
            </w:tcBorders>
            <w:shd w:val="clear" w:color="auto" w:fill="CCEEFF"/>
          </w:tcPr>
          <w:p>
            <w:pPr>
              <w:ind w:left="1020"/>
              <w:spacing w:after="0" w:line="223" w:lineRule="exact"/>
              <w:rPr>
                <w:sz w:val="20"/>
                <w:szCs w:val="20"/>
                <w:color w:val="auto"/>
              </w:rPr>
            </w:pPr>
            <w:r>
              <w:rPr>
                <w:rFonts w:ascii="Arial" w:cs="Arial" w:eastAsia="Arial" w:hAnsi="Arial"/>
                <w:sz w:val="20"/>
                <w:szCs w:val="20"/>
                <w:color w:val="auto"/>
              </w:rPr>
              <w:t>$60,988</w:t>
            </w:r>
          </w:p>
        </w:tc>
        <w:tc>
          <w:tcPr>
            <w:tcW w:w="1360" w:type="dxa"/>
            <w:vAlign w:val="bottom"/>
            <w:tcBorders>
              <w:top w:val="single" w:sz="8" w:color="auto"/>
            </w:tcBorders>
            <w:shd w:val="clear" w:color="auto" w:fill="CCEEFF"/>
          </w:tcPr>
          <w:p>
            <w:pPr>
              <w:ind w:left="260"/>
              <w:spacing w:after="0" w:line="223" w:lineRule="exact"/>
              <w:rPr>
                <w:sz w:val="20"/>
                <w:szCs w:val="20"/>
                <w:color w:val="auto"/>
              </w:rPr>
            </w:pPr>
            <w:r>
              <w:rPr>
                <w:rFonts w:ascii="Arial" w:cs="Arial" w:eastAsia="Arial" w:hAnsi="Arial"/>
                <w:sz w:val="20"/>
                <w:szCs w:val="20"/>
                <w:color w:val="auto"/>
              </w:rPr>
              <w:t>$33,175</w:t>
            </w:r>
          </w:p>
        </w:tc>
        <w:tc>
          <w:tcPr>
            <w:tcW w:w="1280" w:type="dxa"/>
            <w:vAlign w:val="bottom"/>
            <w:tcBorders>
              <w:top w:val="single" w:sz="8" w:color="auto"/>
            </w:tcBorders>
            <w:shd w:val="clear" w:color="auto" w:fill="CCEEFF"/>
          </w:tcPr>
          <w:p>
            <w:pPr>
              <w:jc w:val="center"/>
              <w:spacing w:after="0" w:line="223" w:lineRule="exact"/>
              <w:rPr>
                <w:sz w:val="20"/>
                <w:szCs w:val="20"/>
                <w:color w:val="auto"/>
              </w:rPr>
            </w:pPr>
            <w:r>
              <w:rPr>
                <w:rFonts w:ascii="Arial" w:cs="Arial" w:eastAsia="Arial" w:hAnsi="Arial"/>
                <w:sz w:val="20"/>
                <w:szCs w:val="20"/>
                <w:color w:val="auto"/>
                <w:w w:val="91"/>
              </w:rPr>
              <w:t>$(27,257)</w:t>
            </w:r>
          </w:p>
        </w:tc>
        <w:tc>
          <w:tcPr>
            <w:tcW w:w="84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660" w:type="dxa"/>
            <w:vAlign w:val="bottom"/>
            <w:tcBorders>
              <w:top w:val="single" w:sz="8" w:color="auto"/>
            </w:tcBorders>
            <w:shd w:val="clear" w:color="auto" w:fill="CCEEFF"/>
          </w:tcPr>
          <w:p>
            <w:pPr>
              <w:jc w:val="right"/>
              <w:ind w:right="81"/>
              <w:spacing w:after="0" w:line="223" w:lineRule="exact"/>
              <w:rPr>
                <w:sz w:val="20"/>
                <w:szCs w:val="20"/>
                <w:color w:val="auto"/>
              </w:rPr>
            </w:pPr>
            <w:r>
              <w:rPr>
                <w:rFonts w:ascii="Arial" w:cs="Arial" w:eastAsia="Arial" w:hAnsi="Arial"/>
                <w:sz w:val="20"/>
                <w:szCs w:val="20"/>
                <w:color w:val="auto"/>
              </w:rPr>
              <w:t>(11)</w:t>
            </w:r>
          </w:p>
        </w:tc>
        <w:tc>
          <w:tcPr>
            <w:tcW w:w="108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$66,895</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8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500" w:type="dxa"/>
            <w:vAlign w:val="bottom"/>
            <w:gridSpan w:val="2"/>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20"/>
                <w:szCs w:val="20"/>
                <w:color w:val="auto"/>
              </w:rPr>
              <w:t>July 30, 2004</w:t>
            </w:r>
          </w:p>
        </w:tc>
        <w:tc>
          <w:tcPr>
            <w:tcW w:w="2100" w:type="dxa"/>
            <w:vAlign w:val="bottom"/>
            <w:shd w:val="clear" w:color="auto" w:fill="CCEEFF"/>
          </w:tcPr>
          <w:p>
            <w:pPr>
              <w:ind w:left="1020"/>
              <w:spacing w:after="0"/>
              <w:rPr>
                <w:sz w:val="20"/>
                <w:szCs w:val="20"/>
                <w:color w:val="auto"/>
              </w:rPr>
            </w:pPr>
            <w:r>
              <w:rPr>
                <w:rFonts w:ascii="Arial" w:cs="Arial" w:eastAsia="Arial" w:hAnsi="Arial"/>
                <w:sz w:val="20"/>
                <w:szCs w:val="20"/>
                <w:color w:val="auto"/>
              </w:rPr>
              <w:t>$59,372</w:t>
            </w:r>
          </w:p>
        </w:tc>
        <w:tc>
          <w:tcPr>
            <w:tcW w:w="1360" w:type="dxa"/>
            <w:vAlign w:val="bottom"/>
            <w:shd w:val="clear" w:color="auto" w:fill="CCEEFF"/>
          </w:tcPr>
          <w:p>
            <w:pPr>
              <w:ind w:left="260"/>
              <w:spacing w:after="0"/>
              <w:rPr>
                <w:sz w:val="20"/>
                <w:szCs w:val="20"/>
                <w:color w:val="auto"/>
              </w:rPr>
            </w:pPr>
            <w:r>
              <w:rPr>
                <w:rFonts w:ascii="Arial" w:cs="Arial" w:eastAsia="Arial" w:hAnsi="Arial"/>
                <w:sz w:val="20"/>
                <w:szCs w:val="20"/>
                <w:color w:val="auto"/>
              </w:rPr>
              <w:t>$34,066</w:t>
            </w:r>
          </w:p>
        </w:tc>
        <w:tc>
          <w:tcPr>
            <w:tcW w:w="128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1"/>
              </w:rPr>
              <w:t>$(26,128)</w:t>
            </w:r>
          </w:p>
        </w:tc>
        <w:tc>
          <w:tcPr>
            <w:tcW w:w="1500" w:type="dxa"/>
            <w:vAlign w:val="bottom"/>
            <w:gridSpan w:val="2"/>
            <w:shd w:val="clear" w:color="auto" w:fill="CCEEFF"/>
          </w:tcPr>
          <w:p>
            <w:pPr>
              <w:jc w:val="right"/>
              <w:ind w:right="81"/>
              <w:spacing w:after="0"/>
              <w:rPr>
                <w:sz w:val="20"/>
                <w:szCs w:val="20"/>
                <w:color w:val="auto"/>
              </w:rPr>
            </w:pPr>
            <w:r>
              <w:rPr>
                <w:rFonts w:ascii="Arial" w:cs="Arial" w:eastAsia="Arial" w:hAnsi="Arial"/>
                <w:sz w:val="20"/>
                <w:szCs w:val="20"/>
                <w:color w:val="auto"/>
              </w:rPr>
              <w:t>$(2,647)</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$64,663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Postretirement Benefit Plans</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the components of net periodic benefit costs: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160" w:type="dxa"/>
            <w:vAlign w:val="bottom"/>
            <w:vMerge w:val="restart"/>
          </w:tcPr>
          <w:p>
            <w:pPr>
              <w:spacing w:after="0"/>
              <w:rPr>
                <w:sz w:val="20"/>
                <w:szCs w:val="20"/>
                <w:color w:val="auto"/>
              </w:rPr>
            </w:pPr>
            <w:r>
              <w:rPr>
                <w:rFonts w:ascii="Arial" w:cs="Arial" w:eastAsia="Arial" w:hAnsi="Arial"/>
                <w:sz w:val="20"/>
                <w:szCs w:val="20"/>
                <w:color w:val="auto"/>
              </w:rPr>
              <w:t>(Dollars in thousands)</w:t>
            </w:r>
          </w:p>
        </w:tc>
        <w:tc>
          <w:tcPr>
            <w:tcW w:w="2640" w:type="dxa"/>
            <w:vAlign w:val="bottom"/>
            <w:gridSpan w:val="5"/>
          </w:tcPr>
          <w:p>
            <w:pPr>
              <w:jc w:val="right"/>
              <w:ind w:right="221"/>
              <w:spacing w:after="0"/>
              <w:rPr>
                <w:sz w:val="20"/>
                <w:szCs w:val="20"/>
                <w:color w:val="auto"/>
              </w:rPr>
            </w:pPr>
            <w:r>
              <w:rPr>
                <w:rFonts w:ascii="Arial" w:cs="Arial" w:eastAsia="Arial" w:hAnsi="Arial"/>
                <w:sz w:val="20"/>
                <w:szCs w:val="20"/>
                <w:color w:val="auto"/>
              </w:rPr>
              <w:t>Three Months Ended</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60" w:type="dxa"/>
            <w:vAlign w:val="bottom"/>
            <w:gridSpan w:val="6"/>
          </w:tcPr>
          <w:p>
            <w:pPr>
              <w:ind w:left="680"/>
              <w:spacing w:after="0"/>
              <w:rPr>
                <w:sz w:val="20"/>
                <w:szCs w:val="20"/>
                <w:color w:val="auto"/>
              </w:rPr>
            </w:pPr>
            <w:r>
              <w:rPr>
                <w:rFonts w:ascii="Arial" w:cs="Arial" w:eastAsia="Arial" w:hAnsi="Arial"/>
                <w:sz w:val="20"/>
                <w:szCs w:val="20"/>
                <w:color w:val="auto"/>
              </w:rPr>
              <w:t>Nine Months Ended</w:t>
            </w:r>
          </w:p>
        </w:tc>
        <w:tc>
          <w:tcPr>
            <w:tcW w:w="0" w:type="dxa"/>
            <w:vAlign w:val="bottom"/>
          </w:tcPr>
          <w:p>
            <w:pPr>
              <w:spacing w:after="0"/>
              <w:rPr>
                <w:sz w:val="1"/>
                <w:szCs w:val="1"/>
                <w:color w:val="auto"/>
              </w:rPr>
            </w:pPr>
          </w:p>
        </w:tc>
      </w:tr>
      <w:tr>
        <w:trPr>
          <w:trHeight w:val="206"/>
        </w:trPr>
        <w:tc>
          <w:tcPr>
            <w:tcW w:w="5160" w:type="dxa"/>
            <w:vAlign w:val="bottom"/>
            <w:vMerge w:val="continue"/>
          </w:tcPr>
          <w:p>
            <w:pPr>
              <w:spacing w:after="0"/>
              <w:rPr>
                <w:sz w:val="17"/>
                <w:szCs w:val="17"/>
                <w:color w:val="auto"/>
              </w:rPr>
            </w:pPr>
          </w:p>
        </w:tc>
        <w:tc>
          <w:tcPr>
            <w:tcW w:w="10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July 29,</w:t>
            </w:r>
          </w:p>
        </w:tc>
        <w:tc>
          <w:tcPr>
            <w:tcW w:w="3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July 30,</w:t>
            </w:r>
          </w:p>
        </w:tc>
        <w:tc>
          <w:tcPr>
            <w:tcW w:w="3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July 29,</w:t>
            </w:r>
          </w:p>
        </w:tc>
        <w:tc>
          <w:tcPr>
            <w:tcW w:w="3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261"/>
              <w:spacing w:after="0" w:line="207" w:lineRule="exact"/>
              <w:rPr>
                <w:sz w:val="20"/>
                <w:szCs w:val="20"/>
                <w:color w:val="auto"/>
              </w:rPr>
            </w:pPr>
            <w:r>
              <w:rPr>
                <w:rFonts w:ascii="Arial" w:cs="Arial" w:eastAsia="Arial" w:hAnsi="Arial"/>
                <w:sz w:val="20"/>
                <w:szCs w:val="20"/>
                <w:color w:val="auto"/>
              </w:rPr>
              <w:t>July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160" w:type="dxa"/>
            <w:vAlign w:val="bottom"/>
          </w:tcPr>
          <w:p>
            <w:pPr>
              <w:spacing w:after="0"/>
              <w:rPr>
                <w:sz w:val="21"/>
                <w:szCs w:val="21"/>
                <w:color w:val="auto"/>
              </w:rPr>
            </w:pPr>
          </w:p>
        </w:tc>
        <w:tc>
          <w:tcPr>
            <w:tcW w:w="1040" w:type="dxa"/>
            <w:vAlign w:val="bottom"/>
          </w:tcPr>
          <w:p>
            <w:pPr>
              <w:jc w:val="right"/>
              <w:ind w:right="61"/>
              <w:spacing w:after="0"/>
              <w:rPr>
                <w:sz w:val="20"/>
                <w:szCs w:val="20"/>
                <w:color w:val="auto"/>
              </w:rPr>
            </w:pPr>
            <w:r>
              <w:rPr>
                <w:rFonts w:ascii="Arial" w:cs="Arial" w:eastAsia="Arial" w:hAnsi="Arial"/>
                <w:sz w:val="20"/>
                <w:szCs w:val="20"/>
                <w:color w:val="auto"/>
              </w:rPr>
              <w:t>2005</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20"/>
                <w:szCs w:val="20"/>
                <w:color w:val="auto"/>
              </w:rPr>
              <w:t>2004</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2005</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81"/>
              <w:spacing w:after="0"/>
              <w:rPr>
                <w:sz w:val="20"/>
                <w:szCs w:val="20"/>
                <w:color w:val="auto"/>
              </w:rPr>
            </w:pPr>
            <w:r>
              <w:rPr>
                <w:rFonts w:ascii="Arial" w:cs="Arial" w:eastAsia="Arial" w:hAnsi="Arial"/>
                <w:sz w:val="20"/>
                <w:szCs w:val="20"/>
                <w:color w:val="auto"/>
              </w:rPr>
              <w:t>2004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Service cost</w:t>
            </w:r>
          </w:p>
        </w:tc>
        <w:tc>
          <w:tcPr>
            <w:tcW w:w="1040" w:type="dxa"/>
            <w:vAlign w:val="bottom"/>
            <w:tcBorders>
              <w:top w:val="single" w:sz="8" w:color="auto"/>
            </w:tcBorders>
            <w:shd w:val="clear" w:color="auto" w:fill="CCEEFF"/>
          </w:tcPr>
          <w:p>
            <w:pPr>
              <w:jc w:val="right"/>
              <w:ind w:right="841"/>
              <w:spacing w:after="0" w:line="223" w:lineRule="exact"/>
              <w:rPr>
                <w:sz w:val="20"/>
                <w:szCs w:val="20"/>
                <w:color w:val="auto"/>
              </w:rPr>
            </w:pPr>
            <w:r>
              <w:rPr>
                <w:rFonts w:ascii="Arial" w:cs="Arial" w:eastAsia="Arial" w:hAnsi="Arial"/>
                <w:sz w:val="20"/>
                <w:szCs w:val="20"/>
                <w:color w:val="auto"/>
                <w:w w:val="71"/>
              </w:rPr>
              <w:t>$</w:t>
            </w:r>
          </w:p>
        </w:tc>
        <w:tc>
          <w:tcPr>
            <w:tcW w:w="3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95"/>
              </w:rPr>
              <w:t>132</w:t>
            </w: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41"/>
              <w:spacing w:after="0" w:line="223" w:lineRule="exact"/>
              <w:rPr>
                <w:sz w:val="20"/>
                <w:szCs w:val="20"/>
                <w:color w:val="auto"/>
              </w:rPr>
            </w:pPr>
            <w:r>
              <w:rPr>
                <w:rFonts w:ascii="Arial" w:cs="Arial" w:eastAsia="Arial" w:hAnsi="Arial"/>
                <w:sz w:val="20"/>
                <w:szCs w:val="20"/>
                <w:color w:val="auto"/>
                <w:w w:val="71"/>
              </w:rPr>
              <w:t>$</w:t>
            </w:r>
          </w:p>
        </w:tc>
        <w:tc>
          <w:tcPr>
            <w:tcW w:w="3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95"/>
              </w:rPr>
              <w:t>237</w:t>
            </w:r>
          </w:p>
        </w:tc>
        <w:tc>
          <w:tcPr>
            <w:tcW w:w="2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21"/>
              <w:spacing w:after="0" w:line="223" w:lineRule="exact"/>
              <w:rPr>
                <w:sz w:val="20"/>
                <w:szCs w:val="20"/>
                <w:color w:val="auto"/>
              </w:rPr>
            </w:pPr>
            <w:r>
              <w:rPr>
                <w:rFonts w:ascii="Arial" w:cs="Arial" w:eastAsia="Arial" w:hAnsi="Arial"/>
                <w:sz w:val="20"/>
                <w:szCs w:val="20"/>
                <w:color w:val="auto"/>
                <w:w w:val="71"/>
              </w:rPr>
              <w:t>$</w:t>
            </w:r>
          </w:p>
        </w:tc>
        <w:tc>
          <w:tcPr>
            <w:tcW w:w="3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394</w:t>
            </w:r>
          </w:p>
        </w:tc>
        <w:tc>
          <w:tcPr>
            <w:tcW w:w="2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712</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Interest cost</w:t>
            </w:r>
          </w:p>
        </w:tc>
        <w:tc>
          <w:tcPr>
            <w:tcW w:w="10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20"/>
                <w:szCs w:val="20"/>
                <w:color w:val="auto"/>
                <w:w w:val="95"/>
              </w:rPr>
              <w:t>127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20"/>
                <w:szCs w:val="20"/>
                <w:color w:val="auto"/>
                <w:w w:val="95"/>
              </w:rPr>
              <w:t>218</w:t>
            </w:r>
          </w:p>
        </w:tc>
        <w:tc>
          <w:tcPr>
            <w:tcW w:w="1020" w:type="dxa"/>
            <w:vAlign w:val="bottom"/>
          </w:tcPr>
          <w:p>
            <w:pPr>
              <w:spacing w:after="0"/>
              <w:rPr>
                <w:sz w:val="19"/>
                <w:szCs w:val="19"/>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20"/>
                <w:szCs w:val="20"/>
                <w:color w:val="auto"/>
              </w:rPr>
              <w:t>383</w:t>
            </w:r>
          </w:p>
        </w:tc>
        <w:tc>
          <w:tcPr>
            <w:tcW w:w="2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20"/>
                <w:szCs w:val="20"/>
                <w:color w:val="auto"/>
              </w:rPr>
              <w:t>654</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spacing w:after="0"/>
              <w:rPr>
                <w:sz w:val="20"/>
                <w:szCs w:val="20"/>
                <w:color w:val="auto"/>
              </w:rPr>
            </w:pPr>
            <w:r>
              <w:rPr>
                <w:rFonts w:ascii="Arial" w:cs="Arial" w:eastAsia="Arial" w:hAnsi="Arial"/>
                <w:sz w:val="20"/>
                <w:szCs w:val="20"/>
                <w:color w:val="auto"/>
              </w:rPr>
              <w:t>Prior service cost</w:t>
            </w:r>
          </w:p>
        </w:tc>
        <w:tc>
          <w:tcPr>
            <w:tcW w:w="10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(49)</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10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w w:val="89"/>
              </w:rPr>
              <w:t>(145)</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Amortization of losses</w:t>
            </w:r>
          </w:p>
        </w:tc>
        <w:tc>
          <w:tcPr>
            <w:tcW w:w="10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20"/>
                <w:szCs w:val="20"/>
                <w:color w:val="auto"/>
              </w:rPr>
              <w:t>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20"/>
                <w:szCs w:val="20"/>
                <w:color w:val="auto"/>
                <w:w w:val="95"/>
              </w:rPr>
              <w:t>178</w:t>
            </w:r>
          </w:p>
        </w:tc>
        <w:tc>
          <w:tcPr>
            <w:tcW w:w="1020" w:type="dxa"/>
            <w:vAlign w:val="bottom"/>
          </w:tcPr>
          <w:p>
            <w:pPr>
              <w:spacing w:after="0"/>
              <w:rPr>
                <w:sz w:val="19"/>
                <w:szCs w:val="19"/>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20"/>
                <w:szCs w:val="20"/>
                <w:color w:val="auto"/>
              </w:rPr>
              <w:t>250</w:t>
            </w:r>
          </w:p>
        </w:tc>
        <w:tc>
          <w:tcPr>
            <w:tcW w:w="2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20"/>
                <w:szCs w:val="20"/>
                <w:color w:val="auto"/>
              </w:rPr>
              <w:t>534</w:t>
            </w:r>
          </w:p>
        </w:tc>
        <w:tc>
          <w:tcPr>
            <w:tcW w:w="0" w:type="dxa"/>
            <w:vAlign w:val="bottom"/>
          </w:tcPr>
          <w:p>
            <w:pPr>
              <w:spacing w:after="0"/>
              <w:rPr>
                <w:sz w:val="1"/>
                <w:szCs w:val="1"/>
                <w:color w:val="auto"/>
              </w:rPr>
            </w:pPr>
          </w:p>
        </w:tc>
      </w:tr>
      <w:tr>
        <w:trPr>
          <w:trHeight w:val="230"/>
        </w:trPr>
        <w:tc>
          <w:tcPr>
            <w:tcW w:w="5160" w:type="dxa"/>
            <w:vAlign w:val="bottom"/>
            <w:tcBorders>
              <w:top w:val="single" w:sz="8" w:color="CCEEFF"/>
              <w:bottom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Net expense</w:t>
            </w:r>
          </w:p>
        </w:tc>
        <w:tc>
          <w:tcPr>
            <w:tcW w:w="1040" w:type="dxa"/>
            <w:vAlign w:val="bottom"/>
            <w:tcBorders>
              <w:top w:val="single" w:sz="8" w:color="auto"/>
              <w:bottom w:val="single" w:sz="8" w:color="auto"/>
            </w:tcBorders>
            <w:shd w:val="clear" w:color="auto" w:fill="CCEEFF"/>
          </w:tcPr>
          <w:p>
            <w:pPr>
              <w:jc w:val="right"/>
              <w:ind w:right="841"/>
              <w:spacing w:after="0" w:line="223" w:lineRule="exact"/>
              <w:rPr>
                <w:sz w:val="20"/>
                <w:szCs w:val="20"/>
                <w:color w:val="auto"/>
              </w:rPr>
            </w:pPr>
            <w:r>
              <w:rPr>
                <w:rFonts w:ascii="Arial" w:cs="Arial" w:eastAsia="Arial" w:hAnsi="Arial"/>
                <w:sz w:val="20"/>
                <w:szCs w:val="20"/>
                <w:color w:val="auto"/>
                <w:w w:val="71"/>
              </w:rPr>
              <w:t>$</w:t>
            </w:r>
          </w:p>
        </w:tc>
        <w:tc>
          <w:tcPr>
            <w:tcW w:w="34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95"/>
              </w:rPr>
              <w:t>294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ind w:right="841"/>
              <w:spacing w:after="0" w:line="223" w:lineRule="exact"/>
              <w:rPr>
                <w:sz w:val="20"/>
                <w:szCs w:val="20"/>
                <w:color w:val="auto"/>
              </w:rPr>
            </w:pPr>
            <w:r>
              <w:rPr>
                <w:rFonts w:ascii="Arial" w:cs="Arial" w:eastAsia="Arial" w:hAnsi="Arial"/>
                <w:sz w:val="20"/>
                <w:szCs w:val="20"/>
                <w:color w:val="auto"/>
                <w:w w:val="71"/>
              </w:rPr>
              <w:t>$</w:t>
            </w:r>
          </w:p>
        </w:tc>
        <w:tc>
          <w:tcPr>
            <w:tcW w:w="34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95"/>
              </w:rPr>
              <w:t>633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ind w:right="821"/>
              <w:spacing w:after="0" w:line="223" w:lineRule="exact"/>
              <w:rPr>
                <w:sz w:val="20"/>
                <w:szCs w:val="20"/>
                <w:color w:val="auto"/>
              </w:rPr>
            </w:pPr>
            <w:r>
              <w:rPr>
                <w:rFonts w:ascii="Arial" w:cs="Arial" w:eastAsia="Arial" w:hAnsi="Arial"/>
                <w:sz w:val="20"/>
                <w:szCs w:val="20"/>
                <w:color w:val="auto"/>
                <w:w w:val="71"/>
              </w:rPr>
              <w:t>$</w:t>
            </w:r>
          </w:p>
        </w:tc>
        <w:tc>
          <w:tcPr>
            <w:tcW w:w="3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882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1,900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As of July 29, 2005, approximately $404,000 of contributions had been made. The company presently expects to contribute a total of $550,000 to its postretirement health-care benefit plan in fiscal 2005.</w:t>
      </w:r>
    </w:p>
    <w:p>
      <w:pPr>
        <w:sectPr>
          <w:pgSz w:w="11900" w:h="16838" w:orient="portrait"/>
          <w:cols w:equalWidth="0" w:num="1">
            <w:col w:w="11420"/>
          </w:cols>
          <w:pgMar w:left="240" w:top="342" w:right="239" w:bottom="0" w:gutter="0" w:footer="0" w:header="0"/>
        </w:sectPr>
      </w:pPr>
    </w:p>
    <w:bookmarkStart w:id="8" w:name="page9"/>
    <w:bookmarkEnd w:id="8"/>
    <w:p>
      <w:pPr>
        <w:spacing w:after="0" w:line="121" w:lineRule="exact"/>
        <w:rPr>
          <w:sz w:val="20"/>
          <w:szCs w:val="20"/>
          <w:color w:val="auto"/>
        </w:rPr>
      </w:pPr>
    </w:p>
    <w:p>
      <w:pPr>
        <w:ind w:right="700" w:firstLine="324"/>
        <w:spacing w:after="0" w:line="272" w:lineRule="auto"/>
        <w:rPr>
          <w:sz w:val="20"/>
          <w:szCs w:val="20"/>
          <w:color w:val="auto"/>
        </w:rPr>
      </w:pPr>
      <w:r>
        <w:rPr>
          <w:rFonts w:ascii="Arial" w:cs="Arial" w:eastAsia="Arial" w:hAnsi="Arial"/>
          <w:sz w:val="18"/>
          <w:szCs w:val="18"/>
          <w:color w:val="auto"/>
        </w:rPr>
        <w:t>The company maintains The Toro Company Investment, Savings and Employee Stock Ownership Plan for eligible employees. The company’s expenses under this plan were $4.0 million and $11.7 million for the third quarter and year-to-date period of fiscal 2005, respectively, and $3.6 million and $10.2 million for the third quarter and year-to-date period of fiscal 2004, respectively.</w:t>
      </w:r>
    </w:p>
    <w:p>
      <w:pPr>
        <w:spacing w:after="0" w:line="2" w:lineRule="exact"/>
        <w:rPr>
          <w:sz w:val="20"/>
          <w:szCs w:val="20"/>
          <w:color w:val="auto"/>
        </w:rPr>
      </w:pPr>
    </w:p>
    <w:p>
      <w:pPr>
        <w:ind w:right="420" w:firstLine="324"/>
        <w:spacing w:after="0" w:line="269" w:lineRule="auto"/>
        <w:rPr>
          <w:sz w:val="20"/>
          <w:szCs w:val="20"/>
          <w:color w:val="auto"/>
        </w:rPr>
      </w:pPr>
      <w:r>
        <w:rPr>
          <w:rFonts w:ascii="Arial" w:cs="Arial" w:eastAsia="Arial" w:hAnsi="Arial"/>
          <w:sz w:val="19"/>
          <w:szCs w:val="19"/>
          <w:color w:val="auto"/>
        </w:rPr>
        <w:t>The company assumed a liability of approximately $5.4 million for Hayter’s defined benefit pension plan. Estimated contributions and expense for fiscal 2005 for the plan are deemed immaterial to the company’s consolidated financial results.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Derivative Instruments and Hedging Activities</w:t>
      </w:r>
    </w:p>
    <w:p>
      <w:pPr>
        <w:spacing w:after="0" w:line="122" w:lineRule="exact"/>
        <w:rPr>
          <w:sz w:val="20"/>
          <w:szCs w:val="20"/>
          <w:color w:val="auto"/>
        </w:rPr>
      </w:pPr>
    </w:p>
    <w:p>
      <w:pPr>
        <w:ind w:right="340"/>
        <w:spacing w:after="0" w:line="269" w:lineRule="auto"/>
        <w:rPr>
          <w:sz w:val="20"/>
          <w:szCs w:val="20"/>
          <w:color w:val="auto"/>
        </w:rPr>
      </w:pPr>
      <w:r>
        <w:rPr>
          <w:rFonts w:ascii="Arial" w:cs="Arial" w:eastAsia="Arial" w:hAnsi="Arial"/>
          <w:sz w:val="18"/>
          <w:szCs w:val="18"/>
          <w:color w:val="auto"/>
        </w:rPr>
        <w:t>The company uses derivative instruments to assist in the management of exposure to currency exchange rates. The company uses derivative instruments only to limit underlying exposure to currency fluctuations, and not for trading purposes. The company documents relationships between hedging instruments and the hedged items, as well as its risk-management objective and strategy for undertaking various hedge transactions. The company assesses, both at the hedge’s inception and on an ongoing basis, whether the derivatives that are used in hedging transactions are highly effective in offsetting changes in cash flows of the hedged item.</w:t>
      </w:r>
    </w:p>
    <w:p>
      <w:pPr>
        <w:spacing w:after="0" w:line="4"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color w:val="auto"/>
        </w:rPr>
        <w:t>The company enters into foreign currency exchange contracts to hedge the risk from forecasted settlements in local currencies of trade sales and purchases. These contracts are designated as cash flow hedges with the fair value recorded in accumulated other comprehensive income (loss) and as a hedge asset or liability in prepaid expenses or accrued liabilities, as applicable. Once the forecasted transaction has been recognized as a sale or inventory purchase and a related asset or liability recorded in the balance sheet, the related fair value of the derivative hedge contract is reclassified from accumulated other comprehensive income (loss) into earnings. During the three and nine months ended July 29, 2005, the amount of gains (losses) reclassified to earnings for such cash flow hedges was $0.2 million and $(2.0) million, respectively. For the nine months ended July 29, 2005, the losses treated as a reduction of net sales for contracts to hedge trade sales were $3.0 million and the gains treated as a reduction of cost of sales for contracts to hedge inventory purchases were $1.0 million. As of July 29, 2005, the notional amount of such contracts outstanding was $31.6 million. The unrecognized after-tax gain portion of the fair value of the contracts recorded in accumulated other comprehensive gain as of July 29, 2005 was $0.4 million.</w:t>
      </w:r>
    </w:p>
    <w:p>
      <w:pPr>
        <w:spacing w:after="0" w:line="2" w:lineRule="exact"/>
        <w:rPr>
          <w:sz w:val="20"/>
          <w:szCs w:val="20"/>
          <w:color w:val="auto"/>
        </w:rPr>
      </w:pPr>
    </w:p>
    <w:p>
      <w:pPr>
        <w:ind w:right="80" w:firstLine="324"/>
        <w:spacing w:after="0" w:line="241" w:lineRule="auto"/>
        <w:rPr>
          <w:sz w:val="20"/>
          <w:szCs w:val="20"/>
          <w:color w:val="auto"/>
        </w:rPr>
      </w:pPr>
      <w:r>
        <w:rPr>
          <w:rFonts w:ascii="Arial" w:cs="Arial" w:eastAsia="Arial" w:hAnsi="Arial"/>
          <w:sz w:val="20"/>
          <w:szCs w:val="20"/>
          <w:color w:val="auto"/>
        </w:rPr>
        <w:t>The company also enters into other foreign currency exchange contracts. These contracts are intended to hedge intercompany financing transactions and other activities and are not designed as hedging instruments under the accounting criteria of SFAS No. 133; therefore, changes in fair value of these instruments are recorded in other income, net.</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Contingencies</w:t>
      </w:r>
    </w:p>
    <w:p>
      <w:pPr>
        <w:spacing w:after="0" w:line="122"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On June 3, 2004, eight individuals who claim to have purchased lawnmowers in Illinois and Minnesota filed a lawsuit (Ronnie Phillips et al. v. Sears Roebuck Corporation et. al., No.04-L-334 (20th Judicial Circuit, St., Clair County, IL)) against the company and other defendants alleging that the horsepower labels on the products the plaintiffs purchased were inaccurate. The plaintiffs seek certification of a class of all persons in the United States who, beginning January 1, 1995 through the present, purchased a lawnmower containing a two stroke or four stroke gas combustible engine up to 20 horsepower that was manufactured or sold by the defendants. The complaint seeks an injunction, unspecified compensatory and punitive damages, and attorneys’ fees. No answers have been entered in the case, and there has been no formal discovery. A number of procedural motions have been filed by the defendants, but have not yet been decided. On April 20, 2005, the court issued a stay of discovery and procedural matters to permit the parties to engage in settlement discussions. Management continues to evaluate this lawsuit. The company is unable to reasonably estimate the amount or range of potential loss that could result from this litigation, and therefore has not established a reserve for any potential loss in connection with this lawsuit. The company is also unable to assess at this time whether the lawsuit will have a material adverse effect on its consolidated operating results or financial condition.</w:t>
      </w:r>
    </w:p>
    <w:p>
      <w:pPr>
        <w:spacing w:after="0" w:line="9" w:lineRule="exact"/>
        <w:rPr>
          <w:sz w:val="20"/>
          <w:szCs w:val="20"/>
          <w:color w:val="auto"/>
        </w:rPr>
      </w:pPr>
    </w:p>
    <w:p>
      <w:pPr>
        <w:ind w:firstLine="324"/>
        <w:spacing w:after="0"/>
        <w:rPr>
          <w:sz w:val="20"/>
          <w:szCs w:val="20"/>
          <w:color w:val="auto"/>
        </w:rPr>
      </w:pPr>
      <w:r>
        <w:rPr>
          <w:rFonts w:ascii="Arial" w:cs="Arial" w:eastAsia="Arial" w:hAnsi="Arial"/>
          <w:sz w:val="20"/>
          <w:szCs w:val="20"/>
          <w:color w:val="auto"/>
        </w:rPr>
        <w:t>In the ordinary course of business, in addition to that described above, the company may become liable with respect to pending and threatened claims or litigation for product liability, tax, patent, environmental, and other matters. While the ultimate results of current claims, investigations, and lawsuits involving the company are unknown at this time, management believes that, except for the lawsuit discussed above, the outcomes of these cases are unlikely to have a material adverse effect on the consolidated operating results or financial condition of the company.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260" w:right="1060"/>
        <w:spacing w:after="0" w:line="258" w:lineRule="auto"/>
        <w:rPr>
          <w:sz w:val="20"/>
          <w:szCs w:val="20"/>
          <w:color w:val="auto"/>
        </w:rPr>
      </w:pPr>
      <w:r>
        <w:rPr>
          <w:rFonts w:ascii="Arial" w:cs="Arial" w:eastAsia="Arial" w:hAnsi="Arial"/>
          <w:sz w:val="23"/>
          <w:szCs w:val="23"/>
          <w:b w:val="1"/>
          <w:bCs w:val="1"/>
          <w:color w:val="auto"/>
        </w:rPr>
        <w:t>Item 2. MANAGEMENT’S DISCUSSION AND ANALYSIS OF FINANCIAL CONDITION AND RESULTS OF OPERATIONS</w:t>
      </w:r>
    </w:p>
    <w:p>
      <w:pPr>
        <w:spacing w:after="0"/>
        <w:rPr>
          <w:sz w:val="20"/>
          <w:szCs w:val="20"/>
          <w:color w:val="auto"/>
        </w:rPr>
      </w:pPr>
      <w:r>
        <w:rPr>
          <w:rFonts w:ascii="Arial" w:cs="Arial" w:eastAsia="Arial" w:hAnsi="Arial"/>
          <w:sz w:val="22"/>
          <w:szCs w:val="22"/>
          <w:b w:val="1"/>
          <w:bCs w:val="1"/>
          <w:color w:val="auto"/>
        </w:rPr>
        <w:t>Nature of Operations</w:t>
      </w:r>
    </w:p>
    <w:p>
      <w:pPr>
        <w:spacing w:after="0" w:line="98" w:lineRule="exact"/>
        <w:rPr>
          <w:sz w:val="20"/>
          <w:szCs w:val="20"/>
          <w:color w:val="auto"/>
        </w:rPr>
      </w:pPr>
    </w:p>
    <w:p>
      <w:pPr>
        <w:ind w:right="80"/>
        <w:spacing w:after="0" w:line="256" w:lineRule="auto"/>
        <w:rPr>
          <w:sz w:val="20"/>
          <w:szCs w:val="20"/>
          <w:color w:val="auto"/>
        </w:rPr>
      </w:pPr>
      <w:r>
        <w:rPr>
          <w:rFonts w:ascii="Arial" w:cs="Arial" w:eastAsia="Arial" w:hAnsi="Arial"/>
          <w:sz w:val="19"/>
          <w:szCs w:val="19"/>
          <w:color w:val="auto"/>
        </w:rPr>
        <w:t>The Toro Company is in the business of designing, manufacturing, and marketing professional turf maintenance equipment and services, turf and agricultural irrigation systems, landscaping equipment, and residential yard products worldwide. Our products are sold through a network of distributors, dealers, hardware retailers, home centers, mass retailers, and over the Internet, mainly through Internet retailers. Our businesses are organized into two segments: professional and residential. A third segment called “other” consists of domestic distribution companies and corporate activities. Our emphasis is to provide well-built, dependable, and innovative products supported by an extensive service network. A significant portion of our revenues has historically been attributable to new and enhanced products. As we continue with our “6 + 8” profitability and growth initiative, we expect to invest in growth strategies at higher than historical levels. The goals of this initiative are to achieve a consistent after-tax return on net sales of 6 percent or more and grow revenues at an average rate of 8 percent or more over the three-year period ending October 31, 2006.</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ectPr>
          <w:pgSz w:w="11900" w:h="16959" w:orient="portrait"/>
          <w:cols w:equalWidth="0" w:num="1">
            <w:col w:w="11420"/>
          </w:cols>
          <w:pgMar w:left="240" w:top="121" w:right="239" w:bottom="0" w:gutter="0" w:footer="0" w:header="0"/>
        </w:sectPr>
      </w:pPr>
    </w:p>
    <w:p>
      <w:pPr>
        <w:spacing w:after="0" w:line="98" w:lineRule="exact"/>
        <w:rPr>
          <w:sz w:val="20"/>
          <w:szCs w:val="20"/>
          <w:color w:val="auto"/>
        </w:rPr>
      </w:pPr>
    </w:p>
    <w:p>
      <w:pPr>
        <w:ind w:right="440"/>
        <w:spacing w:after="0" w:line="386" w:lineRule="auto"/>
        <w:rPr>
          <w:sz w:val="20"/>
          <w:szCs w:val="20"/>
          <w:color w:val="auto"/>
        </w:rPr>
      </w:pPr>
      <w:r>
        <w:rPr>
          <w:rFonts w:ascii="Arial" w:cs="Arial" w:eastAsia="Arial" w:hAnsi="Arial"/>
          <w:sz w:val="16"/>
          <w:szCs w:val="16"/>
          <w:color w:val="auto"/>
        </w:rPr>
        <w:t>Third quarter fiscal 2005 net sales increased 2.8 percent and net earnings slightly increased by 0.5 percent compared to the third quarter of fiscal 2004. Fiscal 2005 third quarter diluted net earnings per share increased 12.1 percent compared to the third quarter of fiscal 2004 as a</w:t>
      </w:r>
    </w:p>
    <w:p>
      <w:pPr>
        <w:sectPr>
          <w:pgSz w:w="11900" w:h="16959" w:orient="portrait"/>
          <w:cols w:equalWidth="0" w:num="1">
            <w:col w:w="11420"/>
          </w:cols>
          <w:pgMar w:left="240" w:top="121" w:right="239" w:bottom="0" w:gutter="0" w:footer="0" w:header="0"/>
          <w:type w:val="continuous"/>
        </w:sectPr>
      </w:pPr>
    </w:p>
    <w:bookmarkStart w:id="9" w:name="page10"/>
    <w:bookmarkEnd w:id="9"/>
    <w:p>
      <w:pPr>
        <w:spacing w:after="0" w:line="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result of our share repurchase program. Year-to-date net earnings for fiscal 2005 rose 12.3 percent compared to the same period last fiscal year on a year-to-date net sales growth rate of 9.6 percent. Factoring out the effect of our southeastern-based distributorship sold in October 2004, our southwestern-based distributorship sold in November 2004, and the additional sales from our acquisition of Hayter Limited (Hayter), net sales were up 2.0 percent and 9.9 percent for the third quarter and year-to-date period of fiscal 2005, respectively, from the same comparable periods in the prior fiscal year. International net sales increased 33.6 percent for the third quarter and 32.6 percent for the year-to-date period of fiscal 2005 compared to the same periods in the prior fiscal year as a result of the following factors: (i) additional sales from Hayter; (ii) strong demand and introduction of new products, particularly in the golf market; (iii) select price increases and favorable currency rates; and</w:t>
      </w:r>
    </w:p>
    <w:p>
      <w:pPr>
        <w:spacing w:after="0" w:line="4" w:lineRule="exact"/>
        <w:rPr>
          <w:sz w:val="20"/>
          <w:szCs w:val="20"/>
          <w:color w:val="auto"/>
        </w:rPr>
      </w:pPr>
    </w:p>
    <w:p>
      <w:pPr>
        <w:ind w:right="20" w:firstLine="8"/>
        <w:spacing w:after="0" w:line="266"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shipments in emerging markets. Professional segment net sales were up as a result of new product introductions, the additional sales from Hayter, and select price increases. Residential segment net sales also increased as we introduced new products with expanded placement at key retailers and realized the additional sales from Hayter. As part of our “6 + 8” initiative, we are investing in growth strategies directed at underserved markets, such as revitalizing the Lawn-Boy brand with new products and accelerating our growth in international markets, as evidenced by our acquisition of Hayter. Gross margins are expected to continue to be hampered by higher commodity prices; however, we continue to work to mitigate the impact of higher commodity costs through internal cost reduction efforts from past and continuing initiatives driven by our emphasis on lean manufacturing methods and select price increases. Our financial condition remains strong, which has allowed us to pay a quarterly cash dividend in the third quarter of fiscal 2005 that was double the quarterly cash dividend we paid in the third quarter of fiscal 2004, and has allowed us to continue to repurchase shares of our common stock.</w:t>
      </w:r>
    </w:p>
    <w:p>
      <w:pPr>
        <w:spacing w:after="0" w:line="1" w:lineRule="exact"/>
        <w:rPr>
          <w:rFonts w:ascii="Arial" w:cs="Arial" w:eastAsia="Arial" w:hAnsi="Arial"/>
          <w:sz w:val="18"/>
          <w:szCs w:val="18"/>
          <w:color w:val="auto"/>
        </w:rPr>
      </w:pPr>
    </w:p>
    <w:p>
      <w:pPr>
        <w:ind w:firstLine="324"/>
        <w:spacing w:after="0" w:line="254" w:lineRule="auto"/>
        <w:rPr>
          <w:rFonts w:ascii="Arial" w:cs="Arial" w:eastAsia="Arial" w:hAnsi="Arial"/>
          <w:sz w:val="18"/>
          <w:szCs w:val="18"/>
          <w:color w:val="auto"/>
        </w:rPr>
      </w:pPr>
      <w:r>
        <w:rPr>
          <w:rFonts w:ascii="Arial" w:cs="Arial" w:eastAsia="Arial" w:hAnsi="Arial"/>
          <w:sz w:val="19"/>
          <w:szCs w:val="19"/>
          <w:color w:val="auto"/>
        </w:rPr>
        <w:t>Although our fiscal 2005 third quarter results were not as strong as the first half of the fiscal year, we are optimistic that our results for the full fiscal year of 2005 will meet our expectations. Net sales are currently expected to grow at an annual rate of 7 to 9 percent in fiscal 2005 and diluted net earnings per share are currently expected to grow at an annual rate of 16 to 18 percent over fiscal 2004, which includes the impact of adopting SFAS No. 123R as of the beginning of fiscal 2005 and the acquisition of Hayter during the second quarter of fiscal 2005. We continue, however, to keep a cautionary eye on the world economies, weather, field inventory levels, retail demand, commodity prices, competition, and other factors identified below under the heading “Forward-Looking Information,” which could cause our actual results to differ from our outlook. In particular, we recognize that unfavorable weather conditions in our key geographic markets for landscape contractor equipment had an adverse effect on our third quarter fiscal 2005 retail demand, which has in turn resulted in higher than anticipated field inventory levels, which could have a negative impact on our fourth quarter fiscal 2005 net sales. We expect these higher field inventory levels to return to our anticipated levels by fiscal year end.</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Earnings</w:t>
      </w:r>
    </w:p>
    <w:p>
      <w:pPr>
        <w:spacing w:after="0" w:line="122" w:lineRule="exact"/>
        <w:rPr>
          <w:sz w:val="20"/>
          <w:szCs w:val="20"/>
          <w:color w:val="auto"/>
        </w:rPr>
      </w:pPr>
    </w:p>
    <w:p>
      <w:pPr>
        <w:ind w:right="140"/>
        <w:spacing w:after="0" w:line="244" w:lineRule="auto"/>
        <w:rPr>
          <w:sz w:val="20"/>
          <w:szCs w:val="20"/>
          <w:color w:val="auto"/>
        </w:rPr>
      </w:pPr>
      <w:r>
        <w:rPr>
          <w:rFonts w:ascii="Arial" w:cs="Arial" w:eastAsia="Arial" w:hAnsi="Arial"/>
          <w:sz w:val="20"/>
          <w:szCs w:val="20"/>
          <w:color w:val="auto"/>
        </w:rPr>
        <w:t>Net earnings for the third quarter of fiscal 2005 were $34.4 million or $0.74 per diluted share compared to $34.2 million or $0.66 per diluted share for the third quarter of fiscal 2004, a net earnings increase of 0.5 percent. Year-to-date net earnings in fiscal 2005 were $107.5 million or $2.29 per diluted share compared to $95.7 million or $1.84 per diluted share for the same period in fiscal 2004, a net earnings increase of 12.3 percent. The primary factors contributing to the year-to-date net earnings increase were higher sales volumes, lower incentive compensation expense, and improved leveraging of other selling, general,</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20"/>
        <w:spacing w:after="0" w:line="243" w:lineRule="auto"/>
        <w:rPr>
          <w:sz w:val="20"/>
          <w:szCs w:val="20"/>
          <w:color w:val="auto"/>
        </w:rPr>
      </w:pPr>
      <w:r>
        <w:rPr>
          <w:rFonts w:ascii="Arial" w:cs="Arial" w:eastAsia="Arial" w:hAnsi="Arial"/>
          <w:sz w:val="20"/>
          <w:szCs w:val="20"/>
          <w:color w:val="auto"/>
        </w:rPr>
        <w:t>and administrative expense, somewhat offset by lower gross profit as a percentage of net sales and higher interest expense. In addition, third quarter and year-to-date period of fiscal 2005 diluted net earnings per share were benefited by approximately $0.07 per share and $0.22 per share, respectively, compared to the same periods in fiscal 2004 as a result of reduced shares outstanding due to our significant Toro common stock repurchases during the past fourteen months.</w:t>
      </w:r>
    </w:p>
    <w:p>
      <w:pPr>
        <w:spacing w:after="0" w:line="3" w:lineRule="exact"/>
        <w:rPr>
          <w:sz w:val="20"/>
          <w:szCs w:val="20"/>
          <w:color w:val="auto"/>
        </w:rPr>
      </w:pPr>
    </w:p>
    <w:p>
      <w:pPr>
        <w:ind w:right="140" w:firstLine="324"/>
        <w:spacing w:after="0" w:line="252" w:lineRule="auto"/>
        <w:rPr>
          <w:sz w:val="20"/>
          <w:szCs w:val="20"/>
          <w:color w:val="auto"/>
        </w:rPr>
      </w:pPr>
      <w:r>
        <w:rPr>
          <w:rFonts w:ascii="Arial" w:cs="Arial" w:eastAsia="Arial" w:hAnsi="Arial"/>
          <w:sz w:val="19"/>
          <w:szCs w:val="19"/>
          <w:color w:val="auto"/>
        </w:rPr>
        <w:t>Effective November 1, 2004, we adopted the provisions of SFAS No. 123R, as previously discussed. However, if we had applied the provisions of SFAS No. 123R during the third quarter and year-to-date period of fiscal 2004, diluted net earnings per share would have increased by $0.06 per share to $0.72 per share for the third quarter of fiscal 2004 and would have increased by $0.05 per share to $1.89 per share for the year-to-date period of fiscal 2004. The pro forma fiscal 2004 third quarter diluted net earnings per share increase of $0.06 per share resulted from higher incentive compensation expense recognized under the provisions of APB No. 25 for our Performance Share Plan in fiscal 2004, which was the result of the increase in Toro’s stock price during the third quarter of fiscal 2004 and increased incentive compensation expense due to improved financial performance. See note entitled “Stock-Based Compensation” to our condensed consolidated financial statements for further details.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major captions of our condensed consolidated statement of earnings as a percentage of net sales: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100" w:type="dxa"/>
            <w:vAlign w:val="bottom"/>
          </w:tcPr>
          <w:p>
            <w:pPr>
              <w:spacing w:after="0"/>
              <w:rPr>
                <w:sz w:val="21"/>
                <w:szCs w:val="21"/>
                <w:color w:val="auto"/>
              </w:rPr>
            </w:pPr>
          </w:p>
        </w:tc>
        <w:tc>
          <w:tcPr>
            <w:tcW w:w="3300" w:type="dxa"/>
            <w:vAlign w:val="bottom"/>
            <w:gridSpan w:val="4"/>
          </w:tcPr>
          <w:p>
            <w:pPr>
              <w:jc w:val="right"/>
              <w:ind w:right="981"/>
              <w:spacing w:after="0"/>
              <w:rPr>
                <w:sz w:val="20"/>
                <w:szCs w:val="20"/>
                <w:color w:val="auto"/>
              </w:rPr>
            </w:pPr>
            <w:r>
              <w:rPr>
                <w:rFonts w:ascii="Arial" w:cs="Arial" w:eastAsia="Arial" w:hAnsi="Arial"/>
                <w:sz w:val="20"/>
                <w:szCs w:val="20"/>
                <w:color w:val="auto"/>
              </w:rPr>
              <w:t>Three Months Ended</w:t>
            </w:r>
          </w:p>
        </w:tc>
        <w:tc>
          <w:tcPr>
            <w:tcW w:w="3020" w:type="dxa"/>
            <w:vAlign w:val="bottom"/>
            <w:gridSpan w:val="4"/>
          </w:tcPr>
          <w:p>
            <w:pPr>
              <w:jc w:val="right"/>
              <w:ind w:right="707"/>
              <w:spacing w:after="0"/>
              <w:rPr>
                <w:sz w:val="20"/>
                <w:szCs w:val="20"/>
                <w:color w:val="auto"/>
              </w:rPr>
            </w:pPr>
            <w:r>
              <w:rPr>
                <w:rFonts w:ascii="Arial" w:cs="Arial" w:eastAsia="Arial" w:hAnsi="Arial"/>
                <w:sz w:val="20"/>
                <w:szCs w:val="20"/>
                <w:color w:val="auto"/>
              </w:rPr>
              <w:t>Nine Months Ended</w:t>
            </w:r>
          </w:p>
        </w:tc>
      </w:tr>
      <w:tr>
        <w:trPr>
          <w:trHeight w:val="206"/>
        </w:trPr>
        <w:tc>
          <w:tcPr>
            <w:tcW w:w="5100" w:type="dxa"/>
            <w:vAlign w:val="bottom"/>
          </w:tcPr>
          <w:p>
            <w:pPr>
              <w:spacing w:after="0"/>
              <w:rPr>
                <w:sz w:val="17"/>
                <w:szCs w:val="17"/>
                <w:color w:val="auto"/>
              </w:rPr>
            </w:pPr>
          </w:p>
        </w:tc>
        <w:tc>
          <w:tcPr>
            <w:tcW w:w="1620" w:type="dxa"/>
            <w:vAlign w:val="bottom"/>
            <w:tcBorders>
              <w:top w:val="single" w:sz="8" w:color="auto"/>
            </w:tcBorders>
            <w:gridSpan w:val="2"/>
          </w:tcPr>
          <w:p>
            <w:pPr>
              <w:jc w:val="right"/>
              <w:ind w:right="601"/>
              <w:spacing w:after="0" w:line="207" w:lineRule="exact"/>
              <w:rPr>
                <w:sz w:val="20"/>
                <w:szCs w:val="20"/>
                <w:color w:val="auto"/>
              </w:rPr>
            </w:pPr>
            <w:r>
              <w:rPr>
                <w:rFonts w:ascii="Arial" w:cs="Arial" w:eastAsia="Arial" w:hAnsi="Arial"/>
                <w:sz w:val="20"/>
                <w:szCs w:val="20"/>
                <w:color w:val="auto"/>
              </w:rPr>
              <w:t>July 29,</w:t>
            </w:r>
          </w:p>
        </w:tc>
        <w:tc>
          <w:tcPr>
            <w:tcW w:w="1160" w:type="dxa"/>
            <w:vAlign w:val="bottom"/>
            <w:tcBorders>
              <w:top w:val="single" w:sz="8" w:color="auto"/>
            </w:tcBorders>
          </w:tcPr>
          <w:p>
            <w:pPr>
              <w:jc w:val="right"/>
              <w:ind w:right="161"/>
              <w:spacing w:after="0" w:line="207" w:lineRule="exact"/>
              <w:rPr>
                <w:sz w:val="20"/>
                <w:szCs w:val="20"/>
                <w:color w:val="auto"/>
              </w:rPr>
            </w:pPr>
            <w:r>
              <w:rPr>
                <w:rFonts w:ascii="Arial" w:cs="Arial" w:eastAsia="Arial" w:hAnsi="Arial"/>
                <w:sz w:val="20"/>
                <w:szCs w:val="20"/>
                <w:color w:val="auto"/>
              </w:rPr>
              <w:t>July 30,</w:t>
            </w:r>
          </w:p>
        </w:tc>
        <w:tc>
          <w:tcPr>
            <w:tcW w:w="520" w:type="dxa"/>
            <w:vAlign w:val="bottom"/>
          </w:tcPr>
          <w:p>
            <w:pPr>
              <w:spacing w:after="0"/>
              <w:rPr>
                <w:sz w:val="17"/>
                <w:szCs w:val="17"/>
                <w:color w:val="auto"/>
              </w:rPr>
            </w:pPr>
          </w:p>
        </w:tc>
        <w:tc>
          <w:tcPr>
            <w:tcW w:w="1700" w:type="dxa"/>
            <w:vAlign w:val="bottom"/>
            <w:tcBorders>
              <w:top w:val="single" w:sz="8" w:color="auto"/>
            </w:tcBorders>
            <w:gridSpan w:val="2"/>
          </w:tcPr>
          <w:p>
            <w:pPr>
              <w:jc w:val="right"/>
              <w:ind w:right="701"/>
              <w:spacing w:after="0" w:line="207" w:lineRule="exact"/>
              <w:rPr>
                <w:sz w:val="20"/>
                <w:szCs w:val="20"/>
                <w:color w:val="auto"/>
              </w:rPr>
            </w:pPr>
            <w:r>
              <w:rPr>
                <w:rFonts w:ascii="Arial" w:cs="Arial" w:eastAsia="Arial" w:hAnsi="Arial"/>
                <w:sz w:val="20"/>
                <w:szCs w:val="20"/>
                <w:color w:val="auto"/>
              </w:rPr>
              <w:t>July 29,</w:t>
            </w:r>
          </w:p>
        </w:tc>
        <w:tc>
          <w:tcPr>
            <w:tcW w:w="1160" w:type="dxa"/>
            <w:vAlign w:val="bottom"/>
            <w:tcBorders>
              <w:top w:val="single" w:sz="8" w:color="auto"/>
            </w:tcBorders>
          </w:tcPr>
          <w:p>
            <w:pPr>
              <w:jc w:val="right"/>
              <w:ind w:right="181"/>
              <w:spacing w:after="0" w:line="207" w:lineRule="exact"/>
              <w:rPr>
                <w:sz w:val="20"/>
                <w:szCs w:val="20"/>
                <w:color w:val="auto"/>
              </w:rPr>
            </w:pPr>
            <w:r>
              <w:rPr>
                <w:rFonts w:ascii="Arial" w:cs="Arial" w:eastAsia="Arial" w:hAnsi="Arial"/>
                <w:sz w:val="20"/>
                <w:szCs w:val="20"/>
                <w:color w:val="auto"/>
              </w:rPr>
              <w:t>July 30,</w:t>
            </w:r>
          </w:p>
        </w:tc>
        <w:tc>
          <w:tcPr>
            <w:tcW w:w="160" w:type="dxa"/>
            <w:vAlign w:val="bottom"/>
          </w:tcPr>
          <w:p>
            <w:pPr>
              <w:spacing w:after="0"/>
              <w:rPr>
                <w:sz w:val="17"/>
                <w:szCs w:val="17"/>
                <w:color w:val="auto"/>
              </w:rPr>
            </w:pPr>
          </w:p>
        </w:tc>
      </w:tr>
      <w:tr>
        <w:trPr>
          <w:trHeight w:val="246"/>
        </w:trPr>
        <w:tc>
          <w:tcPr>
            <w:tcW w:w="510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2005</w:t>
            </w:r>
          </w:p>
        </w:tc>
        <w:tc>
          <w:tcPr>
            <w:tcW w:w="42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2004</w:t>
            </w:r>
          </w:p>
        </w:tc>
        <w:tc>
          <w:tcPr>
            <w:tcW w:w="52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2005</w:t>
            </w:r>
          </w:p>
        </w:tc>
        <w:tc>
          <w:tcPr>
            <w:tcW w:w="54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2004</w:t>
            </w:r>
          </w:p>
        </w:tc>
        <w:tc>
          <w:tcPr>
            <w:tcW w:w="160" w:type="dxa"/>
            <w:vAlign w:val="bottom"/>
            <w:tcBorders>
              <w:bottom w:val="single" w:sz="8" w:color="CCEEFF"/>
            </w:tcBorders>
          </w:tcPr>
          <w:p>
            <w:pPr>
              <w:spacing w:after="0"/>
              <w:rPr>
                <w:sz w:val="21"/>
                <w:szCs w:val="21"/>
                <w:color w:val="auto"/>
              </w:rPr>
            </w:pPr>
          </w:p>
        </w:tc>
      </w:tr>
      <w:tr>
        <w:trPr>
          <w:trHeight w:val="223"/>
        </w:trPr>
        <w:tc>
          <w:tcPr>
            <w:tcW w:w="510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Net sales</w:t>
            </w:r>
          </w:p>
        </w:tc>
        <w:tc>
          <w:tcPr>
            <w:tcW w:w="1620" w:type="dxa"/>
            <w:vAlign w:val="bottom"/>
            <w:gridSpan w:val="2"/>
            <w:shd w:val="clear" w:color="auto" w:fill="CCEEFF"/>
          </w:tcPr>
          <w:p>
            <w:pPr>
              <w:jc w:val="right"/>
              <w:ind w:right="161"/>
              <w:spacing w:after="0" w:line="223" w:lineRule="exact"/>
              <w:rPr>
                <w:sz w:val="20"/>
                <w:szCs w:val="20"/>
                <w:color w:val="auto"/>
              </w:rPr>
            </w:pPr>
            <w:r>
              <w:rPr>
                <w:rFonts w:ascii="Arial" w:cs="Arial" w:eastAsia="Arial" w:hAnsi="Arial"/>
                <w:sz w:val="20"/>
                <w:szCs w:val="20"/>
                <w:color w:val="auto"/>
              </w:rPr>
              <w:t>100.0%</w:t>
            </w:r>
          </w:p>
        </w:tc>
        <w:tc>
          <w:tcPr>
            <w:tcW w:w="1680" w:type="dxa"/>
            <w:vAlign w:val="bottom"/>
            <w:gridSpan w:val="2"/>
            <w:shd w:val="clear" w:color="auto" w:fill="CCEEFF"/>
          </w:tcPr>
          <w:p>
            <w:pPr>
              <w:jc w:val="right"/>
              <w:ind w:right="261"/>
              <w:spacing w:after="0" w:line="223" w:lineRule="exact"/>
              <w:rPr>
                <w:sz w:val="20"/>
                <w:szCs w:val="20"/>
                <w:color w:val="auto"/>
              </w:rPr>
            </w:pPr>
            <w:r>
              <w:rPr>
                <w:rFonts w:ascii="Arial" w:cs="Arial" w:eastAsia="Arial" w:hAnsi="Arial"/>
                <w:sz w:val="20"/>
                <w:szCs w:val="20"/>
                <w:color w:val="auto"/>
              </w:rPr>
              <w:t>100.0%</w:t>
            </w:r>
          </w:p>
        </w:tc>
        <w:tc>
          <w:tcPr>
            <w:tcW w:w="1700" w:type="dxa"/>
            <w:vAlign w:val="bottom"/>
            <w:gridSpan w:val="2"/>
            <w:shd w:val="clear" w:color="auto" w:fill="CCEEFF"/>
          </w:tcPr>
          <w:p>
            <w:pPr>
              <w:jc w:val="right"/>
              <w:ind w:right="261"/>
              <w:spacing w:after="0" w:line="223" w:lineRule="exact"/>
              <w:rPr>
                <w:sz w:val="20"/>
                <w:szCs w:val="20"/>
                <w:color w:val="auto"/>
              </w:rPr>
            </w:pPr>
            <w:r>
              <w:rPr>
                <w:rFonts w:ascii="Arial" w:cs="Arial" w:eastAsia="Arial" w:hAnsi="Arial"/>
                <w:sz w:val="20"/>
                <w:szCs w:val="20"/>
                <w:color w:val="auto"/>
              </w:rPr>
              <w:t>100.0%</w:t>
            </w:r>
          </w:p>
        </w:tc>
        <w:tc>
          <w:tcPr>
            <w:tcW w:w="1320" w:type="dxa"/>
            <w:vAlign w:val="bottom"/>
            <w:gridSpan w:val="2"/>
            <w:shd w:val="clear" w:color="auto" w:fill="CCEEFF"/>
          </w:tcPr>
          <w:p>
            <w:pPr>
              <w:jc w:val="right"/>
              <w:spacing w:after="0" w:line="223" w:lineRule="exact"/>
              <w:rPr>
                <w:sz w:val="20"/>
                <w:szCs w:val="20"/>
                <w:color w:val="auto"/>
              </w:rPr>
            </w:pPr>
            <w:r>
              <w:rPr>
                <w:rFonts w:ascii="Arial" w:cs="Arial" w:eastAsia="Arial" w:hAnsi="Arial"/>
                <w:sz w:val="20"/>
                <w:szCs w:val="20"/>
                <w:color w:val="auto"/>
              </w:rPr>
              <w:t>100.0%</w:t>
            </w:r>
          </w:p>
        </w:tc>
      </w:tr>
      <w:tr>
        <w:trPr>
          <w:trHeight w:val="230"/>
        </w:trPr>
        <w:tc>
          <w:tcPr>
            <w:tcW w:w="5100" w:type="dxa"/>
            <w:vAlign w:val="bottom"/>
          </w:tcPr>
          <w:p>
            <w:pPr>
              <w:spacing w:after="0"/>
              <w:rPr>
                <w:sz w:val="20"/>
                <w:szCs w:val="20"/>
                <w:color w:val="auto"/>
              </w:rPr>
            </w:pPr>
            <w:r>
              <w:rPr>
                <w:rFonts w:ascii="Arial" w:cs="Arial" w:eastAsia="Arial" w:hAnsi="Arial"/>
                <w:sz w:val="20"/>
                <w:szCs w:val="20"/>
                <w:color w:val="auto"/>
              </w:rPr>
              <w:t>Cost of sales</w:t>
            </w:r>
          </w:p>
        </w:tc>
        <w:tc>
          <w:tcPr>
            <w:tcW w:w="1620" w:type="dxa"/>
            <w:vAlign w:val="bottom"/>
            <w:gridSpan w:val="2"/>
          </w:tcPr>
          <w:p>
            <w:pPr>
              <w:jc w:val="right"/>
              <w:ind w:right="321"/>
              <w:spacing w:after="0"/>
              <w:rPr>
                <w:sz w:val="20"/>
                <w:szCs w:val="20"/>
                <w:color w:val="auto"/>
              </w:rPr>
            </w:pPr>
            <w:r>
              <w:rPr>
                <w:rFonts w:ascii="Arial" w:cs="Arial" w:eastAsia="Arial" w:hAnsi="Arial"/>
                <w:sz w:val="20"/>
                <w:szCs w:val="20"/>
                <w:color w:val="auto"/>
              </w:rPr>
              <w:t>65.0</w:t>
            </w:r>
          </w:p>
        </w:tc>
        <w:tc>
          <w:tcPr>
            <w:tcW w:w="1680" w:type="dxa"/>
            <w:vAlign w:val="bottom"/>
            <w:gridSpan w:val="2"/>
          </w:tcPr>
          <w:p>
            <w:pPr>
              <w:jc w:val="right"/>
              <w:ind w:right="421"/>
              <w:spacing w:after="0"/>
              <w:rPr>
                <w:sz w:val="20"/>
                <w:szCs w:val="20"/>
                <w:color w:val="auto"/>
              </w:rPr>
            </w:pPr>
            <w:r>
              <w:rPr>
                <w:rFonts w:ascii="Arial" w:cs="Arial" w:eastAsia="Arial" w:hAnsi="Arial"/>
                <w:sz w:val="20"/>
                <w:szCs w:val="20"/>
                <w:color w:val="auto"/>
              </w:rPr>
              <w:t>63.8</w:t>
            </w:r>
          </w:p>
        </w:tc>
        <w:tc>
          <w:tcPr>
            <w:tcW w:w="1700" w:type="dxa"/>
            <w:vAlign w:val="bottom"/>
            <w:gridSpan w:val="2"/>
          </w:tcPr>
          <w:p>
            <w:pPr>
              <w:jc w:val="right"/>
              <w:ind w:right="441"/>
              <w:spacing w:after="0"/>
              <w:rPr>
                <w:sz w:val="20"/>
                <w:szCs w:val="20"/>
                <w:color w:val="auto"/>
              </w:rPr>
            </w:pPr>
            <w:r>
              <w:rPr>
                <w:rFonts w:ascii="Arial" w:cs="Arial" w:eastAsia="Arial" w:hAnsi="Arial"/>
                <w:sz w:val="20"/>
                <w:szCs w:val="20"/>
                <w:color w:val="auto"/>
              </w:rPr>
              <w:t>65.2</w:t>
            </w:r>
          </w:p>
        </w:tc>
        <w:tc>
          <w:tcPr>
            <w:tcW w:w="1160" w:type="dxa"/>
            <w:vAlign w:val="bottom"/>
          </w:tcPr>
          <w:p>
            <w:pPr>
              <w:jc w:val="right"/>
              <w:spacing w:after="0"/>
              <w:rPr>
                <w:sz w:val="20"/>
                <w:szCs w:val="20"/>
                <w:color w:val="auto"/>
              </w:rPr>
            </w:pPr>
            <w:r>
              <w:rPr>
                <w:rFonts w:ascii="Arial" w:cs="Arial" w:eastAsia="Arial" w:hAnsi="Arial"/>
                <w:sz w:val="20"/>
                <w:szCs w:val="20"/>
                <w:color w:val="auto"/>
              </w:rPr>
              <w:t>63.8</w:t>
            </w:r>
          </w:p>
        </w:tc>
        <w:tc>
          <w:tcPr>
            <w:tcW w:w="160" w:type="dxa"/>
            <w:vAlign w:val="bottom"/>
          </w:tcPr>
          <w:p>
            <w:pPr>
              <w:spacing w:after="0"/>
              <w:rPr>
                <w:sz w:val="19"/>
                <w:szCs w:val="19"/>
                <w:color w:val="auto"/>
              </w:rPr>
            </w:pPr>
          </w:p>
        </w:tc>
      </w:tr>
      <w:tr>
        <w:trPr>
          <w:trHeight w:val="223"/>
        </w:trPr>
        <w:tc>
          <w:tcPr>
            <w:tcW w:w="510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Gross profit</w:t>
            </w:r>
          </w:p>
        </w:tc>
        <w:tc>
          <w:tcPr>
            <w:tcW w:w="120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35.0</w:t>
            </w:r>
          </w:p>
        </w:tc>
        <w:tc>
          <w:tcPr>
            <w:tcW w:w="4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36.2</w:t>
            </w:r>
          </w:p>
        </w:tc>
        <w:tc>
          <w:tcPr>
            <w:tcW w:w="5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34.8</w:t>
            </w:r>
          </w:p>
        </w:tc>
        <w:tc>
          <w:tcPr>
            <w:tcW w:w="5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right w:val="single" w:sz="8" w:color="CCEEFF"/>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36.2</w:t>
            </w:r>
          </w:p>
        </w:tc>
        <w:tc>
          <w:tcPr>
            <w:tcW w:w="160" w:type="dxa"/>
            <w:vAlign w:val="bottom"/>
            <w:tcBorders>
              <w:top w:val="single" w:sz="8" w:color="CCEEFF"/>
            </w:tcBorders>
            <w:shd w:val="clear" w:color="auto" w:fill="CCEEFF"/>
          </w:tcPr>
          <w:p>
            <w:pPr>
              <w:spacing w:after="0"/>
              <w:rPr>
                <w:sz w:val="19"/>
                <w:szCs w:val="19"/>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20"/>
                <w:szCs w:val="20"/>
                <w:color w:val="auto"/>
              </w:rPr>
              <w:t>Selling, general, and administrative expense</w:t>
            </w:r>
          </w:p>
        </w:tc>
        <w:tc>
          <w:tcPr>
            <w:tcW w:w="1620" w:type="dxa"/>
            <w:vAlign w:val="bottom"/>
            <w:gridSpan w:val="2"/>
          </w:tcPr>
          <w:p>
            <w:pPr>
              <w:jc w:val="right"/>
              <w:ind w:right="261"/>
              <w:spacing w:after="0"/>
              <w:rPr>
                <w:sz w:val="20"/>
                <w:szCs w:val="20"/>
                <w:color w:val="auto"/>
              </w:rPr>
            </w:pPr>
            <w:r>
              <w:rPr>
                <w:rFonts w:ascii="Arial" w:cs="Arial" w:eastAsia="Arial" w:hAnsi="Arial"/>
                <w:sz w:val="20"/>
                <w:szCs w:val="20"/>
                <w:color w:val="auto"/>
              </w:rPr>
              <w:t>(23.2)</w:t>
            </w:r>
          </w:p>
        </w:tc>
        <w:tc>
          <w:tcPr>
            <w:tcW w:w="1680" w:type="dxa"/>
            <w:vAlign w:val="bottom"/>
            <w:gridSpan w:val="2"/>
          </w:tcPr>
          <w:p>
            <w:pPr>
              <w:jc w:val="right"/>
              <w:ind w:right="361"/>
              <w:spacing w:after="0"/>
              <w:rPr>
                <w:sz w:val="20"/>
                <w:szCs w:val="20"/>
                <w:color w:val="auto"/>
              </w:rPr>
            </w:pPr>
            <w:r>
              <w:rPr>
                <w:rFonts w:ascii="Arial" w:cs="Arial" w:eastAsia="Arial" w:hAnsi="Arial"/>
                <w:sz w:val="20"/>
                <w:szCs w:val="20"/>
                <w:color w:val="auto"/>
              </w:rPr>
              <w:t>(24.6)</w:t>
            </w:r>
          </w:p>
        </w:tc>
        <w:tc>
          <w:tcPr>
            <w:tcW w:w="1700" w:type="dxa"/>
            <w:vAlign w:val="bottom"/>
            <w:gridSpan w:val="2"/>
          </w:tcPr>
          <w:p>
            <w:pPr>
              <w:jc w:val="right"/>
              <w:ind w:right="361"/>
              <w:spacing w:after="0"/>
              <w:rPr>
                <w:sz w:val="20"/>
                <w:szCs w:val="20"/>
                <w:color w:val="auto"/>
              </w:rPr>
            </w:pPr>
            <w:r>
              <w:rPr>
                <w:rFonts w:ascii="Arial" w:cs="Arial" w:eastAsia="Arial" w:hAnsi="Arial"/>
                <w:sz w:val="20"/>
                <w:szCs w:val="20"/>
                <w:color w:val="auto"/>
              </w:rPr>
              <w:t>(22.9)</w:t>
            </w:r>
          </w:p>
        </w:tc>
        <w:tc>
          <w:tcPr>
            <w:tcW w:w="1320" w:type="dxa"/>
            <w:vAlign w:val="bottom"/>
            <w:gridSpan w:val="2"/>
          </w:tcPr>
          <w:p>
            <w:pPr>
              <w:jc w:val="right"/>
              <w:ind w:right="7"/>
              <w:spacing w:after="0"/>
              <w:rPr>
                <w:sz w:val="20"/>
                <w:szCs w:val="20"/>
                <w:color w:val="auto"/>
              </w:rPr>
            </w:pPr>
            <w:r>
              <w:rPr>
                <w:rFonts w:ascii="Arial" w:cs="Arial" w:eastAsia="Arial" w:hAnsi="Arial"/>
                <w:sz w:val="20"/>
                <w:szCs w:val="20"/>
                <w:color w:val="auto"/>
              </w:rPr>
              <w:t>(24.7)</w:t>
            </w:r>
          </w:p>
        </w:tc>
      </w:tr>
      <w:tr>
        <w:trPr>
          <w:trHeight w:val="230"/>
        </w:trPr>
        <w:tc>
          <w:tcPr>
            <w:tcW w:w="5100" w:type="dxa"/>
            <w:vAlign w:val="bottom"/>
            <w:shd w:val="clear" w:color="auto" w:fill="CCEEFF"/>
          </w:tcPr>
          <w:p>
            <w:pPr>
              <w:spacing w:after="0"/>
              <w:rPr>
                <w:sz w:val="20"/>
                <w:szCs w:val="20"/>
                <w:color w:val="auto"/>
              </w:rPr>
            </w:pPr>
            <w:r>
              <w:rPr>
                <w:rFonts w:ascii="Arial" w:cs="Arial" w:eastAsia="Arial" w:hAnsi="Arial"/>
                <w:sz w:val="20"/>
                <w:szCs w:val="20"/>
                <w:color w:val="auto"/>
              </w:rPr>
              <w:t>Interest expense</w:t>
            </w:r>
          </w:p>
        </w:tc>
        <w:tc>
          <w:tcPr>
            <w:tcW w:w="1620" w:type="dxa"/>
            <w:vAlign w:val="bottom"/>
            <w:gridSpan w:val="2"/>
            <w:shd w:val="clear" w:color="auto" w:fill="CCEEFF"/>
          </w:tcPr>
          <w:p>
            <w:pPr>
              <w:jc w:val="right"/>
              <w:ind w:right="261"/>
              <w:spacing w:after="0"/>
              <w:rPr>
                <w:sz w:val="20"/>
                <w:szCs w:val="20"/>
                <w:color w:val="auto"/>
              </w:rPr>
            </w:pPr>
            <w:r>
              <w:rPr>
                <w:rFonts w:ascii="Arial" w:cs="Arial" w:eastAsia="Arial" w:hAnsi="Arial"/>
                <w:sz w:val="20"/>
                <w:szCs w:val="20"/>
                <w:color w:val="auto"/>
              </w:rPr>
              <w:t>(1.0)</w:t>
            </w:r>
          </w:p>
        </w:tc>
        <w:tc>
          <w:tcPr>
            <w:tcW w:w="1680" w:type="dxa"/>
            <w:vAlign w:val="bottom"/>
            <w:gridSpan w:val="2"/>
            <w:shd w:val="clear" w:color="auto" w:fill="CCEEFF"/>
          </w:tcPr>
          <w:p>
            <w:pPr>
              <w:jc w:val="right"/>
              <w:ind w:right="361"/>
              <w:spacing w:after="0"/>
              <w:rPr>
                <w:sz w:val="20"/>
                <w:szCs w:val="20"/>
                <w:color w:val="auto"/>
              </w:rPr>
            </w:pPr>
            <w:r>
              <w:rPr>
                <w:rFonts w:ascii="Arial" w:cs="Arial" w:eastAsia="Arial" w:hAnsi="Arial"/>
                <w:sz w:val="20"/>
                <w:szCs w:val="20"/>
                <w:color w:val="auto"/>
              </w:rPr>
              <w:t>(0.9)</w:t>
            </w:r>
          </w:p>
        </w:tc>
        <w:tc>
          <w:tcPr>
            <w:tcW w:w="1700" w:type="dxa"/>
            <w:vAlign w:val="bottom"/>
            <w:gridSpan w:val="2"/>
            <w:shd w:val="clear" w:color="auto" w:fill="CCEEFF"/>
          </w:tcPr>
          <w:p>
            <w:pPr>
              <w:jc w:val="right"/>
              <w:ind w:right="361"/>
              <w:spacing w:after="0"/>
              <w:rPr>
                <w:sz w:val="20"/>
                <w:szCs w:val="20"/>
                <w:color w:val="auto"/>
              </w:rPr>
            </w:pPr>
            <w:r>
              <w:rPr>
                <w:rFonts w:ascii="Arial" w:cs="Arial" w:eastAsia="Arial" w:hAnsi="Arial"/>
                <w:sz w:val="20"/>
                <w:szCs w:val="20"/>
                <w:color w:val="auto"/>
              </w:rPr>
              <w:t>(0.9)</w:t>
            </w:r>
          </w:p>
        </w:tc>
        <w:tc>
          <w:tcPr>
            <w:tcW w:w="1320" w:type="dxa"/>
            <w:vAlign w:val="bottom"/>
            <w:gridSpan w:val="2"/>
            <w:shd w:val="clear" w:color="auto" w:fill="CCEEFF"/>
          </w:tcPr>
          <w:p>
            <w:pPr>
              <w:jc w:val="right"/>
              <w:ind w:right="7"/>
              <w:spacing w:after="0"/>
              <w:rPr>
                <w:sz w:val="20"/>
                <w:szCs w:val="20"/>
                <w:color w:val="auto"/>
              </w:rPr>
            </w:pPr>
            <w:r>
              <w:rPr>
                <w:rFonts w:ascii="Arial" w:cs="Arial" w:eastAsia="Arial" w:hAnsi="Arial"/>
                <w:sz w:val="20"/>
                <w:szCs w:val="20"/>
                <w:color w:val="auto"/>
              </w:rPr>
              <w:t>(0.9)</w:t>
            </w:r>
          </w:p>
        </w:tc>
      </w:tr>
      <w:tr>
        <w:trPr>
          <w:trHeight w:val="230"/>
        </w:trPr>
        <w:tc>
          <w:tcPr>
            <w:tcW w:w="5100" w:type="dxa"/>
            <w:vAlign w:val="bottom"/>
          </w:tcPr>
          <w:p>
            <w:pPr>
              <w:spacing w:after="0"/>
              <w:rPr>
                <w:sz w:val="20"/>
                <w:szCs w:val="20"/>
                <w:color w:val="auto"/>
              </w:rPr>
            </w:pPr>
            <w:r>
              <w:rPr>
                <w:rFonts w:ascii="Arial" w:cs="Arial" w:eastAsia="Arial" w:hAnsi="Arial"/>
                <w:sz w:val="20"/>
                <w:szCs w:val="20"/>
                <w:color w:val="auto"/>
              </w:rPr>
              <w:t>Other income, net</w:t>
            </w:r>
          </w:p>
        </w:tc>
        <w:tc>
          <w:tcPr>
            <w:tcW w:w="1620" w:type="dxa"/>
            <w:vAlign w:val="bottom"/>
            <w:gridSpan w:val="2"/>
          </w:tcPr>
          <w:p>
            <w:pPr>
              <w:jc w:val="right"/>
              <w:ind w:right="321"/>
              <w:spacing w:after="0"/>
              <w:rPr>
                <w:sz w:val="20"/>
                <w:szCs w:val="20"/>
                <w:color w:val="auto"/>
              </w:rPr>
            </w:pPr>
            <w:r>
              <w:rPr>
                <w:rFonts w:ascii="Arial" w:cs="Arial" w:eastAsia="Arial" w:hAnsi="Arial"/>
                <w:sz w:val="20"/>
                <w:szCs w:val="20"/>
                <w:color w:val="auto"/>
              </w:rPr>
              <w:t>0.1</w:t>
            </w:r>
          </w:p>
        </w:tc>
        <w:tc>
          <w:tcPr>
            <w:tcW w:w="1680" w:type="dxa"/>
            <w:vAlign w:val="bottom"/>
            <w:gridSpan w:val="2"/>
          </w:tcPr>
          <w:p>
            <w:pPr>
              <w:jc w:val="right"/>
              <w:ind w:right="421"/>
              <w:spacing w:after="0"/>
              <w:rPr>
                <w:sz w:val="20"/>
                <w:szCs w:val="20"/>
                <w:color w:val="auto"/>
              </w:rPr>
            </w:pPr>
            <w:r>
              <w:rPr>
                <w:rFonts w:ascii="Arial" w:cs="Arial" w:eastAsia="Arial" w:hAnsi="Arial"/>
                <w:sz w:val="20"/>
                <w:szCs w:val="20"/>
                <w:color w:val="auto"/>
              </w:rPr>
              <w:t>0.4</w:t>
            </w:r>
          </w:p>
        </w:tc>
        <w:tc>
          <w:tcPr>
            <w:tcW w:w="1700" w:type="dxa"/>
            <w:vAlign w:val="bottom"/>
            <w:gridSpan w:val="2"/>
          </w:tcPr>
          <w:p>
            <w:pPr>
              <w:jc w:val="right"/>
              <w:ind w:right="441"/>
              <w:spacing w:after="0"/>
              <w:rPr>
                <w:sz w:val="20"/>
                <w:szCs w:val="20"/>
                <w:color w:val="auto"/>
              </w:rPr>
            </w:pPr>
            <w:r>
              <w:rPr>
                <w:rFonts w:ascii="Arial" w:cs="Arial" w:eastAsia="Arial" w:hAnsi="Arial"/>
                <w:sz w:val="20"/>
                <w:szCs w:val="20"/>
                <w:color w:val="auto"/>
              </w:rPr>
              <w:t>0.2</w:t>
            </w:r>
          </w:p>
        </w:tc>
        <w:tc>
          <w:tcPr>
            <w:tcW w:w="1160" w:type="dxa"/>
            <w:vAlign w:val="bottom"/>
          </w:tcPr>
          <w:p>
            <w:pPr>
              <w:jc w:val="right"/>
              <w:spacing w:after="0"/>
              <w:rPr>
                <w:sz w:val="20"/>
                <w:szCs w:val="20"/>
                <w:color w:val="auto"/>
              </w:rPr>
            </w:pPr>
            <w:r>
              <w:rPr>
                <w:rFonts w:ascii="Arial" w:cs="Arial" w:eastAsia="Arial" w:hAnsi="Arial"/>
                <w:sz w:val="20"/>
                <w:szCs w:val="20"/>
                <w:color w:val="auto"/>
              </w:rPr>
              <w:t>0.3</w:t>
            </w:r>
          </w:p>
        </w:tc>
        <w:tc>
          <w:tcPr>
            <w:tcW w:w="160" w:type="dxa"/>
            <w:vAlign w:val="bottom"/>
          </w:tcPr>
          <w:p>
            <w:pPr>
              <w:spacing w:after="0"/>
              <w:rPr>
                <w:sz w:val="19"/>
                <w:szCs w:val="19"/>
                <w:color w:val="auto"/>
              </w:rPr>
            </w:pPr>
          </w:p>
        </w:tc>
      </w:tr>
      <w:tr>
        <w:trPr>
          <w:trHeight w:val="230"/>
        </w:trPr>
        <w:tc>
          <w:tcPr>
            <w:tcW w:w="5100" w:type="dxa"/>
            <w:vAlign w:val="bottom"/>
            <w:shd w:val="clear" w:color="auto" w:fill="CCEEFF"/>
          </w:tcPr>
          <w:p>
            <w:pPr>
              <w:spacing w:after="0"/>
              <w:rPr>
                <w:sz w:val="20"/>
                <w:szCs w:val="20"/>
                <w:color w:val="auto"/>
              </w:rPr>
            </w:pPr>
            <w:r>
              <w:rPr>
                <w:rFonts w:ascii="Arial" w:cs="Arial" w:eastAsia="Arial" w:hAnsi="Arial"/>
                <w:sz w:val="20"/>
                <w:szCs w:val="20"/>
                <w:color w:val="auto"/>
              </w:rPr>
              <w:t>Provision for income taxes</w:t>
            </w:r>
          </w:p>
        </w:tc>
        <w:tc>
          <w:tcPr>
            <w:tcW w:w="1620" w:type="dxa"/>
            <w:vAlign w:val="bottom"/>
            <w:gridSpan w:val="2"/>
            <w:shd w:val="clear" w:color="auto" w:fill="CCEEFF"/>
          </w:tcPr>
          <w:p>
            <w:pPr>
              <w:jc w:val="right"/>
              <w:ind w:right="261"/>
              <w:spacing w:after="0"/>
              <w:rPr>
                <w:sz w:val="20"/>
                <w:szCs w:val="20"/>
                <w:color w:val="auto"/>
              </w:rPr>
            </w:pPr>
            <w:r>
              <w:rPr>
                <w:rFonts w:ascii="Arial" w:cs="Arial" w:eastAsia="Arial" w:hAnsi="Arial"/>
                <w:sz w:val="20"/>
                <w:szCs w:val="20"/>
                <w:color w:val="auto"/>
              </w:rPr>
              <w:t>(3.5)</w:t>
            </w:r>
          </w:p>
        </w:tc>
        <w:tc>
          <w:tcPr>
            <w:tcW w:w="1680" w:type="dxa"/>
            <w:vAlign w:val="bottom"/>
            <w:gridSpan w:val="2"/>
            <w:shd w:val="clear" w:color="auto" w:fill="CCEEFF"/>
          </w:tcPr>
          <w:p>
            <w:pPr>
              <w:jc w:val="right"/>
              <w:ind w:right="361"/>
              <w:spacing w:after="0"/>
              <w:rPr>
                <w:sz w:val="20"/>
                <w:szCs w:val="20"/>
                <w:color w:val="auto"/>
              </w:rPr>
            </w:pPr>
            <w:r>
              <w:rPr>
                <w:rFonts w:ascii="Arial" w:cs="Arial" w:eastAsia="Arial" w:hAnsi="Arial"/>
                <w:sz w:val="20"/>
                <w:szCs w:val="20"/>
                <w:color w:val="auto"/>
              </w:rPr>
              <w:t>(3.6)</w:t>
            </w:r>
          </w:p>
        </w:tc>
        <w:tc>
          <w:tcPr>
            <w:tcW w:w="1700" w:type="dxa"/>
            <w:vAlign w:val="bottom"/>
            <w:gridSpan w:val="2"/>
            <w:shd w:val="clear" w:color="auto" w:fill="CCEEFF"/>
          </w:tcPr>
          <w:p>
            <w:pPr>
              <w:jc w:val="right"/>
              <w:ind w:right="361"/>
              <w:spacing w:after="0"/>
              <w:rPr>
                <w:sz w:val="20"/>
                <w:szCs w:val="20"/>
                <w:color w:val="auto"/>
              </w:rPr>
            </w:pPr>
            <w:r>
              <w:rPr>
                <w:rFonts w:ascii="Arial" w:cs="Arial" w:eastAsia="Arial" w:hAnsi="Arial"/>
                <w:sz w:val="20"/>
                <w:szCs w:val="20"/>
                <w:color w:val="auto"/>
              </w:rPr>
              <w:t>(3.7)</w:t>
            </w:r>
          </w:p>
        </w:tc>
        <w:tc>
          <w:tcPr>
            <w:tcW w:w="1320" w:type="dxa"/>
            <w:vAlign w:val="bottom"/>
            <w:gridSpan w:val="2"/>
            <w:shd w:val="clear" w:color="auto" w:fill="CCEEFF"/>
          </w:tcPr>
          <w:p>
            <w:pPr>
              <w:jc w:val="right"/>
              <w:ind w:right="7"/>
              <w:spacing w:after="0"/>
              <w:rPr>
                <w:sz w:val="20"/>
                <w:szCs w:val="20"/>
                <w:color w:val="auto"/>
              </w:rPr>
            </w:pPr>
            <w:r>
              <w:rPr>
                <w:rFonts w:ascii="Arial" w:cs="Arial" w:eastAsia="Arial" w:hAnsi="Arial"/>
                <w:sz w:val="20"/>
                <w:szCs w:val="20"/>
                <w:color w:val="auto"/>
              </w:rPr>
              <w:t>(3.6)</w:t>
            </w:r>
          </w:p>
        </w:tc>
      </w:tr>
      <w:tr>
        <w:trPr>
          <w:trHeight w:val="223"/>
        </w:trPr>
        <w:tc>
          <w:tcPr>
            <w:tcW w:w="5100" w:type="dxa"/>
            <w:vAlign w:val="bottom"/>
          </w:tcPr>
          <w:p>
            <w:pPr>
              <w:spacing w:after="0" w:line="223" w:lineRule="exact"/>
              <w:rPr>
                <w:sz w:val="20"/>
                <w:szCs w:val="20"/>
                <w:color w:val="auto"/>
              </w:rPr>
            </w:pPr>
            <w:r>
              <w:rPr>
                <w:rFonts w:ascii="Arial" w:cs="Arial" w:eastAsia="Arial" w:hAnsi="Arial"/>
                <w:sz w:val="20"/>
                <w:szCs w:val="20"/>
                <w:color w:val="auto"/>
              </w:rPr>
              <w:t>Net earnings</w:t>
            </w:r>
          </w:p>
        </w:tc>
        <w:tc>
          <w:tcPr>
            <w:tcW w:w="120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0"/>
                <w:szCs w:val="20"/>
                <w:color w:val="auto"/>
              </w:rPr>
              <w:t>7.4</w:t>
            </w:r>
          </w:p>
        </w:tc>
        <w:tc>
          <w:tcPr>
            <w:tcW w:w="420" w:type="dxa"/>
            <w:vAlign w:val="bottom"/>
          </w:tcPr>
          <w:p>
            <w:pPr>
              <w:jc w:val="right"/>
              <w:ind w:right="161"/>
              <w:spacing w:after="0" w:line="223" w:lineRule="exact"/>
              <w:rPr>
                <w:sz w:val="20"/>
                <w:szCs w:val="20"/>
                <w:color w:val="auto"/>
              </w:rPr>
            </w:pPr>
            <w:r>
              <w:rPr>
                <w:rFonts w:ascii="Arial" w:cs="Arial" w:eastAsia="Arial" w:hAnsi="Arial"/>
                <w:sz w:val="20"/>
                <w:szCs w:val="20"/>
                <w:color w:val="auto"/>
                <w:w w:val="78"/>
              </w:rPr>
              <w:t>%</w:t>
            </w:r>
          </w:p>
        </w:tc>
        <w:tc>
          <w:tcPr>
            <w:tcW w:w="116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0"/>
                <w:szCs w:val="20"/>
                <w:color w:val="auto"/>
              </w:rPr>
              <w:t>7.5</w:t>
            </w:r>
          </w:p>
        </w:tc>
        <w:tc>
          <w:tcPr>
            <w:tcW w:w="520" w:type="dxa"/>
            <w:vAlign w:val="bottom"/>
          </w:tcPr>
          <w:p>
            <w:pPr>
              <w:jc w:val="right"/>
              <w:ind w:right="261"/>
              <w:spacing w:after="0" w:line="223" w:lineRule="exact"/>
              <w:rPr>
                <w:sz w:val="20"/>
                <w:szCs w:val="20"/>
                <w:color w:val="auto"/>
              </w:rPr>
            </w:pPr>
            <w:r>
              <w:rPr>
                <w:rFonts w:ascii="Arial" w:cs="Arial" w:eastAsia="Arial" w:hAnsi="Arial"/>
                <w:sz w:val="20"/>
                <w:szCs w:val="20"/>
                <w:color w:val="auto"/>
                <w:w w:val="78"/>
              </w:rPr>
              <w:t>%</w:t>
            </w:r>
          </w:p>
        </w:tc>
        <w:tc>
          <w:tcPr>
            <w:tcW w:w="116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0"/>
                <w:szCs w:val="20"/>
                <w:color w:val="auto"/>
              </w:rPr>
              <w:t>7.5</w:t>
            </w:r>
          </w:p>
        </w:tc>
        <w:tc>
          <w:tcPr>
            <w:tcW w:w="540" w:type="dxa"/>
            <w:vAlign w:val="bottom"/>
          </w:tcPr>
          <w:p>
            <w:pPr>
              <w:jc w:val="right"/>
              <w:ind w:right="261"/>
              <w:spacing w:after="0" w:line="223" w:lineRule="exact"/>
              <w:rPr>
                <w:sz w:val="20"/>
                <w:szCs w:val="20"/>
                <w:color w:val="auto"/>
              </w:rPr>
            </w:pPr>
            <w:r>
              <w:rPr>
                <w:rFonts w:ascii="Arial" w:cs="Arial" w:eastAsia="Arial" w:hAnsi="Arial"/>
                <w:sz w:val="20"/>
                <w:szCs w:val="20"/>
                <w:color w:val="auto"/>
                <w:w w:val="89"/>
              </w:rPr>
              <w:t>%</w:t>
            </w:r>
          </w:p>
        </w:tc>
        <w:tc>
          <w:tcPr>
            <w:tcW w:w="1160" w:type="dxa"/>
            <w:vAlign w:val="bottom"/>
            <w:tcBorders>
              <w:top w:val="single" w:sz="8" w:color="auto"/>
            </w:tcBorders>
          </w:tcPr>
          <w:p>
            <w:pPr>
              <w:jc w:val="right"/>
              <w:spacing w:after="0" w:line="223" w:lineRule="exact"/>
              <w:rPr>
                <w:sz w:val="20"/>
                <w:szCs w:val="20"/>
                <w:color w:val="auto"/>
              </w:rPr>
            </w:pPr>
            <w:r>
              <w:rPr>
                <w:rFonts w:ascii="Arial" w:cs="Arial" w:eastAsia="Arial" w:hAnsi="Arial"/>
                <w:sz w:val="20"/>
                <w:szCs w:val="20"/>
                <w:color w:val="auto"/>
              </w:rPr>
              <w:t>7.3</w:t>
            </w:r>
          </w:p>
        </w:tc>
        <w:tc>
          <w:tcPr>
            <w:tcW w:w="160" w:type="dxa"/>
            <w:vAlign w:val="bottom"/>
          </w:tcPr>
          <w:p>
            <w:pPr>
              <w:jc w:val="right"/>
              <w:spacing w:after="0"/>
              <w:rPr>
                <w:sz w:val="20"/>
                <w:szCs w:val="20"/>
                <w:color w:val="auto"/>
              </w:rPr>
            </w:pPr>
            <w:r>
              <w:rPr>
                <w:rFonts w:ascii="Arial" w:cs="Arial" w:eastAsia="Arial" w:hAnsi="Arial"/>
                <w:sz w:val="19"/>
                <w:szCs w:val="19"/>
                <w:color w:val="auto"/>
                <w:w w:val="70"/>
              </w:rPr>
              <w:t>%</w:t>
            </w:r>
          </w:p>
        </w:tc>
      </w:tr>
      <w:tr>
        <w:trPr>
          <w:trHeight w:val="27"/>
        </w:trPr>
        <w:tc>
          <w:tcPr>
            <w:tcW w:w="51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Sales</w:t>
      </w:r>
    </w:p>
    <w:p>
      <w:pPr>
        <w:spacing w:after="0" w:line="122"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Worldwide consolidated net sales for the third quarter and year-to-date period of fiscal 2005 were up 2.8 percent and 9.6 percent, respectively, from the same periods in the prior fiscal year. Factoring out the effect of our southeastern-based distributorship sold in October 2004, our southwestern-based distributorship sold in November 2004, and the additional sales from our acquisition of Hayter in February 2005, net sales for the third quarter and year-to-date period of fiscal 2005 increased 2.0 percent and 9.9 percent, respectively, from the same periods in the prior fiscal year. The net sales increase was led by strong international sales that were up by 33.6 percent for the third quarter and 32.6 percent for the</w:t>
      </w:r>
    </w:p>
    <w:p>
      <w:pPr>
        <w:sectPr>
          <w:pgSz w:w="11900" w:h="16855" w:orient="portrait"/>
          <w:cols w:equalWidth="0" w:num="1">
            <w:col w:w="11420"/>
          </w:cols>
          <w:pgMar w:left="240" w:top="121" w:right="239" w:bottom="0" w:gutter="0" w:footer="0" w:header="0"/>
        </w:sectPr>
      </w:pPr>
    </w:p>
    <w:bookmarkStart w:id="10" w:name="page11"/>
    <w:bookmarkEnd w:id="10"/>
    <w:p>
      <w:pPr>
        <w:ind w:right="40"/>
        <w:spacing w:after="0" w:line="269" w:lineRule="auto"/>
        <w:rPr>
          <w:sz w:val="20"/>
          <w:szCs w:val="20"/>
          <w:color w:val="auto"/>
        </w:rPr>
      </w:pPr>
      <w:r>
        <w:rPr>
          <w:rFonts w:ascii="Arial" w:cs="Arial" w:eastAsia="Arial" w:hAnsi="Arial"/>
          <w:sz w:val="18"/>
          <w:szCs w:val="18"/>
          <w:color w:val="auto"/>
        </w:rPr>
        <w:t>nine-month period over the same periods in the prior fiscal year. Factoring out the additional sales from the acquisition of Hayter, international net sales for the third quarter and year-to-date period of fiscal 2005 were up 19.9 percent and 21.8 percent, respectively, from the same periods in the prior fiscal year, driven primarily by the following factors: (i) strong demand and introduction of new products, particularly in the golf market; (ii) select price increases; (iii) a weaker U.S. dollar; and (iv) increased shipments in emerging markets. Favorable currency rates contributed approximately 0.9 percent of the overall sales growth for the third quarter of fiscal 2005 and 1.1 percent of the sales growth for the first nine months of fiscal 2005. Professional segment net sales also contributed to the net sales growth as a result of the success of introducing new products within the past two years and price increases introduced on some products. During the third quarter of fiscal 2005, retail demand for domestic landscape contractor equipment was down compared to the third quarter of fiscal 2004 primarily because of drought conditions in key markets. This has resulted in higher than expected field inventory levels, which could have an adverse impact on our fourth quarter fiscal 2005 net sales. Residential segment net sales were slightly up for the third quarter of fiscal 2005 compared to the third quarter of fiscal 2004 due to the following factors: (i) incremental sales of Hayter; (ii) the additional placement related to the introduction of new Lawn-Boy products in the home center distribution channel; and (iii) higher shipments of snow thrower products due to strong preseason demand. Those increases were offset by lower shipments of Toro brand of walk power mowers and riding products. The other segment net sales were down for the third quarter and year-to-date period of fiscal 2005 compared to the same periods last fiscal year due mainly to the sale of the two distribution companies, as previously mentioned.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Gross Profit</w:t>
      </w:r>
    </w:p>
    <w:p>
      <w:pPr>
        <w:spacing w:after="0" w:line="122" w:lineRule="exact"/>
        <w:rPr>
          <w:sz w:val="20"/>
          <w:szCs w:val="20"/>
          <w:color w:val="auto"/>
        </w:rPr>
      </w:pPr>
    </w:p>
    <w:p>
      <w:pPr>
        <w:ind w:right="100"/>
        <w:spacing w:after="0" w:line="256" w:lineRule="auto"/>
        <w:rPr>
          <w:sz w:val="20"/>
          <w:szCs w:val="20"/>
          <w:color w:val="auto"/>
        </w:rPr>
      </w:pPr>
      <w:r>
        <w:rPr>
          <w:rFonts w:ascii="Arial" w:cs="Arial" w:eastAsia="Arial" w:hAnsi="Arial"/>
          <w:sz w:val="19"/>
          <w:szCs w:val="19"/>
          <w:color w:val="auto"/>
        </w:rPr>
        <w:t>Gross profit for the third quarter of fiscal 2005 decreased slightly by 0.6 percent compared to the third quarter of fiscal 2004; however fiscal 2005 year-to-date gross profit increased 5.4 percent compared to the same period last fiscal year due to higher net sales. As a percentage of net sales, gross profit for the third quarter and year-to-date period of fiscal 2005 was 35.0 percent and 34.8 percent, respectively, compared to 36.2 percent for both the third quarter and year-to-date periods of fiscal 2004. Those decreases in gross profit as a percentage of net sales were the result of the following factors: (i) higher costs for steel, resin, and other commodities and (ii) the Hayter acquisition that negatively impacted gross margins due to the purchase accounting effect of recording the fair value of the inventory acquired as the inventory was sold. Somewhat offsetting these negative factors were: (i) price increases introduced on some products; (ii) cost reduction efforts from profit improvement initiatives; (iii) lower manufacturing costs from increased plant utilization for the year-to-date comparison; and (iv) favorable foreign currency exchange rates compared to the U.S. dollar.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Selling, General, and Administrative Expense</w:t>
      </w:r>
    </w:p>
    <w:p>
      <w:pPr>
        <w:spacing w:after="0" w:line="122"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Selling, general, and administrative expense (SG&amp;A) in dollars decreased for the third quarter of fiscal 2005 by 2.6 percent compared to the third quarter of fiscal 2004; however, SG&amp;A expense in dollars increased 1.8 percent for the year-to-date period of fiscal 2005 compared to the same period last fiscal year. SG&amp;A as a percentage of net sales for the third quarter and year-to-date period of fiscal 2005 was 23.2 percent and 22.9 percent, respectively, compared to 24.6 percent and 24.7 percent for the third quarter and year-to-date period of fiscal 2004, respectively. Those decreases in SG&amp;A expense as a percentage of net sales were due primarily to lower incentive compensation expense, as previously described. In addition, the year-to-date decrease was also the result of leveraging fixed SG&amp;A costs over higher sales volumes. Somewhat offsetting those decreases were: (i) higher administrative expenses, mainly from continued investments in information systems, increased costs related to Sarbanes-Oxley Act of 2002 compliance, and higher bad debt expense due mainly to the effect of collecting receivables in fiscal 2004 that were previously written off; and (ii) increased investments in engineering as part of our “6 + 8” initiative.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 Expense</w:t>
      </w:r>
    </w:p>
    <w:p>
      <w:pPr>
        <w:spacing w:after="0" w:line="122" w:lineRule="exact"/>
        <w:rPr>
          <w:sz w:val="20"/>
          <w:szCs w:val="20"/>
          <w:color w:val="auto"/>
        </w:rPr>
      </w:pPr>
    </w:p>
    <w:p>
      <w:pPr>
        <w:jc w:val="both"/>
        <w:ind w:right="220"/>
        <w:spacing w:after="0" w:line="250" w:lineRule="auto"/>
        <w:rPr>
          <w:sz w:val="20"/>
          <w:szCs w:val="20"/>
          <w:color w:val="auto"/>
        </w:rPr>
      </w:pPr>
      <w:r>
        <w:rPr>
          <w:rFonts w:ascii="Arial" w:cs="Arial" w:eastAsia="Arial" w:hAnsi="Arial"/>
          <w:sz w:val="20"/>
          <w:szCs w:val="20"/>
          <w:color w:val="auto"/>
        </w:rPr>
        <w:t>Interest expense for the third quarter and year-to-date period of fiscal 2005 increased by 23.8 percent and 17.2 percent, respectively, from the same periods in the prior fiscal year. Those increases were due primarily to higher levels of short-term debt as a result of increased cash used for stock repurchases and the acquisition of Hayter, as well as higher interest rates.</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Income, Net</w:t>
      </w:r>
    </w:p>
    <w:p>
      <w:pPr>
        <w:spacing w:after="0" w:line="122"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Other income, net for the third quarter and year-to-date period of fiscal 2005 was $0.6 million and $2.7 million, respectively. These amounts represent decreases of $0.9 million and $0.6 million, respectively, from the same periods in the prior fiscal year. The third fiscal quarter decline was due primarily to higher currency exchange rate losses. The year-to-date decrease was due to a loss from the sale of a distributorship, somewhat offset by lower litigation settlement expense.</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Provision for Income Taxes</w:t>
      </w:r>
    </w:p>
    <w:p>
      <w:pPr>
        <w:spacing w:after="0" w:line="122" w:lineRule="exact"/>
        <w:rPr>
          <w:sz w:val="20"/>
          <w:szCs w:val="20"/>
          <w:color w:val="auto"/>
        </w:rPr>
      </w:pPr>
    </w:p>
    <w:p>
      <w:pPr>
        <w:jc w:val="both"/>
        <w:ind w:right="160"/>
        <w:spacing w:after="0" w:line="269" w:lineRule="auto"/>
        <w:rPr>
          <w:sz w:val="20"/>
          <w:szCs w:val="20"/>
          <w:color w:val="auto"/>
        </w:rPr>
      </w:pPr>
      <w:r>
        <w:rPr>
          <w:rFonts w:ascii="Arial" w:cs="Arial" w:eastAsia="Arial" w:hAnsi="Arial"/>
          <w:sz w:val="19"/>
          <w:szCs w:val="19"/>
          <w:color w:val="auto"/>
        </w:rPr>
        <w:t>The effective tax rate for the third quarter of fiscal 2005 was 31.9 percent compared to 33.0 percent for the year-to-date period of fiscal 2005. The tax rate for the third quarter of fiscal 2004 was 32.1 percent and 33.0 percent for the year-to-date period of fiscal 2004. The decline in the tax rate in the third quarter of fiscal 2005 was due to increased tax benefits related to foreign export sales.</w:t>
      </w:r>
    </w:p>
    <w:p>
      <w:pPr>
        <w:spacing w:after="0" w:line="16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BUSINESS SEGMENTS</w:t>
      </w:r>
    </w:p>
    <w:p>
      <w:pPr>
        <w:spacing w:after="0" w:line="250" w:lineRule="exact"/>
        <w:rPr>
          <w:sz w:val="20"/>
          <w:szCs w:val="20"/>
          <w:color w:val="auto"/>
        </w:rPr>
      </w:pPr>
    </w:p>
    <w:p>
      <w:pPr>
        <w:ind w:right="140"/>
        <w:spacing w:after="0" w:line="258" w:lineRule="auto"/>
        <w:rPr>
          <w:sz w:val="20"/>
          <w:szCs w:val="20"/>
          <w:color w:val="auto"/>
        </w:rPr>
      </w:pPr>
      <w:r>
        <w:rPr>
          <w:rFonts w:ascii="Arial" w:cs="Arial" w:eastAsia="Arial" w:hAnsi="Arial"/>
          <w:sz w:val="19"/>
          <w:szCs w:val="19"/>
          <w:color w:val="auto"/>
        </w:rPr>
        <w:t>As described previously, we operate in two reportable business segments: professional and residential. A third reportable segment called “other” consists of domestic company-owned distributorships, corporate activities, and financing functions. Operating earnings (loss) for each of our two business segments is defined as earnings (loss) from operations plus other income, net. Effective the beginning of fiscal 2005, we combined our former distribution segment with the other segment because our distribution segment no longer met the quantitative thresholds for separate reporting as an operating segment for all periods presented. Prior periods have been reclassified to conform to the current period presentation. Operating loss for our third “other” segment includes earnings (loss) from operations, corporate activities, including corporate financing activities, other income, and interest expense.</w:t>
      </w:r>
    </w:p>
    <w:p>
      <w:pPr>
        <w:sectPr>
          <w:pgSz w:w="11900" w:h="16838" w:orient="portrait"/>
          <w:cols w:equalWidth="0" w:num="1">
            <w:col w:w="11400"/>
          </w:cols>
          <w:pgMar w:left="240" w:top="122" w:right="259" w:bottom="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160" w:type="dxa"/>
            <w:vAlign w:val="bottom"/>
          </w:tcPr>
          <w:p>
            <w:pPr>
              <w:spacing w:after="0"/>
              <w:rPr>
                <w:sz w:val="20"/>
                <w:szCs w:val="20"/>
                <w:color w:val="auto"/>
              </w:rPr>
            </w:pPr>
            <w:r>
              <w:rPr>
                <w:rFonts w:ascii="Arial" w:cs="Arial" w:eastAsia="Arial" w:hAnsi="Arial"/>
                <w:sz w:val="20"/>
                <w:szCs w:val="20"/>
                <w:color w:val="auto"/>
              </w:rPr>
              <w:t>The following table summarizes net sales by segment:</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5"/>
        </w:trPr>
        <w:tc>
          <w:tcPr>
            <w:tcW w:w="5160" w:type="dxa"/>
            <w:vAlign w:val="bottom"/>
            <w:vMerge w:val="restart"/>
          </w:tcPr>
          <w:p>
            <w:pPr>
              <w:spacing w:after="0"/>
              <w:rPr>
                <w:sz w:val="20"/>
                <w:szCs w:val="20"/>
                <w:color w:val="auto"/>
              </w:rPr>
            </w:pPr>
            <w:r>
              <w:rPr>
                <w:rFonts w:ascii="Arial" w:cs="Arial" w:eastAsia="Arial" w:hAnsi="Arial"/>
                <w:sz w:val="20"/>
                <w:szCs w:val="20"/>
                <w:color w:val="auto"/>
              </w:rPr>
              <w:t>(Dollars in thousands)</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tcPr>
          <w:p>
            <w:pPr>
              <w:jc w:val="right"/>
              <w:ind w:right="840"/>
              <w:spacing w:after="0"/>
              <w:rPr>
                <w:sz w:val="20"/>
                <w:szCs w:val="20"/>
                <w:color w:val="auto"/>
              </w:rPr>
            </w:pPr>
            <w:r>
              <w:rPr>
                <w:rFonts w:ascii="Arial" w:cs="Arial" w:eastAsia="Arial" w:hAnsi="Arial"/>
                <w:sz w:val="20"/>
                <w:szCs w:val="20"/>
                <w:color w:val="auto"/>
              </w:rPr>
              <w:t>Three Months Ended</w:t>
            </w:r>
          </w:p>
        </w:tc>
        <w:tc>
          <w:tcPr>
            <w:tcW w:w="13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1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460"/>
              <w:spacing w:after="0" w:line="207" w:lineRule="exact"/>
              <w:rPr>
                <w:sz w:val="20"/>
                <w:szCs w:val="20"/>
                <w:color w:val="auto"/>
              </w:rPr>
            </w:pPr>
            <w:r>
              <w:rPr>
                <w:rFonts w:ascii="Arial" w:cs="Arial" w:eastAsia="Arial" w:hAnsi="Arial"/>
                <w:sz w:val="20"/>
                <w:szCs w:val="20"/>
                <w:color w:val="auto"/>
                <w:w w:val="92"/>
              </w:rPr>
              <w:t>July 29,</w:t>
            </w:r>
          </w:p>
        </w:tc>
        <w:tc>
          <w:tcPr>
            <w:tcW w:w="240" w:type="dxa"/>
            <w:vAlign w:val="bottom"/>
          </w:tcPr>
          <w:p>
            <w:pPr>
              <w:spacing w:after="0"/>
              <w:rPr>
                <w:sz w:val="17"/>
                <w:szCs w:val="17"/>
                <w:color w:val="auto"/>
              </w:rPr>
            </w:pPr>
          </w:p>
        </w:tc>
        <w:tc>
          <w:tcPr>
            <w:tcW w:w="1340" w:type="dxa"/>
            <w:vAlign w:val="bottom"/>
            <w:gridSpan w:val="2"/>
          </w:tcPr>
          <w:p>
            <w:pPr>
              <w:jc w:val="center"/>
              <w:ind w:right="460"/>
              <w:spacing w:after="0" w:line="207" w:lineRule="exact"/>
              <w:rPr>
                <w:sz w:val="20"/>
                <w:szCs w:val="20"/>
                <w:color w:val="auto"/>
              </w:rPr>
            </w:pPr>
            <w:r>
              <w:rPr>
                <w:rFonts w:ascii="Arial" w:cs="Arial" w:eastAsia="Arial" w:hAnsi="Arial"/>
                <w:sz w:val="20"/>
                <w:szCs w:val="20"/>
                <w:color w:val="auto"/>
                <w:w w:val="92"/>
              </w:rPr>
              <w:t>July 30,</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1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61"/>
              <w:spacing w:after="0"/>
              <w:rPr>
                <w:sz w:val="20"/>
                <w:szCs w:val="20"/>
                <w:color w:val="auto"/>
              </w:rPr>
            </w:pPr>
            <w:r>
              <w:rPr>
                <w:rFonts w:ascii="Arial" w:cs="Arial" w:eastAsia="Arial" w:hAnsi="Arial"/>
                <w:sz w:val="20"/>
                <w:szCs w:val="20"/>
                <w:color w:val="auto"/>
                <w:w w:val="89"/>
              </w:rPr>
              <w:t>2005</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41"/>
              <w:spacing w:after="0"/>
              <w:rPr>
                <w:sz w:val="20"/>
                <w:szCs w:val="20"/>
                <w:color w:val="auto"/>
              </w:rPr>
            </w:pPr>
            <w:r>
              <w:rPr>
                <w:rFonts w:ascii="Arial" w:cs="Arial" w:eastAsia="Arial" w:hAnsi="Arial"/>
                <w:sz w:val="20"/>
                <w:szCs w:val="20"/>
                <w:color w:val="auto"/>
                <w:w w:val="89"/>
              </w:rPr>
              <w:t>2004</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w w:val="94"/>
              </w:rPr>
              <w:t>$ Change</w:t>
            </w:r>
          </w:p>
        </w:tc>
        <w:tc>
          <w:tcPr>
            <w:tcW w:w="22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ind w:left="280"/>
              <w:spacing w:after="0"/>
              <w:rPr>
                <w:sz w:val="20"/>
                <w:szCs w:val="20"/>
                <w:color w:val="auto"/>
              </w:rPr>
            </w:pPr>
            <w:r>
              <w:rPr>
                <w:rFonts w:ascii="Arial" w:cs="Arial" w:eastAsia="Arial" w:hAnsi="Arial"/>
                <w:sz w:val="20"/>
                <w:szCs w:val="20"/>
                <w:color w:val="auto"/>
              </w:rPr>
              <w:t>% Change</w:t>
            </w: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Professional</w:t>
            </w:r>
          </w:p>
        </w:tc>
        <w:tc>
          <w:tcPr>
            <w:tcW w:w="240" w:type="dxa"/>
            <w:vAlign w:val="bottom"/>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w w:val="71"/>
              </w:rPr>
              <w:t>$</w:t>
            </w:r>
          </w:p>
        </w:tc>
        <w:tc>
          <w:tcPr>
            <w:tcW w:w="11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302,517</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w w:val="71"/>
              </w:rPr>
              <w:t>$</w:t>
            </w:r>
          </w:p>
        </w:tc>
        <w:tc>
          <w:tcPr>
            <w:tcW w:w="11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287,928</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w w:val="71"/>
              </w:rPr>
              <w:t>$</w:t>
            </w:r>
          </w:p>
        </w:tc>
        <w:tc>
          <w:tcPr>
            <w:tcW w:w="11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14,589</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
              <w:spacing w:after="0" w:line="223" w:lineRule="exact"/>
              <w:rPr>
                <w:sz w:val="20"/>
                <w:szCs w:val="20"/>
                <w:color w:val="auto"/>
              </w:rPr>
            </w:pPr>
            <w:r>
              <w:rPr>
                <w:rFonts w:ascii="Arial" w:cs="Arial" w:eastAsia="Arial" w:hAnsi="Arial"/>
                <w:sz w:val="20"/>
                <w:szCs w:val="20"/>
                <w:color w:val="auto"/>
              </w:rPr>
              <w:t>5.1%</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Residential</w:t>
            </w:r>
          </w:p>
        </w:tc>
        <w:tc>
          <w:tcPr>
            <w:tcW w:w="2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20"/>
                <w:szCs w:val="20"/>
                <w:color w:val="auto"/>
              </w:rPr>
              <w:t>148,590</w:t>
            </w:r>
          </w:p>
        </w:tc>
        <w:tc>
          <w:tcPr>
            <w:tcW w:w="2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20"/>
                <w:szCs w:val="20"/>
                <w:color w:val="auto"/>
              </w:rPr>
              <w:t>144,227</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20"/>
                <w:szCs w:val="20"/>
                <w:color w:val="auto"/>
              </w:rPr>
              <w:t>4,363</w:t>
            </w:r>
          </w:p>
        </w:tc>
        <w:tc>
          <w:tcPr>
            <w:tcW w:w="1540" w:type="dxa"/>
            <w:vAlign w:val="bottom"/>
            <w:gridSpan w:val="2"/>
          </w:tcPr>
          <w:p>
            <w:pPr>
              <w:jc w:val="right"/>
              <w:ind w:right="180"/>
              <w:spacing w:after="0"/>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spacing w:after="0"/>
              <w:rPr>
                <w:sz w:val="20"/>
                <w:szCs w:val="20"/>
                <w:color w:val="auto"/>
              </w:rPr>
            </w:pPr>
            <w:r>
              <w:rPr>
                <w:rFonts w:ascii="Arial" w:cs="Arial" w:eastAsia="Arial" w:hAnsi="Arial"/>
                <w:sz w:val="20"/>
                <w:szCs w:val="20"/>
                <w:color w:val="auto"/>
              </w:rPr>
              <w:t>Other</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15,835</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21,889</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(6,054)</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(27.7)</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180"/>
              <w:spacing w:after="0" w:line="223" w:lineRule="exact"/>
              <w:rPr>
                <w:sz w:val="20"/>
                <w:szCs w:val="20"/>
                <w:color w:val="auto"/>
              </w:rPr>
            </w:pPr>
            <w:r>
              <w:rPr>
                <w:rFonts w:ascii="Arial" w:cs="Arial" w:eastAsia="Arial" w:hAnsi="Arial"/>
                <w:sz w:val="20"/>
                <w:szCs w:val="20"/>
                <w:color w:val="auto"/>
              </w:rPr>
              <w:t>Total *</w:t>
            </w:r>
          </w:p>
        </w:tc>
        <w:tc>
          <w:tcPr>
            <w:tcW w:w="240" w:type="dxa"/>
            <w:vAlign w:val="bottom"/>
            <w:tcBorders>
              <w:top w:val="single" w:sz="8" w:color="auto"/>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466,942</w:t>
            </w:r>
          </w:p>
        </w:tc>
        <w:tc>
          <w:tcPr>
            <w:tcW w:w="2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454,044</w:t>
            </w:r>
          </w:p>
        </w:tc>
        <w:tc>
          <w:tcPr>
            <w:tcW w:w="22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12,898</w:t>
            </w:r>
          </w:p>
        </w:tc>
        <w:tc>
          <w:tcPr>
            <w:tcW w:w="220" w:type="dxa"/>
            <w:vAlign w:val="bottom"/>
            <w:tcBorders>
              <w:bottom w:val="single" w:sz="8" w:color="CCEEFF"/>
            </w:tcBorders>
          </w:tcPr>
          <w:p>
            <w:pPr>
              <w:spacing w:after="0"/>
              <w:rPr>
                <w:sz w:val="20"/>
                <w:szCs w:val="20"/>
                <w:color w:val="auto"/>
              </w:rPr>
            </w:pPr>
          </w:p>
        </w:tc>
        <w:tc>
          <w:tcPr>
            <w:tcW w:w="1540" w:type="dxa"/>
            <w:vAlign w:val="bottom"/>
            <w:tcBorders>
              <w:bottom w:val="single" w:sz="8" w:color="CCEEFF"/>
            </w:tcBorders>
            <w:gridSpan w:val="2"/>
          </w:tcPr>
          <w:p>
            <w:pPr>
              <w:jc w:val="right"/>
              <w:ind w:right="20"/>
              <w:spacing w:after="0" w:line="223" w:lineRule="exact"/>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 Includes international net sales of:</w:t>
            </w:r>
          </w:p>
        </w:tc>
        <w:tc>
          <w:tcPr>
            <w:tcW w:w="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108,407</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81,135</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27,272</w:t>
            </w:r>
          </w:p>
        </w:tc>
        <w:tc>
          <w:tcPr>
            <w:tcW w:w="2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33.6%</w:t>
            </w:r>
          </w:p>
        </w:tc>
        <w:tc>
          <w:tcPr>
            <w:tcW w:w="0" w:type="dxa"/>
            <w:vAlign w:val="bottom"/>
          </w:tcPr>
          <w:p>
            <w:pPr>
              <w:spacing w:after="0"/>
              <w:rPr>
                <w:sz w:val="1"/>
                <w:szCs w:val="1"/>
                <w:color w:val="auto"/>
              </w:rPr>
            </w:pPr>
          </w:p>
        </w:tc>
      </w:tr>
      <w:tr>
        <w:trPr>
          <w:trHeight w:val="459"/>
        </w:trPr>
        <w:tc>
          <w:tcPr>
            <w:tcW w:w="5160" w:type="dxa"/>
            <w:vAlign w:val="bottom"/>
            <w:vMerge w:val="restart"/>
          </w:tcPr>
          <w:p>
            <w:pPr>
              <w:spacing w:after="0"/>
              <w:rPr>
                <w:sz w:val="20"/>
                <w:szCs w:val="20"/>
                <w:color w:val="auto"/>
              </w:rPr>
            </w:pPr>
            <w:r>
              <w:rPr>
                <w:rFonts w:ascii="Arial" w:cs="Arial" w:eastAsia="Arial" w:hAnsi="Arial"/>
                <w:sz w:val="20"/>
                <w:szCs w:val="20"/>
                <w:color w:val="auto"/>
              </w:rPr>
              <w:t>(Dollars in thousands)</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20"/>
                <w:szCs w:val="20"/>
                <w:color w:val="auto"/>
              </w:rPr>
              <w:t>Nine Months Ended</w:t>
            </w:r>
          </w:p>
        </w:tc>
        <w:tc>
          <w:tcPr>
            <w:tcW w:w="13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1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460"/>
              <w:spacing w:after="0" w:line="207" w:lineRule="exact"/>
              <w:rPr>
                <w:sz w:val="20"/>
                <w:szCs w:val="20"/>
                <w:color w:val="auto"/>
              </w:rPr>
            </w:pPr>
            <w:r>
              <w:rPr>
                <w:rFonts w:ascii="Arial" w:cs="Arial" w:eastAsia="Arial" w:hAnsi="Arial"/>
                <w:sz w:val="20"/>
                <w:szCs w:val="20"/>
                <w:color w:val="auto"/>
                <w:w w:val="92"/>
              </w:rPr>
              <w:t>July 29,</w:t>
            </w:r>
          </w:p>
        </w:tc>
        <w:tc>
          <w:tcPr>
            <w:tcW w:w="240" w:type="dxa"/>
            <w:vAlign w:val="bottom"/>
          </w:tcPr>
          <w:p>
            <w:pPr>
              <w:spacing w:after="0"/>
              <w:rPr>
                <w:sz w:val="17"/>
                <w:szCs w:val="17"/>
                <w:color w:val="auto"/>
              </w:rPr>
            </w:pPr>
          </w:p>
        </w:tc>
        <w:tc>
          <w:tcPr>
            <w:tcW w:w="1340" w:type="dxa"/>
            <w:vAlign w:val="bottom"/>
            <w:gridSpan w:val="2"/>
          </w:tcPr>
          <w:p>
            <w:pPr>
              <w:jc w:val="center"/>
              <w:ind w:right="460"/>
              <w:spacing w:after="0" w:line="207" w:lineRule="exact"/>
              <w:rPr>
                <w:sz w:val="20"/>
                <w:szCs w:val="20"/>
                <w:color w:val="auto"/>
              </w:rPr>
            </w:pPr>
            <w:r>
              <w:rPr>
                <w:rFonts w:ascii="Arial" w:cs="Arial" w:eastAsia="Arial" w:hAnsi="Arial"/>
                <w:sz w:val="20"/>
                <w:szCs w:val="20"/>
                <w:color w:val="auto"/>
                <w:w w:val="92"/>
              </w:rPr>
              <w:t>July 30,</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1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61"/>
              <w:spacing w:after="0"/>
              <w:rPr>
                <w:sz w:val="20"/>
                <w:szCs w:val="20"/>
                <w:color w:val="auto"/>
              </w:rPr>
            </w:pPr>
            <w:r>
              <w:rPr>
                <w:rFonts w:ascii="Arial" w:cs="Arial" w:eastAsia="Arial" w:hAnsi="Arial"/>
                <w:sz w:val="20"/>
                <w:szCs w:val="20"/>
                <w:color w:val="auto"/>
                <w:w w:val="89"/>
              </w:rPr>
              <w:t>2005</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41"/>
              <w:spacing w:after="0"/>
              <w:rPr>
                <w:sz w:val="20"/>
                <w:szCs w:val="20"/>
                <w:color w:val="auto"/>
              </w:rPr>
            </w:pPr>
            <w:r>
              <w:rPr>
                <w:rFonts w:ascii="Arial" w:cs="Arial" w:eastAsia="Arial" w:hAnsi="Arial"/>
                <w:sz w:val="20"/>
                <w:szCs w:val="20"/>
                <w:color w:val="auto"/>
                <w:w w:val="89"/>
              </w:rPr>
              <w:t>2004</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w w:val="94"/>
              </w:rPr>
              <w:t>$ Change</w:t>
            </w:r>
          </w:p>
        </w:tc>
        <w:tc>
          <w:tcPr>
            <w:tcW w:w="22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ind w:left="280"/>
              <w:spacing w:after="0"/>
              <w:rPr>
                <w:sz w:val="20"/>
                <w:szCs w:val="20"/>
                <w:color w:val="auto"/>
              </w:rPr>
            </w:pPr>
            <w:r>
              <w:rPr>
                <w:rFonts w:ascii="Arial" w:cs="Arial" w:eastAsia="Arial" w:hAnsi="Arial"/>
                <w:sz w:val="20"/>
                <w:szCs w:val="20"/>
                <w:color w:val="auto"/>
              </w:rPr>
              <w:t>% Change</w:t>
            </w: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Professional</w:t>
            </w:r>
          </w:p>
        </w:tc>
        <w:tc>
          <w:tcPr>
            <w:tcW w:w="240" w:type="dxa"/>
            <w:vAlign w:val="bottom"/>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w w:val="71"/>
              </w:rPr>
              <w:t>$</w:t>
            </w:r>
          </w:p>
        </w:tc>
        <w:tc>
          <w:tcPr>
            <w:tcW w:w="11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936,799</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w w:val="71"/>
              </w:rPr>
              <w:t>$</w:t>
            </w:r>
          </w:p>
        </w:tc>
        <w:tc>
          <w:tcPr>
            <w:tcW w:w="11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834,130</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w w:val="71"/>
              </w:rPr>
              <w:t>$</w:t>
            </w:r>
          </w:p>
        </w:tc>
        <w:tc>
          <w:tcPr>
            <w:tcW w:w="11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102,669</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
              <w:spacing w:after="0" w:line="223" w:lineRule="exact"/>
              <w:rPr>
                <w:sz w:val="20"/>
                <w:szCs w:val="20"/>
                <w:color w:val="auto"/>
              </w:rPr>
            </w:pPr>
            <w:r>
              <w:rPr>
                <w:rFonts w:ascii="Arial" w:cs="Arial" w:eastAsia="Arial" w:hAnsi="Arial"/>
                <w:sz w:val="20"/>
                <w:szCs w:val="20"/>
                <w:color w:val="auto"/>
              </w:rPr>
              <w:t>12.3%</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Residential</w:t>
            </w:r>
          </w:p>
        </w:tc>
        <w:tc>
          <w:tcPr>
            <w:tcW w:w="2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20"/>
                <w:szCs w:val="20"/>
                <w:color w:val="auto"/>
              </w:rPr>
              <w:t>472,188</w:t>
            </w:r>
          </w:p>
        </w:tc>
        <w:tc>
          <w:tcPr>
            <w:tcW w:w="2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20"/>
                <w:szCs w:val="20"/>
                <w:color w:val="auto"/>
              </w:rPr>
              <w:t>436,952</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20"/>
                <w:szCs w:val="20"/>
                <w:color w:val="auto"/>
              </w:rPr>
              <w:t>35,236</w:t>
            </w:r>
          </w:p>
        </w:tc>
        <w:tc>
          <w:tcPr>
            <w:tcW w:w="1540" w:type="dxa"/>
            <w:vAlign w:val="bottom"/>
            <w:gridSpan w:val="2"/>
          </w:tcPr>
          <w:p>
            <w:pPr>
              <w:jc w:val="right"/>
              <w:ind w:right="180"/>
              <w:spacing w:after="0"/>
              <w:rPr>
                <w:sz w:val="20"/>
                <w:szCs w:val="20"/>
                <w:color w:val="auto"/>
              </w:rPr>
            </w:pPr>
            <w:r>
              <w:rPr>
                <w:rFonts w:ascii="Arial" w:cs="Arial" w:eastAsia="Arial" w:hAnsi="Arial"/>
                <w:sz w:val="20"/>
                <w:szCs w:val="20"/>
                <w:color w:val="auto"/>
              </w:rPr>
              <w:t>8.1</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spacing w:after="0"/>
              <w:rPr>
                <w:sz w:val="20"/>
                <w:szCs w:val="20"/>
                <w:color w:val="auto"/>
              </w:rPr>
            </w:pPr>
            <w:r>
              <w:rPr>
                <w:rFonts w:ascii="Arial" w:cs="Arial" w:eastAsia="Arial" w:hAnsi="Arial"/>
                <w:sz w:val="20"/>
                <w:szCs w:val="20"/>
                <w:color w:val="auto"/>
              </w:rPr>
              <w:t>Other</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33,309</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44,562</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(11,253)</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(25.3)</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180"/>
              <w:spacing w:after="0" w:line="223" w:lineRule="exact"/>
              <w:rPr>
                <w:sz w:val="20"/>
                <w:szCs w:val="20"/>
                <w:color w:val="auto"/>
              </w:rPr>
            </w:pPr>
            <w:r>
              <w:rPr>
                <w:rFonts w:ascii="Arial" w:cs="Arial" w:eastAsia="Arial" w:hAnsi="Arial"/>
                <w:sz w:val="20"/>
                <w:szCs w:val="20"/>
                <w:color w:val="auto"/>
              </w:rPr>
              <w:t>Total *</w:t>
            </w:r>
          </w:p>
        </w:tc>
        <w:tc>
          <w:tcPr>
            <w:tcW w:w="240" w:type="dxa"/>
            <w:vAlign w:val="bottom"/>
            <w:tcBorders>
              <w:top w:val="single" w:sz="8" w:color="auto"/>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1,442,296</w:t>
            </w:r>
          </w:p>
        </w:tc>
        <w:tc>
          <w:tcPr>
            <w:tcW w:w="2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1,315,644</w:t>
            </w:r>
          </w:p>
        </w:tc>
        <w:tc>
          <w:tcPr>
            <w:tcW w:w="22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126,652</w:t>
            </w:r>
          </w:p>
        </w:tc>
        <w:tc>
          <w:tcPr>
            <w:tcW w:w="220" w:type="dxa"/>
            <w:vAlign w:val="bottom"/>
            <w:tcBorders>
              <w:bottom w:val="single" w:sz="8" w:color="CCEEFF"/>
            </w:tcBorders>
          </w:tcPr>
          <w:p>
            <w:pPr>
              <w:spacing w:after="0"/>
              <w:rPr>
                <w:sz w:val="20"/>
                <w:szCs w:val="20"/>
                <w:color w:val="auto"/>
              </w:rPr>
            </w:pPr>
          </w:p>
        </w:tc>
        <w:tc>
          <w:tcPr>
            <w:tcW w:w="1540" w:type="dxa"/>
            <w:vAlign w:val="bottom"/>
            <w:tcBorders>
              <w:bottom w:val="single" w:sz="8" w:color="CCEEFF"/>
            </w:tcBorders>
            <w:gridSpan w:val="2"/>
          </w:tcPr>
          <w:p>
            <w:pPr>
              <w:jc w:val="right"/>
              <w:ind w:right="20"/>
              <w:spacing w:after="0" w:line="223" w:lineRule="exact"/>
              <w:rPr>
                <w:sz w:val="20"/>
                <w:szCs w:val="20"/>
                <w:color w:val="auto"/>
              </w:rPr>
            </w:pPr>
            <w:r>
              <w:rPr>
                <w:rFonts w:ascii="Arial" w:cs="Arial" w:eastAsia="Arial" w:hAnsi="Arial"/>
                <w:sz w:val="20"/>
                <w:szCs w:val="20"/>
                <w:color w:val="auto"/>
              </w:rPr>
              <w:t>9.6%</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 Includes international net sales of:</w:t>
            </w:r>
          </w:p>
        </w:tc>
        <w:tc>
          <w:tcPr>
            <w:tcW w:w="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355,782</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268,286</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87,496</w:t>
            </w:r>
          </w:p>
        </w:tc>
        <w:tc>
          <w:tcPr>
            <w:tcW w:w="2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32.6%</w:t>
            </w: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operating earnings (loss) by segment: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160" w:type="dxa"/>
            <w:vAlign w:val="bottom"/>
            <w:vMerge w:val="restart"/>
          </w:tcPr>
          <w:p>
            <w:pPr>
              <w:spacing w:after="0"/>
              <w:rPr>
                <w:sz w:val="20"/>
                <w:szCs w:val="20"/>
                <w:color w:val="auto"/>
              </w:rPr>
            </w:pPr>
            <w:r>
              <w:rPr>
                <w:rFonts w:ascii="Arial" w:cs="Arial" w:eastAsia="Arial" w:hAnsi="Arial"/>
                <w:sz w:val="20"/>
                <w:szCs w:val="20"/>
                <w:color w:val="auto"/>
              </w:rPr>
              <w:t>(Dollars in thousands)</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6"/>
          </w:tcPr>
          <w:p>
            <w:pPr>
              <w:jc w:val="right"/>
              <w:ind w:right="840"/>
              <w:spacing w:after="0"/>
              <w:rPr>
                <w:sz w:val="20"/>
                <w:szCs w:val="20"/>
                <w:color w:val="auto"/>
              </w:rPr>
            </w:pPr>
            <w:r>
              <w:rPr>
                <w:rFonts w:ascii="Arial" w:cs="Arial" w:eastAsia="Arial" w:hAnsi="Arial"/>
                <w:sz w:val="20"/>
                <w:szCs w:val="20"/>
                <w:color w:val="auto"/>
              </w:rPr>
              <w:t>Three Months Ended</w:t>
            </w:r>
          </w:p>
        </w:tc>
        <w:tc>
          <w:tcPr>
            <w:tcW w:w="13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1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460"/>
              <w:spacing w:after="0" w:line="207" w:lineRule="exact"/>
              <w:rPr>
                <w:sz w:val="20"/>
                <w:szCs w:val="20"/>
                <w:color w:val="auto"/>
              </w:rPr>
            </w:pPr>
            <w:r>
              <w:rPr>
                <w:rFonts w:ascii="Arial" w:cs="Arial" w:eastAsia="Arial" w:hAnsi="Arial"/>
                <w:sz w:val="20"/>
                <w:szCs w:val="20"/>
                <w:color w:val="auto"/>
                <w:w w:val="92"/>
              </w:rPr>
              <w:t>July 29,</w:t>
            </w:r>
          </w:p>
        </w:tc>
        <w:tc>
          <w:tcPr>
            <w:tcW w:w="240" w:type="dxa"/>
            <w:vAlign w:val="bottom"/>
          </w:tcPr>
          <w:p>
            <w:pPr>
              <w:spacing w:after="0"/>
              <w:rPr>
                <w:sz w:val="17"/>
                <w:szCs w:val="17"/>
                <w:color w:val="auto"/>
              </w:rPr>
            </w:pPr>
          </w:p>
        </w:tc>
        <w:tc>
          <w:tcPr>
            <w:tcW w:w="1340" w:type="dxa"/>
            <w:vAlign w:val="bottom"/>
            <w:gridSpan w:val="2"/>
          </w:tcPr>
          <w:p>
            <w:pPr>
              <w:jc w:val="center"/>
              <w:ind w:right="460"/>
              <w:spacing w:after="0" w:line="207" w:lineRule="exact"/>
              <w:rPr>
                <w:sz w:val="20"/>
                <w:szCs w:val="20"/>
                <w:color w:val="auto"/>
              </w:rPr>
            </w:pPr>
            <w:r>
              <w:rPr>
                <w:rFonts w:ascii="Arial" w:cs="Arial" w:eastAsia="Arial" w:hAnsi="Arial"/>
                <w:sz w:val="20"/>
                <w:szCs w:val="20"/>
                <w:color w:val="auto"/>
                <w:w w:val="92"/>
              </w:rPr>
              <w:t>July 30,</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1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61"/>
              <w:spacing w:after="0"/>
              <w:rPr>
                <w:sz w:val="20"/>
                <w:szCs w:val="20"/>
                <w:color w:val="auto"/>
              </w:rPr>
            </w:pPr>
            <w:r>
              <w:rPr>
                <w:rFonts w:ascii="Arial" w:cs="Arial" w:eastAsia="Arial" w:hAnsi="Arial"/>
                <w:sz w:val="20"/>
                <w:szCs w:val="20"/>
                <w:color w:val="auto"/>
                <w:w w:val="89"/>
              </w:rPr>
              <w:t>2005</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41"/>
              <w:spacing w:after="0"/>
              <w:rPr>
                <w:sz w:val="20"/>
                <w:szCs w:val="20"/>
                <w:color w:val="auto"/>
              </w:rPr>
            </w:pPr>
            <w:r>
              <w:rPr>
                <w:rFonts w:ascii="Arial" w:cs="Arial" w:eastAsia="Arial" w:hAnsi="Arial"/>
                <w:sz w:val="20"/>
                <w:szCs w:val="20"/>
                <w:color w:val="auto"/>
                <w:w w:val="89"/>
              </w:rPr>
              <w:t>2004</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w w:val="94"/>
              </w:rPr>
              <w:t>$ Change</w:t>
            </w:r>
          </w:p>
        </w:tc>
        <w:tc>
          <w:tcPr>
            <w:tcW w:w="220" w:type="dxa"/>
            <w:vAlign w:val="bottom"/>
            <w:tcBorders>
              <w:bottom w:val="single" w:sz="8" w:color="CCEEFF"/>
            </w:tcBorders>
            <w:gridSpan w:val="2"/>
          </w:tcPr>
          <w:p>
            <w:pPr>
              <w:spacing w:after="0"/>
              <w:rPr>
                <w:sz w:val="21"/>
                <w:szCs w:val="21"/>
                <w:color w:val="auto"/>
              </w:rPr>
            </w:pPr>
          </w:p>
        </w:tc>
        <w:tc>
          <w:tcPr>
            <w:tcW w:w="1360" w:type="dxa"/>
            <w:vAlign w:val="bottom"/>
            <w:tcBorders>
              <w:bottom w:val="single" w:sz="8" w:color="auto"/>
            </w:tcBorders>
          </w:tcPr>
          <w:p>
            <w:pPr>
              <w:ind w:left="280"/>
              <w:spacing w:after="0"/>
              <w:rPr>
                <w:sz w:val="20"/>
                <w:szCs w:val="20"/>
                <w:color w:val="auto"/>
              </w:rPr>
            </w:pPr>
            <w:r>
              <w:rPr>
                <w:rFonts w:ascii="Arial" w:cs="Arial" w:eastAsia="Arial" w:hAnsi="Arial"/>
                <w:sz w:val="20"/>
                <w:szCs w:val="20"/>
                <w:color w:val="auto"/>
              </w:rPr>
              <w:t>% Change</w:t>
            </w: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Professional</w:t>
            </w:r>
          </w:p>
        </w:tc>
        <w:tc>
          <w:tcPr>
            <w:tcW w:w="240" w:type="dxa"/>
            <w:vAlign w:val="bottom"/>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w w:val="71"/>
              </w:rPr>
              <w:t>$</w:t>
            </w:r>
          </w:p>
        </w:tc>
        <w:tc>
          <w:tcPr>
            <w:tcW w:w="11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59,894</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w w:val="71"/>
              </w:rPr>
              <w:t>$</w:t>
            </w:r>
          </w:p>
        </w:tc>
        <w:tc>
          <w:tcPr>
            <w:tcW w:w="11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54,326</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w w:val="71"/>
              </w:rPr>
              <w:t>$</w:t>
            </w:r>
          </w:p>
        </w:tc>
        <w:tc>
          <w:tcPr>
            <w:tcW w:w="11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5,568</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
              <w:spacing w:after="0" w:line="223" w:lineRule="exact"/>
              <w:rPr>
                <w:sz w:val="20"/>
                <w:szCs w:val="20"/>
                <w:color w:val="auto"/>
              </w:rPr>
            </w:pPr>
            <w:r>
              <w:rPr>
                <w:rFonts w:ascii="Arial" w:cs="Arial" w:eastAsia="Arial" w:hAnsi="Arial"/>
                <w:sz w:val="20"/>
                <w:szCs w:val="20"/>
                <w:color w:val="auto"/>
              </w:rPr>
              <w:t>10.2%</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Residential</w:t>
            </w:r>
          </w:p>
        </w:tc>
        <w:tc>
          <w:tcPr>
            <w:tcW w:w="2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20"/>
                <w:szCs w:val="20"/>
                <w:color w:val="auto"/>
              </w:rPr>
              <w:t>10,096</w:t>
            </w:r>
          </w:p>
        </w:tc>
        <w:tc>
          <w:tcPr>
            <w:tcW w:w="2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20"/>
                <w:szCs w:val="20"/>
                <w:color w:val="auto"/>
              </w:rPr>
              <w:t>17,635</w:t>
            </w:r>
          </w:p>
        </w:tc>
        <w:tc>
          <w:tcPr>
            <w:tcW w:w="200" w:type="dxa"/>
            <w:vAlign w:val="bottom"/>
          </w:tcPr>
          <w:p>
            <w:pPr>
              <w:spacing w:after="0"/>
              <w:rPr>
                <w:sz w:val="19"/>
                <w:szCs w:val="19"/>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20"/>
                <w:szCs w:val="20"/>
                <w:color w:val="auto"/>
              </w:rPr>
              <w:t>(7,539)</w:t>
            </w:r>
          </w:p>
        </w:tc>
        <w:tc>
          <w:tcPr>
            <w:tcW w:w="1540" w:type="dxa"/>
            <w:vAlign w:val="bottom"/>
            <w:gridSpan w:val="2"/>
          </w:tcPr>
          <w:p>
            <w:pPr>
              <w:jc w:val="right"/>
              <w:ind w:right="100"/>
              <w:spacing w:after="0"/>
              <w:rPr>
                <w:sz w:val="20"/>
                <w:szCs w:val="20"/>
                <w:color w:val="auto"/>
              </w:rPr>
            </w:pPr>
            <w:r>
              <w:rPr>
                <w:rFonts w:ascii="Arial" w:cs="Arial" w:eastAsia="Arial" w:hAnsi="Arial"/>
                <w:sz w:val="20"/>
                <w:szCs w:val="20"/>
                <w:color w:val="auto"/>
              </w:rPr>
              <w:t>(42.8)</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spacing w:after="0"/>
              <w:rPr>
                <w:sz w:val="20"/>
                <w:szCs w:val="20"/>
                <w:color w:val="auto"/>
              </w:rPr>
            </w:pPr>
            <w:r>
              <w:rPr>
                <w:rFonts w:ascii="Arial" w:cs="Arial" w:eastAsia="Arial" w:hAnsi="Arial"/>
                <w:sz w:val="20"/>
                <w:szCs w:val="20"/>
                <w:color w:val="auto"/>
              </w:rPr>
              <w:t>Other</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(19,502)</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(21,587)</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2,085</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9.7</w:t>
            </w: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line="223" w:lineRule="exact"/>
              <w:rPr>
                <w:sz w:val="20"/>
                <w:szCs w:val="20"/>
                <w:color w:val="auto"/>
              </w:rPr>
            </w:pPr>
            <w:r>
              <w:rPr>
                <w:rFonts w:ascii="Arial" w:cs="Arial" w:eastAsia="Arial" w:hAnsi="Arial"/>
                <w:sz w:val="20"/>
                <w:szCs w:val="20"/>
                <w:color w:val="auto"/>
              </w:rPr>
              <w:t>Total</w:t>
            </w:r>
          </w:p>
        </w:tc>
        <w:tc>
          <w:tcPr>
            <w:tcW w:w="240" w:type="dxa"/>
            <w:vAlign w:val="bottom"/>
            <w:tcBorders>
              <w:top w:val="single" w:sz="8" w:color="auto"/>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50,488</w:t>
            </w:r>
          </w:p>
        </w:tc>
        <w:tc>
          <w:tcPr>
            <w:tcW w:w="2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50,374</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114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right"/>
              <w:ind w:right="20"/>
              <w:spacing w:after="0" w:line="223" w:lineRule="exact"/>
              <w:rPr>
                <w:sz w:val="20"/>
                <w:szCs w:val="20"/>
                <w:color w:val="auto"/>
              </w:rPr>
            </w:pPr>
            <w:r>
              <w:rPr>
                <w:rFonts w:ascii="Arial" w:cs="Arial" w:eastAsia="Arial" w:hAnsi="Arial"/>
                <w:sz w:val="20"/>
                <w:szCs w:val="20"/>
                <w:color w:val="auto"/>
              </w:rPr>
              <w:t>0.2%</w:t>
            </w:r>
          </w:p>
        </w:tc>
        <w:tc>
          <w:tcPr>
            <w:tcW w:w="0" w:type="dxa"/>
            <w:vAlign w:val="bottom"/>
          </w:tcPr>
          <w:p>
            <w:pPr>
              <w:spacing w:after="0"/>
              <w:rPr>
                <w:sz w:val="1"/>
                <w:szCs w:val="1"/>
                <w:color w:val="auto"/>
              </w:rPr>
            </w:pPr>
          </w:p>
        </w:tc>
      </w:tr>
      <w:tr>
        <w:trPr>
          <w:trHeight w:val="459"/>
        </w:trPr>
        <w:tc>
          <w:tcPr>
            <w:tcW w:w="5160" w:type="dxa"/>
            <w:vAlign w:val="bottom"/>
            <w:vMerge w:val="restart"/>
          </w:tcPr>
          <w:p>
            <w:pPr>
              <w:spacing w:after="0"/>
              <w:rPr>
                <w:sz w:val="20"/>
                <w:szCs w:val="20"/>
                <w:color w:val="auto"/>
              </w:rPr>
            </w:pPr>
            <w:r>
              <w:rPr>
                <w:rFonts w:ascii="Arial" w:cs="Arial" w:eastAsia="Arial" w:hAnsi="Arial"/>
                <w:sz w:val="20"/>
                <w:szCs w:val="20"/>
                <w:color w:val="auto"/>
              </w:rPr>
              <w:t>(Dollars in thousands)</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right"/>
              <w:ind w:right="880"/>
              <w:spacing w:after="0"/>
              <w:rPr>
                <w:sz w:val="20"/>
                <w:szCs w:val="20"/>
                <w:color w:val="auto"/>
              </w:rPr>
            </w:pPr>
            <w:r>
              <w:rPr>
                <w:rFonts w:ascii="Arial" w:cs="Arial" w:eastAsia="Arial" w:hAnsi="Arial"/>
                <w:sz w:val="20"/>
                <w:szCs w:val="20"/>
                <w:color w:val="auto"/>
              </w:rPr>
              <w:t>Nine Months Ended</w:t>
            </w:r>
          </w:p>
        </w:tc>
        <w:tc>
          <w:tcPr>
            <w:tcW w:w="13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1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460"/>
              <w:spacing w:after="0" w:line="207" w:lineRule="exact"/>
              <w:rPr>
                <w:sz w:val="20"/>
                <w:szCs w:val="20"/>
                <w:color w:val="auto"/>
              </w:rPr>
            </w:pPr>
            <w:r>
              <w:rPr>
                <w:rFonts w:ascii="Arial" w:cs="Arial" w:eastAsia="Arial" w:hAnsi="Arial"/>
                <w:sz w:val="20"/>
                <w:szCs w:val="20"/>
                <w:color w:val="auto"/>
                <w:w w:val="92"/>
              </w:rPr>
              <w:t>July 29,</w:t>
            </w:r>
          </w:p>
        </w:tc>
        <w:tc>
          <w:tcPr>
            <w:tcW w:w="240" w:type="dxa"/>
            <w:vAlign w:val="bottom"/>
          </w:tcPr>
          <w:p>
            <w:pPr>
              <w:spacing w:after="0"/>
              <w:rPr>
                <w:sz w:val="17"/>
                <w:szCs w:val="17"/>
                <w:color w:val="auto"/>
              </w:rPr>
            </w:pPr>
          </w:p>
        </w:tc>
        <w:tc>
          <w:tcPr>
            <w:tcW w:w="1340" w:type="dxa"/>
            <w:vAlign w:val="bottom"/>
            <w:gridSpan w:val="2"/>
          </w:tcPr>
          <w:p>
            <w:pPr>
              <w:jc w:val="center"/>
              <w:ind w:right="460"/>
              <w:spacing w:after="0" w:line="207" w:lineRule="exact"/>
              <w:rPr>
                <w:sz w:val="20"/>
                <w:szCs w:val="20"/>
                <w:color w:val="auto"/>
              </w:rPr>
            </w:pPr>
            <w:r>
              <w:rPr>
                <w:rFonts w:ascii="Arial" w:cs="Arial" w:eastAsia="Arial" w:hAnsi="Arial"/>
                <w:sz w:val="20"/>
                <w:szCs w:val="20"/>
                <w:color w:val="auto"/>
                <w:w w:val="92"/>
              </w:rPr>
              <w:t>July 30,</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1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61"/>
              <w:spacing w:after="0"/>
              <w:rPr>
                <w:sz w:val="20"/>
                <w:szCs w:val="20"/>
                <w:color w:val="auto"/>
              </w:rPr>
            </w:pPr>
            <w:r>
              <w:rPr>
                <w:rFonts w:ascii="Arial" w:cs="Arial" w:eastAsia="Arial" w:hAnsi="Arial"/>
                <w:sz w:val="20"/>
                <w:szCs w:val="20"/>
                <w:color w:val="auto"/>
                <w:w w:val="89"/>
              </w:rPr>
              <w:t>2005</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41"/>
              <w:spacing w:after="0"/>
              <w:rPr>
                <w:sz w:val="20"/>
                <w:szCs w:val="20"/>
                <w:color w:val="auto"/>
              </w:rPr>
            </w:pPr>
            <w:r>
              <w:rPr>
                <w:rFonts w:ascii="Arial" w:cs="Arial" w:eastAsia="Arial" w:hAnsi="Arial"/>
                <w:sz w:val="20"/>
                <w:szCs w:val="20"/>
                <w:color w:val="auto"/>
                <w:w w:val="89"/>
              </w:rPr>
              <w:t>2004</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w w:val="94"/>
              </w:rPr>
              <w:t>$ Change</w:t>
            </w:r>
          </w:p>
        </w:tc>
        <w:tc>
          <w:tcPr>
            <w:tcW w:w="220" w:type="dxa"/>
            <w:vAlign w:val="bottom"/>
            <w:tcBorders>
              <w:bottom w:val="single" w:sz="8" w:color="CCEEFF"/>
            </w:tcBorders>
            <w:gridSpan w:val="2"/>
          </w:tcPr>
          <w:p>
            <w:pPr>
              <w:spacing w:after="0"/>
              <w:rPr>
                <w:sz w:val="21"/>
                <w:szCs w:val="21"/>
                <w:color w:val="auto"/>
              </w:rPr>
            </w:pPr>
          </w:p>
        </w:tc>
        <w:tc>
          <w:tcPr>
            <w:tcW w:w="1360" w:type="dxa"/>
            <w:vAlign w:val="bottom"/>
            <w:tcBorders>
              <w:bottom w:val="single" w:sz="8" w:color="auto"/>
            </w:tcBorders>
          </w:tcPr>
          <w:p>
            <w:pPr>
              <w:ind w:left="280"/>
              <w:spacing w:after="0"/>
              <w:rPr>
                <w:sz w:val="20"/>
                <w:szCs w:val="20"/>
                <w:color w:val="auto"/>
              </w:rPr>
            </w:pPr>
            <w:r>
              <w:rPr>
                <w:rFonts w:ascii="Arial" w:cs="Arial" w:eastAsia="Arial" w:hAnsi="Arial"/>
                <w:sz w:val="20"/>
                <w:szCs w:val="20"/>
                <w:color w:val="auto"/>
              </w:rPr>
              <w:t>% Change</w:t>
            </w: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Professional</w:t>
            </w:r>
          </w:p>
        </w:tc>
        <w:tc>
          <w:tcPr>
            <w:tcW w:w="240" w:type="dxa"/>
            <w:vAlign w:val="bottom"/>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w w:val="71"/>
              </w:rPr>
              <w:t>$</w:t>
            </w:r>
          </w:p>
        </w:tc>
        <w:tc>
          <w:tcPr>
            <w:tcW w:w="11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183,382</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w w:val="71"/>
              </w:rPr>
              <w:t>$</w:t>
            </w:r>
          </w:p>
        </w:tc>
        <w:tc>
          <w:tcPr>
            <w:tcW w:w="11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154,479</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w w:val="71"/>
              </w:rPr>
              <w:t>$</w:t>
            </w:r>
          </w:p>
        </w:tc>
        <w:tc>
          <w:tcPr>
            <w:tcW w:w="11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28,903</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
              <w:spacing w:after="0" w:line="223" w:lineRule="exact"/>
              <w:rPr>
                <w:sz w:val="20"/>
                <w:szCs w:val="20"/>
                <w:color w:val="auto"/>
              </w:rPr>
            </w:pPr>
            <w:r>
              <w:rPr>
                <w:rFonts w:ascii="Arial" w:cs="Arial" w:eastAsia="Arial" w:hAnsi="Arial"/>
                <w:sz w:val="20"/>
                <w:szCs w:val="20"/>
                <w:color w:val="auto"/>
              </w:rPr>
              <w:t>18.7%</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Residential</w:t>
            </w:r>
          </w:p>
        </w:tc>
        <w:tc>
          <w:tcPr>
            <w:tcW w:w="2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20"/>
                <w:szCs w:val="20"/>
                <w:color w:val="auto"/>
              </w:rPr>
              <w:t>43,493</w:t>
            </w:r>
          </w:p>
        </w:tc>
        <w:tc>
          <w:tcPr>
            <w:tcW w:w="2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20"/>
                <w:szCs w:val="20"/>
                <w:color w:val="auto"/>
              </w:rPr>
              <w:t>52,691</w:t>
            </w:r>
          </w:p>
        </w:tc>
        <w:tc>
          <w:tcPr>
            <w:tcW w:w="200" w:type="dxa"/>
            <w:vAlign w:val="bottom"/>
          </w:tcPr>
          <w:p>
            <w:pPr>
              <w:spacing w:after="0"/>
              <w:rPr>
                <w:sz w:val="19"/>
                <w:szCs w:val="19"/>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20"/>
                <w:szCs w:val="20"/>
                <w:color w:val="auto"/>
              </w:rPr>
              <w:t>(9,198)</w:t>
            </w:r>
          </w:p>
        </w:tc>
        <w:tc>
          <w:tcPr>
            <w:tcW w:w="1540" w:type="dxa"/>
            <w:vAlign w:val="bottom"/>
            <w:gridSpan w:val="2"/>
          </w:tcPr>
          <w:p>
            <w:pPr>
              <w:jc w:val="right"/>
              <w:ind w:right="100"/>
              <w:spacing w:after="0"/>
              <w:rPr>
                <w:sz w:val="20"/>
                <w:szCs w:val="20"/>
                <w:color w:val="auto"/>
              </w:rPr>
            </w:pPr>
            <w:r>
              <w:rPr>
                <w:rFonts w:ascii="Arial" w:cs="Arial" w:eastAsia="Arial" w:hAnsi="Arial"/>
                <w:sz w:val="20"/>
                <w:szCs w:val="20"/>
                <w:color w:val="auto"/>
              </w:rPr>
              <w:t>(17.5)</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spacing w:after="0"/>
              <w:rPr>
                <w:sz w:val="20"/>
                <w:szCs w:val="20"/>
                <w:color w:val="auto"/>
              </w:rPr>
            </w:pPr>
            <w:r>
              <w:rPr>
                <w:rFonts w:ascii="Arial" w:cs="Arial" w:eastAsia="Arial" w:hAnsi="Arial"/>
                <w:sz w:val="20"/>
                <w:szCs w:val="20"/>
                <w:color w:val="auto"/>
              </w:rPr>
              <w:t>Other</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(66,412)</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(64,279)</w:t>
            </w:r>
          </w:p>
        </w:tc>
        <w:tc>
          <w:tcPr>
            <w:tcW w:w="20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20"/>
                <w:szCs w:val="20"/>
                <w:color w:val="auto"/>
              </w:rPr>
              <w:t>(2,133)</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(3.3)</w:t>
            </w: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line="223" w:lineRule="exact"/>
              <w:rPr>
                <w:sz w:val="20"/>
                <w:szCs w:val="20"/>
                <w:color w:val="auto"/>
              </w:rPr>
            </w:pPr>
            <w:r>
              <w:rPr>
                <w:rFonts w:ascii="Arial" w:cs="Arial" w:eastAsia="Arial" w:hAnsi="Arial"/>
                <w:sz w:val="20"/>
                <w:szCs w:val="20"/>
                <w:color w:val="auto"/>
              </w:rPr>
              <w:t>Total</w:t>
            </w:r>
          </w:p>
        </w:tc>
        <w:tc>
          <w:tcPr>
            <w:tcW w:w="240" w:type="dxa"/>
            <w:vAlign w:val="bottom"/>
            <w:tcBorders>
              <w:top w:val="single" w:sz="8" w:color="auto"/>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160,463</w:t>
            </w:r>
          </w:p>
        </w:tc>
        <w:tc>
          <w:tcPr>
            <w:tcW w:w="2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142,891</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17,572</w:t>
            </w: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right"/>
              <w:ind w:right="20"/>
              <w:spacing w:after="0" w:line="223" w:lineRule="exact"/>
              <w:rPr>
                <w:sz w:val="20"/>
                <w:szCs w:val="20"/>
                <w:color w:val="auto"/>
              </w:rPr>
            </w:pPr>
            <w:r>
              <w:rPr>
                <w:rFonts w:ascii="Arial" w:cs="Arial" w:eastAsia="Arial" w:hAnsi="Arial"/>
                <w:sz w:val="20"/>
                <w:szCs w:val="20"/>
                <w:color w:val="auto"/>
              </w:rPr>
              <w:t>12.3%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Professional</w:t>
      </w:r>
    </w:p>
    <w:p>
      <w:pPr>
        <w:spacing w:after="0" w:line="17" w:lineRule="exact"/>
        <w:rPr>
          <w:sz w:val="20"/>
          <w:szCs w:val="20"/>
          <w:color w:val="auto"/>
        </w:rPr>
      </w:pPr>
    </w:p>
    <w:p>
      <w:pPr>
        <w:ind w:right="80"/>
        <w:spacing w:after="0" w:line="253" w:lineRule="auto"/>
        <w:rPr>
          <w:sz w:val="20"/>
          <w:szCs w:val="20"/>
          <w:color w:val="auto"/>
        </w:rPr>
      </w:pPr>
      <w:r>
        <w:rPr>
          <w:rFonts w:ascii="Arial" w:cs="Arial" w:eastAsia="Arial" w:hAnsi="Arial"/>
          <w:sz w:val="19"/>
          <w:szCs w:val="19"/>
          <w:i w:val="1"/>
          <w:iCs w:val="1"/>
          <w:u w:val="single" w:color="auto"/>
          <w:color w:val="auto"/>
        </w:rPr>
        <w:t>Net Sales</w:t>
      </w:r>
      <w:r>
        <w:rPr>
          <w:rFonts w:ascii="Arial" w:cs="Arial" w:eastAsia="Arial" w:hAnsi="Arial"/>
          <w:sz w:val="19"/>
          <w:szCs w:val="19"/>
          <w:i w:val="1"/>
          <w:iCs w:val="1"/>
          <w:color w:val="auto"/>
        </w:rPr>
        <w:t xml:space="preserve">. </w:t>
      </w:r>
      <w:r>
        <w:rPr>
          <w:rFonts w:ascii="Arial" w:cs="Arial" w:eastAsia="Arial" w:hAnsi="Arial"/>
          <w:sz w:val="19"/>
          <w:szCs w:val="19"/>
          <w:color w:val="auto"/>
        </w:rPr>
        <w:t>Worldwide net sales for the professional segment in the third quarter and year-to-date period of fiscal 2005 were up 5.1 percent and</w:t>
      </w:r>
      <w:r>
        <w:rPr>
          <w:rFonts w:ascii="Arial" w:cs="Arial" w:eastAsia="Arial" w:hAnsi="Arial"/>
          <w:sz w:val="19"/>
          <w:szCs w:val="19"/>
          <w:i w:val="1"/>
          <w:iCs w:val="1"/>
          <w:color w:val="auto"/>
        </w:rPr>
        <w:t xml:space="preserve"> </w:t>
      </w:r>
      <w:r>
        <w:rPr>
          <w:rFonts w:ascii="Arial" w:cs="Arial" w:eastAsia="Arial" w:hAnsi="Arial"/>
          <w:sz w:val="19"/>
          <w:szCs w:val="19"/>
          <w:color w:val="auto"/>
        </w:rPr>
        <w:t>12.3 percent, respectively, compared to the same periods last fiscal year. Factoring out the additional sales from the acquisition of Hayter, professional segment net sales for the third quarter and year-to-date period of fiscal 2005 were up 3.5 percent and 10.9 percent, respectively, compared to the same periods last fiscal year. Worldwide professional segment net sales were up due to the following factors: (i) the success of introducing new products within the past two years; (ii) strong demand in the international golf market; and (iii) price increases introduced on some products. Excluding the additional sales from the acquisition of Hayter, international professional segment net sales in the third quarter and year-to-date period of fiscal 2005 increased 19.6 percent and 18.8 percent, respectively, compared to the same periods in the prior fiscal year due to the same reasons mentioned above, as well as the benefits of a weaker U.S. dollar. Field inventory levels for landscape contractor equipment were higher than anticipated as of the end of the third quarter of fiscal 2005 as a result of lower retail demand during the third quarter of fiscal 2005 compared to the third quarter of fiscal 2004 due to drought conditions in key markets, which could have a negative impact on our fourth quarter of fiscal 2005 net sales. We expect these higher field inventory levels to return to our anticipated levels by fiscal year end.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i w:val="1"/>
          <w:iCs w:val="1"/>
          <w:u w:val="single" w:color="auto"/>
          <w:color w:val="auto"/>
        </w:rPr>
        <w:t>Operating Earnings.</w:t>
      </w:r>
      <w:r>
        <w:rPr>
          <w:rFonts w:ascii="Arial" w:cs="Arial" w:eastAsia="Arial" w:hAnsi="Arial"/>
          <w:sz w:val="19"/>
          <w:szCs w:val="19"/>
          <w:i w:val="1"/>
          <w:iCs w:val="1"/>
          <w:color w:val="auto"/>
        </w:rPr>
        <w:t xml:space="preserve"> </w:t>
      </w:r>
      <w:r>
        <w:rPr>
          <w:rFonts w:ascii="Arial" w:cs="Arial" w:eastAsia="Arial" w:hAnsi="Arial"/>
          <w:sz w:val="19"/>
          <w:szCs w:val="19"/>
          <w:color w:val="auto"/>
        </w:rPr>
        <w:t>Operating earnings for the professional segment in the third quarter and year-to-date period of fiscal 2005 increased 10.2</w:t>
      </w:r>
      <w:r>
        <w:rPr>
          <w:rFonts w:ascii="Arial" w:cs="Arial" w:eastAsia="Arial" w:hAnsi="Arial"/>
          <w:sz w:val="19"/>
          <w:szCs w:val="19"/>
          <w:i w:val="1"/>
          <w:iCs w:val="1"/>
          <w:color w:val="auto"/>
        </w:rPr>
        <w:t xml:space="preserve"> </w:t>
      </w:r>
      <w:r>
        <w:rPr>
          <w:rFonts w:ascii="Arial" w:cs="Arial" w:eastAsia="Arial" w:hAnsi="Arial"/>
          <w:sz w:val="19"/>
          <w:szCs w:val="19"/>
          <w:color w:val="auto"/>
        </w:rPr>
        <w:t>percent and 18.7 percent, respectively, compared to the same periods last fiscal year. Expressed as a percentage of net sales, professional segment operating margins increased to 19.8 percent compared to 18.9 percent in the third quarter of fiscal 2004. Fiscal 2005 year-to-date professional segment operating margins increased to 19.6 percent compared to 18.5 percent in the same period last fiscal year. The profit improvement was the result of lower SG&amp;A expense as a percentage of net sales due to leveraging the fixed portion of SG&amp;A costs over higher sales volumes. Gross margins also rose as a result of cost reduction efforts from profit improvement initiatives, lower manufacturing costs from increased plant utilization, and price increases introduced on some products, somewhat offset by higher steel and other commodity costs and lower gross margins from the acquisition of Hayter.</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Residential</w:t>
      </w:r>
    </w:p>
    <w:p>
      <w:pPr>
        <w:sectPr>
          <w:pgSz w:w="11900" w:h="16838" w:orient="portrait"/>
          <w:cols w:equalWidth="0" w:num="1">
            <w:col w:w="11420"/>
          </w:cols>
          <w:pgMar w:left="240" w:top="118" w:right="239" w:bottom="0" w:gutter="0" w:footer="0" w:header="0"/>
        </w:sectPr>
      </w:pPr>
    </w:p>
    <w:bookmarkStart w:id="12" w:name="page13"/>
    <w:bookmarkEnd w:id="12"/>
    <w:p>
      <w:pPr>
        <w:spacing w:after="0" w:line="306" w:lineRule="auto"/>
        <w:rPr>
          <w:sz w:val="20"/>
          <w:szCs w:val="20"/>
          <w:color w:val="auto"/>
        </w:rPr>
      </w:pPr>
      <w:r>
        <w:rPr>
          <w:rFonts w:ascii="Arial" w:cs="Arial" w:eastAsia="Arial" w:hAnsi="Arial"/>
          <w:sz w:val="16"/>
          <w:szCs w:val="16"/>
          <w:i w:val="1"/>
          <w:iCs w:val="1"/>
          <w:u w:val="single" w:color="auto"/>
          <w:color w:val="auto"/>
        </w:rPr>
        <w:t>Net Sales</w:t>
      </w:r>
      <w:r>
        <w:rPr>
          <w:rFonts w:ascii="Arial" w:cs="Arial" w:eastAsia="Arial" w:hAnsi="Arial"/>
          <w:sz w:val="16"/>
          <w:szCs w:val="16"/>
          <w:i w:val="1"/>
          <w:iCs w:val="1"/>
          <w:color w:val="auto"/>
        </w:rPr>
        <w:t xml:space="preserve">. </w:t>
      </w:r>
      <w:r>
        <w:rPr>
          <w:rFonts w:ascii="Arial" w:cs="Arial" w:eastAsia="Arial" w:hAnsi="Arial"/>
          <w:sz w:val="16"/>
          <w:szCs w:val="16"/>
          <w:color w:val="auto"/>
        </w:rPr>
        <w:t>Worldwide net sales for the residential segment in the third quarter and year-to-date period of fiscal 2005 were up by 3.0 percent and</w:t>
      </w:r>
      <w:r>
        <w:rPr>
          <w:rFonts w:ascii="Arial" w:cs="Arial" w:eastAsia="Arial" w:hAnsi="Arial"/>
          <w:sz w:val="16"/>
          <w:szCs w:val="16"/>
          <w:i w:val="1"/>
          <w:iCs w:val="1"/>
          <w:color w:val="auto"/>
        </w:rPr>
        <w:t xml:space="preserve"> </w:t>
      </w:r>
      <w:r>
        <w:rPr>
          <w:rFonts w:ascii="Arial" w:cs="Arial" w:eastAsia="Arial" w:hAnsi="Arial"/>
          <w:sz w:val="16"/>
          <w:szCs w:val="16"/>
          <w:color w:val="auto"/>
        </w:rPr>
        <w:t>8.1 percent, respectively, compared to the same periods last fiscal year. Factoring out the additional sales from the acquisition of Hayter, residential segment net sales for the third quarter of fiscal 2005 were down by 1.6 percent compared to the third quarter of fiscal 2004; however, net sales for the year-to-date period of fiscal 2005 were up 4.1 percent compared to the same period last fiscal year. Excluding Hayter, the third quarter residential segment net sales decline was due to lower domestic shipments of walk power mowers as a result of unfavorable weather conditions and lower domestic riding product shipments due to continued strong competition. In addition, Toro brand walk power mower shipments were down for the third quarter and year-to-date periods of fiscal 2005 compared to the same periods last fiscal year due to a shift of sales to the new line of Lawn-Boy walk power mowers. Shipments of Lawn-Boy walk power mowers were up for the third quarter and year-to-date comparisons as a result of expanded product placement in the home center distribution channel. Increased snow thrower product shipments also contributed to the third quarter and year-to-date net sales increase due to strong preseason demand as a result of heavy snowfalls in key markets during the 2004-2005 winter season that depleted field inventory levels as well as the successful introduction of new products. Retail irrigation product sales were slightly up for the third quarter comparison but down for the year-to-date period of fiscal 2005 primarily due to unfavorable weather conditions in key domestic markets. Excluding the additional sales from the acquisition of Hayter, international residential segment net sales in the third quarter and year-to-date period of fiscal 2005 increased by 22.5 percent and 32.6 percent, respectively, compared to the same periods in the prior fiscal year due to the successful introduction of new products and a weaker U.S. dollar.</w:t>
      </w:r>
    </w:p>
    <w:p>
      <w:pPr>
        <w:spacing w:after="0" w:line="390" w:lineRule="exact"/>
        <w:rPr>
          <w:sz w:val="20"/>
          <w:szCs w:val="20"/>
          <w:color w:val="auto"/>
        </w:rPr>
      </w:pPr>
    </w:p>
    <w:p>
      <w:pPr>
        <w:ind w:right="20"/>
        <w:spacing w:after="0" w:line="313" w:lineRule="auto"/>
        <w:rPr>
          <w:sz w:val="20"/>
          <w:szCs w:val="20"/>
          <w:color w:val="auto"/>
        </w:rPr>
      </w:pPr>
      <w:r>
        <w:rPr>
          <w:rFonts w:ascii="Arial" w:cs="Arial" w:eastAsia="Arial" w:hAnsi="Arial"/>
          <w:sz w:val="16"/>
          <w:szCs w:val="16"/>
          <w:i w:val="1"/>
          <w:iCs w:val="1"/>
          <w:u w:val="single" w:color="auto"/>
          <w:color w:val="auto"/>
        </w:rPr>
        <w:t>Operating Earnings.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earnings for the residential segment in the third quarter and year-to-date period of fiscal 2005 decreased 42.8</w:t>
      </w:r>
      <w:r>
        <w:rPr>
          <w:rFonts w:ascii="Arial" w:cs="Arial" w:eastAsia="Arial" w:hAnsi="Arial"/>
          <w:sz w:val="16"/>
          <w:szCs w:val="16"/>
          <w:i w:val="1"/>
          <w:iCs w:val="1"/>
          <w:color w:val="auto"/>
        </w:rPr>
        <w:t xml:space="preserve"> </w:t>
      </w:r>
      <w:r>
        <w:rPr>
          <w:rFonts w:ascii="Arial" w:cs="Arial" w:eastAsia="Arial" w:hAnsi="Arial"/>
          <w:sz w:val="16"/>
          <w:szCs w:val="16"/>
          <w:color w:val="auto"/>
        </w:rPr>
        <w:t>percent and 17.5 percent, respectively, compared to the same periods last fiscal year. Expressed as a percentage of net sales, residential segment operating margins decreased to 6.8 percent compared to 12.2 percent in the third quarter of fiscal 2004, and fiscal 2005 year-to-date residential segment operating margins decreased to 9.2 percent compared to 12.1 percent last fiscal year. The profit decline was due mainly to lower gross margins as a result of higher costs for commodities combined with minimal price increases as a result of competitive conditions, lower gross margins from Hayter, and higher SG&amp;A expense. However, fiscal 2005 year-to-date SG&amp;A expense as a percentage of net sales was lower compared to the same period last fiscal year due mainly to leveraging SG&amp;A costs over higher sales volumes and reduced warranty costs.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w:t>
      </w:r>
    </w:p>
    <w:p>
      <w:pPr>
        <w:spacing w:after="0" w:line="122"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i w:val="1"/>
          <w:iCs w:val="1"/>
          <w:u w:val="single" w:color="auto"/>
          <w:color w:val="auto"/>
        </w:rPr>
        <w:t>Net Sales</w:t>
      </w:r>
      <w:r>
        <w:rPr>
          <w:rFonts w:ascii="Arial" w:cs="Arial" w:eastAsia="Arial" w:hAnsi="Arial"/>
          <w:sz w:val="20"/>
          <w:szCs w:val="20"/>
          <w:i w:val="1"/>
          <w:iCs w:val="1"/>
          <w:color w:val="auto"/>
        </w:rPr>
        <w:t xml:space="preserve">. </w:t>
      </w:r>
      <w:r>
        <w:rPr>
          <w:rFonts w:ascii="Arial" w:cs="Arial" w:eastAsia="Arial" w:hAnsi="Arial"/>
          <w:sz w:val="20"/>
          <w:szCs w:val="20"/>
          <w:color w:val="auto"/>
        </w:rPr>
        <w:t>Net sales for the other segment include sales from our wholly owned domestic distribution companies less sales from the</w:t>
      </w:r>
      <w:r>
        <w:rPr>
          <w:rFonts w:ascii="Arial" w:cs="Arial" w:eastAsia="Arial" w:hAnsi="Arial"/>
          <w:sz w:val="20"/>
          <w:szCs w:val="20"/>
          <w:i w:val="1"/>
          <w:iCs w:val="1"/>
          <w:color w:val="auto"/>
        </w:rPr>
        <w:t xml:space="preserve"> </w:t>
      </w:r>
      <w:r>
        <w:rPr>
          <w:rFonts w:ascii="Arial" w:cs="Arial" w:eastAsia="Arial" w:hAnsi="Arial"/>
          <w:sz w:val="20"/>
          <w:szCs w:val="20"/>
          <w:color w:val="auto"/>
        </w:rPr>
        <w:t>professional and residential segments to those distribution companies. In addition, elimination of the professional and residential segments’ floor plan interest costs from Toro Credit Company are also included in this segment. The other segment net sales declined for the third quarter and year-to-date period of fiscal 2005 by 27.7 percent and 25.3 percent, respectively, compared to the same periods last year due to the sale of the two distribution companies, as previously mentioned.</w:t>
      </w:r>
    </w:p>
    <w:p>
      <w:pPr>
        <w:spacing w:after="0" w:line="208" w:lineRule="exact"/>
        <w:rPr>
          <w:sz w:val="20"/>
          <w:szCs w:val="20"/>
          <w:color w:val="auto"/>
        </w:rPr>
      </w:pPr>
    </w:p>
    <w:p>
      <w:pPr>
        <w:spacing w:after="0" w:line="274" w:lineRule="auto"/>
        <w:rPr>
          <w:sz w:val="20"/>
          <w:szCs w:val="20"/>
          <w:color w:val="auto"/>
        </w:rPr>
      </w:pPr>
      <w:r>
        <w:rPr>
          <w:rFonts w:ascii="Arial" w:cs="Arial" w:eastAsia="Arial" w:hAnsi="Arial"/>
          <w:sz w:val="18"/>
          <w:szCs w:val="18"/>
          <w:i w:val="1"/>
          <w:iCs w:val="1"/>
          <w:u w:val="single" w:color="auto"/>
          <w:color w:val="auto"/>
        </w:rPr>
        <w:t>Operating Losses.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losses for the other segment were down for the third quarter of fiscal 2005 by $2.1 million or 9.7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third quarter of fiscal 2004. However, operating losses for the year-to-date period of fiscal 2005 were up by $2.1 million or 3.3 percent compared to last year. The third quarter loss decrease was due primarily to lower incentive compensation expense, as previously described. The year-to-date loss increase was due to the following factors: (i) higher administrative costs, mainly from continued investments in information systems, increased Sarbanes-Oxley compliance costs, and higher bad debt expense due to the effect of collecting receivables in fiscal 2004 that were previously written off; (ii) an increase in interest expense; and (iii) lower operating earnings from the domestic company owned distributors. Somewhat offsetting those negative factors was lower incentive compensation expense, as previously described.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FINANCIAL POSITION</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Working Capital</w:t>
      </w:r>
    </w:p>
    <w:p>
      <w:pPr>
        <w:spacing w:after="0" w:line="122"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During the first nine months of fiscal 2005, our financial condition remained strong and emphasis continued on improving asset management. Average working capital for the first nine months of fiscal 2005 was $315.2 million compared to $374.2 million for the first nine months of fiscal 2004. The decrease of 15.8 percent was due to higher average short-term debt, lower average cash and cash equivalents, and higher average accounts payables and accrued liabilities, somewhat offset by higher average accounts receivable. The primary factor contributing to the higher average short-term debt and lower average cash and cash equivalents levels was our continued emphasis on repurchasing shares of our common stock during fiscal 2005 and our purchase of Hayter. Average receivables for the first nine months of fiscal 2005 increased by 10.1 percent compared to the first nine months of fiscal 2004 on a net sales increase of 9.6 percent. Factoring out the incremental average receivables for Hayter, average receivables were up 7.3 percent. Our average days sales outstanding for receivables improved to 71.4 days based on sales for the last twelve months ended July 29, 2005, compared to 77.1 days for the twelve months ended July 30, 2004. Average inventory levels increased by 5.6 percent for the first nine months of fiscal 2005 compared to the first nine months of fiscal 2004; however, factoring out the incremental average inventories for Hayter, average inventory levels were slightly up by 2.5 percent. Average inventory turnover improved 7.4 percent for the last twelve months ended July 29, 2005 compared to the last twelve months ended July 30, 2004. These improvements reflect our continuing efforts to improve asset utilization.</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22"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Our businesses are seasonally working capital intensive and require funding for purchases of raw materials used in production, replacement parts inventory, capital expenditures, expansion and upgrading of existing facilities, as well as for financing receivables from customers. We believe that cash generated from operations, together with our fixed rate long-term debt, bank credit lines, and cash on hand, will provide us with adequate liquidity to meet our operating requirements. We believe that the funds available through existing or anticipated financing arrangements and forecasted cash flows, will be sufficient to provide the necessary capital resources for our anticipated working capital, capital expenditures, acquisitions, debt repayments, dividend payments, and stock repurchases for at least the next twelve months.</w:t>
      </w:r>
    </w:p>
    <w:p>
      <w:pPr>
        <w:spacing w:after="0" w:line="2"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20"/>
          <w:szCs w:val="20"/>
          <w:color w:val="auto"/>
        </w:rPr>
        <w:t>Our Board of Directors approved a cash dividend of $0.06 per share for the third quarter of fiscal 2005 paid on July 12, 2005, as adjusted to reflect a two-for-one stock split effective March 28, 2005, which was an increase over our cash dividend of $0.03 per share for the third quarter of fiscal 2004.</w:t>
      </w:r>
    </w:p>
    <w:p>
      <w:pPr>
        <w:sectPr>
          <w:pgSz w:w="11900" w:h="16838" w:orient="portrait"/>
          <w:cols w:equalWidth="0" w:num="1">
            <w:col w:w="11400"/>
          </w:cols>
          <w:pgMar w:left="240" w:top="122" w:right="259" w:bottom="0" w:gutter="0" w:footer="0" w:header="0"/>
        </w:sectPr>
      </w:pPr>
    </w:p>
    <w:bookmarkStart w:id="13" w:name="page14"/>
    <w:bookmarkEnd w:id="13"/>
    <w:p>
      <w:pPr>
        <w:spacing w:after="0" w:line="121" w:lineRule="exact"/>
        <w:rPr>
          <w:sz w:val="20"/>
          <w:szCs w:val="20"/>
          <w:color w:val="auto"/>
        </w:rPr>
      </w:pPr>
    </w:p>
    <w:p>
      <w:pPr>
        <w:ind w:right="120"/>
        <w:spacing w:after="0" w:line="242" w:lineRule="auto"/>
        <w:rPr>
          <w:sz w:val="20"/>
          <w:szCs w:val="20"/>
          <w:color w:val="auto"/>
        </w:rPr>
      </w:pPr>
      <w:r>
        <w:rPr>
          <w:rFonts w:ascii="Arial" w:cs="Arial" w:eastAsia="Arial" w:hAnsi="Arial"/>
          <w:sz w:val="20"/>
          <w:szCs w:val="20"/>
          <w:i w:val="1"/>
          <w:iCs w:val="1"/>
          <w:u w:val="single" w:color="auto"/>
          <w:color w:val="auto"/>
        </w:rPr>
        <w:t>Cash Flow.</w:t>
      </w:r>
      <w:r>
        <w:rPr>
          <w:rFonts w:ascii="Arial" w:cs="Arial" w:eastAsia="Arial" w:hAnsi="Arial"/>
          <w:sz w:val="20"/>
          <w:szCs w:val="20"/>
          <w:i w:val="1"/>
          <w:iCs w:val="1"/>
          <w:color w:val="auto"/>
        </w:rPr>
        <w:t xml:space="preserve"> </w:t>
      </w:r>
      <w:r>
        <w:rPr>
          <w:rFonts w:ascii="Arial" w:cs="Arial" w:eastAsia="Arial" w:hAnsi="Arial"/>
          <w:sz w:val="20"/>
          <w:szCs w:val="20"/>
          <w:color w:val="auto"/>
        </w:rPr>
        <w:t>Cash provided by operating activities for the first nine months of fiscal 2005 was 8.1 percent lower than the first nine months of</w:t>
      </w:r>
      <w:r>
        <w:rPr>
          <w:rFonts w:ascii="Arial" w:cs="Arial" w:eastAsia="Arial" w:hAnsi="Arial"/>
          <w:sz w:val="20"/>
          <w:szCs w:val="20"/>
          <w:i w:val="1"/>
          <w:iCs w:val="1"/>
          <w:color w:val="auto"/>
        </w:rPr>
        <w:t xml:space="preserve"> </w:t>
      </w:r>
      <w:r>
        <w:rPr>
          <w:rFonts w:ascii="Arial" w:cs="Arial" w:eastAsia="Arial" w:hAnsi="Arial"/>
          <w:sz w:val="20"/>
          <w:szCs w:val="20"/>
          <w:color w:val="auto"/>
        </w:rPr>
        <w:t>fiscal 2004 due primarily to a lower increase in accrued liabilities and a higher increase in inventory levels for the first nine months of fiscal 2005 compared to the first nine months of fiscal 2004, somewhat offset by higher earnings and a lower increase in accounts receivable. Cash used in investing activities was higher by $26.1 million compared to the first nine months of fiscal 2004, due mainly to cash utilized for the purchase of Hayter, somewhat offset by lower purchases of property, plant, and equipment. Cash used in financing activities was lower by $52.7 million compared to the first nine months of fiscal 2004. This change was due to a decrease in cash used to repurchase shares of our common stock during the first nine months of fiscal 2005 compared to the first nine months of fiscal 2004, offset by a higher increase in short-term debt.</w:t>
      </w:r>
    </w:p>
    <w:p>
      <w:pPr>
        <w:spacing w:after="0" w:line="211" w:lineRule="exact"/>
        <w:rPr>
          <w:sz w:val="20"/>
          <w:szCs w:val="20"/>
          <w:color w:val="auto"/>
        </w:rPr>
      </w:pPr>
    </w:p>
    <w:p>
      <w:pPr>
        <w:spacing w:after="0" w:line="270" w:lineRule="auto"/>
        <w:rPr>
          <w:sz w:val="20"/>
          <w:szCs w:val="20"/>
          <w:color w:val="auto"/>
        </w:rPr>
      </w:pPr>
      <w:r>
        <w:rPr>
          <w:rFonts w:ascii="Arial" w:cs="Arial" w:eastAsia="Arial" w:hAnsi="Arial"/>
          <w:sz w:val="18"/>
          <w:szCs w:val="18"/>
          <w:i w:val="1"/>
          <w:iCs w:val="1"/>
          <w:u w:val="single" w:color="auto"/>
          <w:color w:val="auto"/>
        </w:rPr>
        <w:t>Credit Lines and Other Capital Resources.</w:t>
      </w:r>
      <w:r>
        <w:rPr>
          <w:rFonts w:ascii="Arial" w:cs="Arial" w:eastAsia="Arial" w:hAnsi="Arial"/>
          <w:sz w:val="18"/>
          <w:szCs w:val="18"/>
          <w:i w:val="1"/>
          <w:iCs w:val="1"/>
          <w:color w:val="auto"/>
        </w:rPr>
        <w:t xml:space="preserve"> </w:t>
      </w:r>
      <w:r>
        <w:rPr>
          <w:rFonts w:ascii="Arial" w:cs="Arial" w:eastAsia="Arial" w:hAnsi="Arial"/>
          <w:sz w:val="18"/>
          <w:szCs w:val="18"/>
          <w:color w:val="auto"/>
        </w:rPr>
        <w:t>Our business is seasonal, with accounts receivable balances historically increasing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and April as a result of higher sales volumes and extended payment terms made available to our customers, and decreasing between May and December when payments are received. The seasonality of production and shipments causes our working capital requirements to fluctuate during the year. Our peak borrowing usually occurs between February and May. Seasonal cash requirements are financed from operations and with short- and medium-term financing arrangements, including a $175.0 million unsecured senior five-year revolving credit facility, which expires in September 2009. We also have a $75.0 million secured credit line backed by a multi-year credit agreement, expiring in July 2006, which is renewable annually. Interest expense on these credit lines is determined based on a LIBOR or commercial paper rate plus a basis point spread defined in the credit agreements. In addition, our non-U.S. operations and a domestic subsidiary also maintain unsecured short-term lines of credit of approximately $16.6 million. These facilities bear interest at various rates depending on the rates in their respective countries of operation. We also have a letter of credit subfacility as part of our credit agreements. Average short-term debt was $81.3 million in the first nine months of fiscal 2005 compared to $7.2 million in the first nine months of fiscal 2004, an increase of $74.1 million. This increase was primarily attributable to shares of our common stock repurchased during the past fourteen months and the purchase of Hayter. As of July 29, 2005, we had $212.0 million of unutilized availability under our credit agreements.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60" w:firstLine="324"/>
        <w:spacing w:after="0" w:line="256" w:lineRule="auto"/>
        <w:rPr>
          <w:sz w:val="20"/>
          <w:szCs w:val="20"/>
          <w:color w:val="auto"/>
        </w:rPr>
      </w:pPr>
      <w:r>
        <w:rPr>
          <w:rFonts w:ascii="Arial" w:cs="Arial" w:eastAsia="Arial" w:hAnsi="Arial"/>
          <w:sz w:val="19"/>
          <w:szCs w:val="19"/>
          <w:color w:val="auto"/>
        </w:rPr>
        <w:t>Significant financial covenants in our credit agreements are interest coverage and debt to capitalization ratios. We were in compliance with all covenants related to our credit agreements as of July 29, 2005, and expect to be in compliance with all covenants during the remainder of fiscal 2005. If we were out of compliance with any covenant required by our credit agreements, the banks could terminate their commitments unless we could negotiate a covenant waiver from the banks. In addition, our long-term public notes and debentures could become due and payable if we were unable to obtain a covenant waiver or refinance our medium-term debt under our credit agreements. If our credit rating falls below investment grade, the interest rate we currently pay on outstanding debt under the credit agreements would increase, but the credit commitments could not be cancelled by the banks based only on a ratings downgrade. Our debt rating for long-term unsecured senior, non-credit enhanced debt was unchanged for the third quarter of fiscal 2005 by Standard and Poor’s Ratings Group at BBB- and by Moody’s Investors Service at Baa3.</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 and Contractual Obligations</w:t>
      </w:r>
    </w:p>
    <w:p>
      <w:pPr>
        <w:spacing w:after="0" w:line="122" w:lineRule="exact"/>
        <w:rPr>
          <w:sz w:val="20"/>
          <w:szCs w:val="20"/>
          <w:color w:val="auto"/>
        </w:rPr>
      </w:pPr>
    </w:p>
    <w:p>
      <w:pPr>
        <w:ind w:right="300"/>
        <w:spacing w:after="0" w:line="245" w:lineRule="auto"/>
        <w:rPr>
          <w:sz w:val="20"/>
          <w:szCs w:val="20"/>
          <w:color w:val="auto"/>
        </w:rPr>
      </w:pPr>
      <w:r>
        <w:rPr>
          <w:rFonts w:ascii="Arial" w:cs="Arial" w:eastAsia="Arial" w:hAnsi="Arial"/>
          <w:sz w:val="20"/>
          <w:szCs w:val="20"/>
          <w:color w:val="auto"/>
        </w:rPr>
        <w:t>Our off-balance sheet arrangements generally relate to customer financing activities, inventory purchase commitments, operating lease commitments, and currency contracts. See our most recently filed Annual Report on Form 10-K for further details regarding our off-balance sheet arrangements and contractual obligations.</w:t>
      </w:r>
    </w:p>
    <w:p>
      <w:pPr>
        <w:ind w:right="500" w:firstLine="324"/>
        <w:spacing w:after="0" w:line="269" w:lineRule="auto"/>
        <w:rPr>
          <w:sz w:val="20"/>
          <w:szCs w:val="20"/>
          <w:color w:val="auto"/>
        </w:rPr>
      </w:pPr>
      <w:r>
        <w:rPr>
          <w:rFonts w:ascii="Arial" w:cs="Arial" w:eastAsia="Arial" w:hAnsi="Arial"/>
          <w:sz w:val="19"/>
          <w:szCs w:val="19"/>
          <w:color w:val="auto"/>
        </w:rPr>
        <w:t>In the third quarter of fiscal 2005, we entered into an agreement to sell certain accounts receivable and notes to a third party. The total amount of receivables and notes outstanding under this agreement may not exceed $10.0 million at any time.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Inflation</w:t>
      </w:r>
    </w:p>
    <w:p>
      <w:pPr>
        <w:spacing w:after="0" w:line="122" w:lineRule="exact"/>
        <w:rPr>
          <w:sz w:val="20"/>
          <w:szCs w:val="20"/>
          <w:color w:val="auto"/>
        </w:rPr>
      </w:pPr>
    </w:p>
    <w:p>
      <w:pPr>
        <w:ind w:right="260"/>
        <w:spacing w:after="0" w:line="259" w:lineRule="auto"/>
        <w:rPr>
          <w:sz w:val="20"/>
          <w:szCs w:val="20"/>
          <w:color w:val="auto"/>
        </w:rPr>
      </w:pPr>
      <w:r>
        <w:rPr>
          <w:rFonts w:ascii="Arial" w:cs="Arial" w:eastAsia="Arial" w:hAnsi="Arial"/>
          <w:sz w:val="19"/>
          <w:szCs w:val="19"/>
          <w:color w:val="auto"/>
        </w:rPr>
        <w:t>We are subject to the effects of inflation and changing prices. In the first nine months of fiscal 2005, average prices paid for steel, fuel, petroleum-based resins, and other commodities were higher compared to the first nine months of fiscal 2004, which resulted in a negative impact on our gross margin and net earnings. We expect this trend of increased costs for commodities to continue for the remainder of fiscal 2005, except for steel prices, which are expected to be similar to prices paid during the fourth quarter of last fiscal year. We are attempting to mitigate the impact of these commodity price increases as well as other inflationary pressures by actively pursuing internal cost reduction efforts. In addition, we also introduced price increases on some products in fiscal 2005.</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122" w:lineRule="exact"/>
        <w:rPr>
          <w:sz w:val="20"/>
          <w:szCs w:val="20"/>
          <w:color w:val="auto"/>
        </w:rPr>
      </w:pPr>
    </w:p>
    <w:p>
      <w:pPr>
        <w:ind w:right="60"/>
        <w:spacing w:after="0" w:line="242" w:lineRule="auto"/>
        <w:rPr>
          <w:sz w:val="20"/>
          <w:szCs w:val="20"/>
          <w:color w:val="auto"/>
        </w:rPr>
      </w:pPr>
      <w:r>
        <w:rPr>
          <w:rFonts w:ascii="Arial" w:cs="Arial" w:eastAsia="Arial" w:hAnsi="Arial"/>
          <w:sz w:val="20"/>
          <w:szCs w:val="20"/>
          <w:color w:val="auto"/>
        </w:rPr>
        <w:t>In preparing the consolidated financial statements in conformity with accounting principles generally accepted in the United States of America, we must make decisions which impact the reported amounts of assets, liabilities, revenues and expenses, and related disclosures. Such decisions include the selection of the appropriate accounting principles to be applied and the assumptions on which to base accounting estimates. In reaching such decisions, we apply judgments based on our understanding and analysis of the relevant circumstances, historical experience, and actuarial valuations. Actual amounts could differ from those estimated at the time the consolidated financial statements are prepared.</w:t>
      </w:r>
    </w:p>
    <w:p>
      <w:pPr>
        <w:spacing w:after="0" w:line="2" w:lineRule="exact"/>
        <w:rPr>
          <w:sz w:val="20"/>
          <w:szCs w:val="20"/>
          <w:color w:val="auto"/>
        </w:rPr>
      </w:pPr>
    </w:p>
    <w:p>
      <w:pPr>
        <w:ind w:right="80" w:firstLine="324"/>
        <w:spacing w:after="0"/>
        <w:rPr>
          <w:sz w:val="20"/>
          <w:szCs w:val="20"/>
          <w:color w:val="auto"/>
        </w:rPr>
      </w:pPr>
      <w:r>
        <w:rPr>
          <w:rFonts w:ascii="Arial" w:cs="Arial" w:eastAsia="Arial" w:hAnsi="Arial"/>
          <w:sz w:val="20"/>
          <w:szCs w:val="20"/>
          <w:color w:val="auto"/>
        </w:rPr>
        <w:t>Our significant accounting policies are described in Note 1 to the consolidated financial statements included in our Annual Report on Form 10-K for the fiscal year ended October 31, 2004. Some of those significant accounting policies require us to make difficult subjective or complex judgments or estimates. An accounting estimate is considered to be critical if it meets both of the following criteria: (i) the estimate requires assumptions about matters that are highly uncertain at the time the accounting estimate is made, and (ii) different estimates reasonably could have been used or changes in the estimates that are reasonably likely to occur from period to period would have a material impact on the presentation of our financial condition, changes in financial condition or results of operations. Our critical accounting estimates include the following:</w:t>
      </w:r>
    </w:p>
    <w:p>
      <w:pPr>
        <w:spacing w:after="0" w:line="211" w:lineRule="exact"/>
        <w:rPr>
          <w:sz w:val="20"/>
          <w:szCs w:val="20"/>
          <w:color w:val="auto"/>
        </w:rPr>
      </w:pPr>
    </w:p>
    <w:p>
      <w:pPr>
        <w:ind w:right="240"/>
        <w:spacing w:after="0" w:line="386" w:lineRule="auto"/>
        <w:rPr>
          <w:sz w:val="20"/>
          <w:szCs w:val="20"/>
          <w:color w:val="auto"/>
        </w:rPr>
      </w:pPr>
      <w:r>
        <w:rPr>
          <w:rFonts w:ascii="Arial" w:cs="Arial" w:eastAsia="Arial" w:hAnsi="Arial"/>
          <w:sz w:val="16"/>
          <w:szCs w:val="16"/>
          <w:i w:val="1"/>
          <w:iCs w:val="1"/>
          <w:u w:val="single" w:color="auto"/>
          <w:color w:val="auto"/>
        </w:rPr>
        <w:t>Warranty Reserve</w:t>
      </w:r>
      <w:r>
        <w:rPr>
          <w:rFonts w:ascii="Arial" w:cs="Arial" w:eastAsia="Arial" w:hAnsi="Arial"/>
          <w:sz w:val="16"/>
          <w:szCs w:val="16"/>
          <w:color w:val="auto"/>
        </w:rPr>
        <w:t>. Warranty coverage on our products ranges from a period of six months to seven years, and covers parts, labor,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for non-maintenance repairs, provided operator abuse, improper use or negligence did not necessitate the repair. At the time of sale,</w:t>
      </w:r>
    </w:p>
    <w:p>
      <w:pPr>
        <w:sectPr>
          <w:pgSz w:w="11900" w:h="16959" w:orient="portrait"/>
          <w:cols w:equalWidth="0" w:num="1">
            <w:col w:w="11420"/>
          </w:cols>
          <w:pgMar w:left="240" w:top="352" w:right="239" w:bottom="0" w:gutter="0" w:footer="0" w:header="0"/>
        </w:sectPr>
      </w:pPr>
    </w:p>
    <w:bookmarkStart w:id="14" w:name="page15"/>
    <w:bookmarkEnd w:id="14"/>
    <w:p>
      <w:pPr>
        <w:spacing w:after="0" w:line="274" w:lineRule="auto"/>
        <w:rPr>
          <w:sz w:val="20"/>
          <w:szCs w:val="20"/>
          <w:color w:val="auto"/>
        </w:rPr>
      </w:pPr>
      <w:r>
        <w:rPr>
          <w:rFonts w:ascii="Arial" w:cs="Arial" w:eastAsia="Arial" w:hAnsi="Arial"/>
          <w:sz w:val="18"/>
          <w:szCs w:val="18"/>
          <w:color w:val="auto"/>
        </w:rPr>
        <w:t>we accrue a warranty reserve by product line for estimated costs in connection with future warranty claims. We also establish reserves for major rework campaigns upon approval. The amount of our warranty reserves is based primarily on the estimated number of products under warranty, historical average costs incurred to service warranty claims, the trend in the historical ratio of claims to sales, and the historical length of time between the sale and resulting warranty claim. We periodically assess the adequacy of our warranty reserves based on changes in these factors and record any necessary adjustments if actual claim experience indicates that adjustments are necessary. Actual claims could be higher or lower than amounts estimated, as the amount and value of warranty claims are subject to variation based on such factors as performance of new products, significant manufacturing or design defects not discovered until after the product is delivered to</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customers, product failure rates, and higher or lower than expected service costs for a repair. We believe that analysis of historical trends and knowledge of potential manufacturing or design problems provide sufficient information to establish a reasonable estimate for warranty claims at the time of sale. However, since we cannot predict with certainty future warranty claims or costs associated with servicing those claims, our actual warranty costs may differ from our estimates. An unexpected increase in warranty claims or in the costs associated with servicing those claims would result in an increase in our warranty accrual and a charge to selling, general, and administrative expense. The accrual for future estimated warranty claims was $66.9 million as of July 29, 2005 compared to $64.7 million as of July 30, 2004.</w:t>
      </w:r>
    </w:p>
    <w:p>
      <w:pPr>
        <w:spacing w:after="0" w:line="179"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i w:val="1"/>
          <w:iCs w:val="1"/>
          <w:u w:val="single" w:color="auto"/>
          <w:color w:val="auto"/>
        </w:rPr>
        <w:t>Accounts and Notes Receivable Valuation</w:t>
      </w:r>
      <w:r>
        <w:rPr>
          <w:rFonts w:ascii="Arial" w:cs="Arial" w:eastAsia="Arial" w:hAnsi="Arial"/>
          <w:sz w:val="18"/>
          <w:szCs w:val="18"/>
          <w:color w:val="auto"/>
        </w:rPr>
        <w:t>. We value accounts and notes receivable, net of an allowance for doubtful accounts. Each quarter, we</w:t>
      </w:r>
      <w:r>
        <w:rPr>
          <w:rFonts w:ascii="Arial" w:cs="Arial" w:eastAsia="Arial" w:hAnsi="Arial"/>
          <w:sz w:val="18"/>
          <w:szCs w:val="18"/>
          <w:i w:val="1"/>
          <w:iCs w:val="1"/>
          <w:color w:val="auto"/>
        </w:rPr>
        <w:t xml:space="preserve"> </w:t>
      </w:r>
      <w:r>
        <w:rPr>
          <w:rFonts w:ascii="Arial" w:cs="Arial" w:eastAsia="Arial" w:hAnsi="Arial"/>
          <w:sz w:val="18"/>
          <w:szCs w:val="18"/>
          <w:color w:val="auto"/>
        </w:rPr>
        <w:t>prepare an analysis of our ability to collect outstanding receivables that provides a basis for an allowance estimate for doubtful accounts. In doing so, we evaluate the age of our receivables, past collection history, current financial conditions of key customers, and economic conditions. Based on this evaluation, we establish a reserve for specific accounts and notes receivable that we believe are uncollectible, as well as an estimate of uncollectible receivables not specifically known. Portions of our accounts receivable are protected by a security interest in products held by customers, which minimizes our collection exposure. A deterioration in the financial condition of any key customer or a significant slow down in the economy could have a material negative impact on our ability to collect a portion or all of the accounts and notes receivable. We believe that an analysis of historical trends and our current knowledge of potential collection problems provide us with sufficient information to establish a reasonable estimate for an allowance for doubtful accounts. However, since we cannot predict with certainty future changes in the financial stability of our customers, our actual future losses from uncollectible accounts may differ from our estimates. In the event we determined that a smaller or larger uncollectible accounts reserve is appropriate, we would record a credit or charge to selling, general, and administrative expense in the period that we made such a determination. As of July 29, 2005, we had $2.3 million reserved against our accounts and notes receivable compared to $3.2 million as of July 30, 2004.</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Accounting Pronouncements To Be Adopted</w:t>
      </w:r>
    </w:p>
    <w:p>
      <w:pPr>
        <w:spacing w:after="0" w:line="122"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In March 2005, the FASB issued Interpretation No. 47, “Accounting for Conditional Asset Retirement Obligations,” an interpretation of FASB Statement No. 143. FASB Interpretation No. 47 clarifies the timing of liability recognition for legal obligations associated with the retirement of tangible long-lived assets when the timing and (or) method of settlement are conditional on a future event. We will adopt provisions of FASB Interpretation No. 47 on November 1, 2005, as required, and we do not expect the adoption of this Interpretation to have a material impact to our consolidated results of operations or financial condition.</w:t>
      </w:r>
    </w:p>
    <w:p>
      <w:pPr>
        <w:spacing w:after="0" w:line="3" w:lineRule="exact"/>
        <w:rPr>
          <w:sz w:val="20"/>
          <w:szCs w:val="20"/>
          <w:color w:val="auto"/>
        </w:rPr>
      </w:pPr>
    </w:p>
    <w:p>
      <w:pPr>
        <w:ind w:right="80" w:firstLine="324"/>
        <w:spacing w:after="0" w:line="270" w:lineRule="auto"/>
        <w:rPr>
          <w:sz w:val="20"/>
          <w:szCs w:val="20"/>
          <w:color w:val="auto"/>
        </w:rPr>
      </w:pPr>
      <w:r>
        <w:rPr>
          <w:rFonts w:ascii="Arial" w:cs="Arial" w:eastAsia="Arial" w:hAnsi="Arial"/>
          <w:sz w:val="18"/>
          <w:szCs w:val="18"/>
          <w:color w:val="auto"/>
        </w:rPr>
        <w:t>In November 2004, the FASB issued SFAS No. 151, “Inventory Costs,” which amends the guidance in ARB No. 43, Chapter 4, “Inventory Pricing,” to clarify the accounting for abnormal amounts of idle facility expense, freight, handling costs, and wasted material. This Statement requires that those items be recognized as current-period charges regardless of whether they meet the criterion of “so abnormal.” In addition, this Statement requires that the allocation of fixed production overheads to the costs of conversion be based on the normal capacity of the production facilities. We are currently evaluating the provisions of SFAS No. 151 and will adopt it on November 1, 2005, as required. We do not expect that the adoption of SFAS No. 151 will have an impact on our future fiscal year results; however, we expect that our results between quarterly periods will be impacted due to a change in the timing of recording certain manufacturing costs. We expect our adoption of SFAS No. 151 to result in net earnings increasing in the first and fourth fiscal quarters of fiscal 2006, and decreasing in the second and third fiscal quarters of fiscal 2006 compared to comparable quarters of fiscal 2005.</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Information</w:t>
      </w:r>
    </w:p>
    <w:p>
      <w:pPr>
        <w:spacing w:after="0" w:line="235" w:lineRule="exact"/>
        <w:rPr>
          <w:sz w:val="20"/>
          <w:szCs w:val="20"/>
          <w:color w:val="auto"/>
        </w:rPr>
      </w:pPr>
    </w:p>
    <w:p>
      <w:pPr>
        <w:ind w:right="40"/>
        <w:spacing w:after="0" w:line="254" w:lineRule="auto"/>
        <w:rPr>
          <w:sz w:val="20"/>
          <w:szCs w:val="20"/>
          <w:color w:val="auto"/>
        </w:rPr>
      </w:pPr>
      <w:r>
        <w:rPr>
          <w:rFonts w:ascii="Arial" w:cs="Arial" w:eastAsia="Arial" w:hAnsi="Arial"/>
          <w:sz w:val="19"/>
          <w:szCs w:val="19"/>
          <w:i w:val="1"/>
          <w:iCs w:val="1"/>
          <w:color w:val="auto"/>
        </w:rPr>
        <w:t>This Quarterly Report on Form 10-Q contains not only historical information, but also forward-looking statements within the meaning of Section 27A of the Securities Act of 1933 and Section 21E of the Securities Exchange Act of 1934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Internet web sites or otherwise. Statements that are not historical are forward-looking and reflect expectations and assumptions. We try to identify forward-looking statements in this report and elsewhere by using words such as “expect”, “looking ahead”, “anticipate”, “estimate”, “believe”, “should”, “intend”, and similar expressions. Our forward-looking statements generally relate to our future performance, including our anticipated operating results and liquidity requirements, our business strategies and goals, and the effect of laws, rules, regulations, and new accounting pronouncements and outstanding litigation on our business, operating results and financial condition.</w:t>
      </w:r>
    </w:p>
    <w:p>
      <w:pPr>
        <w:spacing w:after="0" w:line="1" w:lineRule="exact"/>
        <w:rPr>
          <w:sz w:val="20"/>
          <w:szCs w:val="20"/>
          <w:color w:val="auto"/>
        </w:rPr>
      </w:pPr>
    </w:p>
    <w:p>
      <w:pPr>
        <w:ind w:right="20" w:firstLine="194"/>
        <w:spacing w:after="0" w:line="239" w:lineRule="auto"/>
        <w:rPr>
          <w:sz w:val="20"/>
          <w:szCs w:val="20"/>
          <w:color w:val="auto"/>
        </w:rPr>
      </w:pPr>
      <w:r>
        <w:rPr>
          <w:rFonts w:ascii="Arial" w:cs="Arial" w:eastAsia="Arial" w:hAnsi="Arial"/>
          <w:sz w:val="20"/>
          <w:szCs w:val="20"/>
          <w:color w:val="auto"/>
        </w:rPr>
        <w:t>Forward-looking statements involve risks and uncertainties. These uncertainties include factors that affect all businesses operating in a global market as well as matters specific to Toro. The following are some of the factors known to us that could cause our actual results to differ materially from what we have anticipated in our forward-looking statements:</w:t>
      </w:r>
    </w:p>
    <w:p>
      <w:pPr>
        <w:spacing w:after="0" w:line="2" w:lineRule="exact"/>
        <w:rPr>
          <w:sz w:val="20"/>
          <w:szCs w:val="20"/>
          <w:color w:val="auto"/>
        </w:rPr>
      </w:pPr>
    </w:p>
    <w:p>
      <w:pPr>
        <w:jc w:val="both"/>
        <w:ind w:left="260" w:right="300" w:hanging="252"/>
        <w:spacing w:after="0" w:line="241" w:lineRule="auto"/>
        <w:tabs>
          <w:tab w:leader="none" w:pos="268" w:val="left"/>
        </w:tabs>
        <w:numPr>
          <w:ilvl w:val="0"/>
          <w:numId w:val="3"/>
        </w:numPr>
        <w:rPr>
          <w:rFonts w:ascii="Arial" w:cs="Arial" w:eastAsia="Arial" w:hAnsi="Arial"/>
          <w:sz w:val="20"/>
          <w:szCs w:val="20"/>
          <w:color w:val="auto"/>
        </w:rPr>
      </w:pPr>
      <w:r>
        <w:rPr>
          <w:rFonts w:ascii="Arial" w:cs="Arial" w:eastAsia="Arial" w:hAnsi="Arial"/>
          <w:sz w:val="20"/>
          <w:szCs w:val="20"/>
          <w:color w:val="auto"/>
        </w:rPr>
        <w:t>Changes in global and domestic economies, including but not limited to slow growth rate, slow down in home sales, rise in interest rates, inflation, unemployment, weaker consumer confidence, political instability in international markets, and currency exchange rates, which could have a negative impact on our financial results.</w:t>
      </w:r>
    </w:p>
    <w:p>
      <w:pPr>
        <w:sectPr>
          <w:pgSz w:w="11900" w:h="16838" w:orient="portrait"/>
          <w:cols w:equalWidth="0" w:num="1">
            <w:col w:w="11420"/>
          </w:cols>
          <w:pgMar w:left="240" w:top="122" w:right="239" w:bottom="0" w:gutter="0" w:footer="0" w:header="0"/>
        </w:sectPr>
      </w:pPr>
    </w:p>
    <w:bookmarkStart w:id="15" w:name="page16"/>
    <w:bookmarkEnd w:id="15"/>
    <w:p>
      <w:pPr>
        <w:ind w:left="260" w:right="160" w:hanging="252"/>
        <w:spacing w:after="0" w:line="261" w:lineRule="auto"/>
        <w:tabs>
          <w:tab w:leader="none" w:pos="268" w:val="left"/>
        </w:tabs>
        <w:numPr>
          <w:ilvl w:val="0"/>
          <w:numId w:val="4"/>
        </w:numPr>
        <w:rPr>
          <w:rFonts w:ascii="Arial" w:cs="Arial" w:eastAsia="Arial" w:hAnsi="Arial"/>
          <w:sz w:val="19"/>
          <w:szCs w:val="19"/>
          <w:color w:val="auto"/>
        </w:rPr>
      </w:pPr>
      <w:r>
        <w:rPr>
          <w:rFonts w:ascii="Arial" w:cs="Arial" w:eastAsia="Arial" w:hAnsi="Arial"/>
          <w:sz w:val="19"/>
          <w:szCs w:val="19"/>
          <w:color w:val="auto"/>
        </w:rPr>
        <w:t>Fluctuations in the cost and availability of raw materials, such as steel, fuel, petroleum-based resins, and other commodities, and increased dependence on suppliers and our ability to maintain favorable supplier arrangements and relationships.</w:t>
      </w:r>
    </w:p>
    <w:p>
      <w:pPr>
        <w:spacing w:after="0" w:line="1" w:lineRule="exact"/>
        <w:rPr>
          <w:rFonts w:ascii="Arial" w:cs="Arial" w:eastAsia="Arial" w:hAnsi="Arial"/>
          <w:sz w:val="19"/>
          <w:szCs w:val="19"/>
          <w:color w:val="auto"/>
        </w:rPr>
      </w:pPr>
    </w:p>
    <w:p>
      <w:pPr>
        <w:ind w:left="260" w:right="20" w:hanging="252"/>
        <w:spacing w:after="0" w:line="266" w:lineRule="auto"/>
        <w:tabs>
          <w:tab w:leader="none" w:pos="268"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achieve goals of the “6 + 8: Teamwork to the Top” initiative that is intended to achieve a consistent after-tax return on sales of 6 percent or more and grow revenues at an average annual rate of 8 percent or more over the three-year period ending October 31, 2006.</w:t>
      </w:r>
    </w:p>
    <w:p>
      <w:pPr>
        <w:ind w:left="280" w:hanging="272"/>
        <w:spacing w:after="0"/>
        <w:tabs>
          <w:tab w:leader="none" w:pos="280"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ability to achieve projected net sales and earnings growth for fiscal 2005.</w:t>
      </w:r>
    </w:p>
    <w:p>
      <w:pPr>
        <w:ind w:left="260" w:right="40" w:hanging="252"/>
        <w:spacing w:after="0" w:line="239" w:lineRule="auto"/>
        <w:tabs>
          <w:tab w:leader="none" w:pos="268"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ability to implement lean manufacturing and other productivity improvement initiatives and price increases on some of our products, which are intended to improve gross margins, offset a portion of rising raw material costs, and provide investment funding for new products and services.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4"/>
        </w:numPr>
        <w:rPr>
          <w:rFonts w:ascii="Arial" w:cs="Arial" w:eastAsia="Arial" w:hAnsi="Arial"/>
          <w:sz w:val="20"/>
          <w:szCs w:val="20"/>
          <w:color w:val="auto"/>
        </w:rPr>
      </w:pPr>
      <w:r>
        <w:rPr>
          <w:rFonts w:ascii="Arial" w:cs="Arial" w:eastAsia="Arial" w:hAnsi="Arial"/>
          <w:sz w:val="20"/>
          <w:szCs w:val="20"/>
          <w:color w:val="auto"/>
        </w:rPr>
        <w:t>Increased dependence on The Home Depot, Inc. as a customer for the residential segment.</w:t>
      </w:r>
    </w:p>
    <w:p>
      <w:pPr>
        <w:ind w:left="260" w:hanging="252"/>
        <w:spacing w:after="0" w:line="252" w:lineRule="auto"/>
        <w:tabs>
          <w:tab w:leader="none" w:pos="268" w:val="left"/>
        </w:tabs>
        <w:numPr>
          <w:ilvl w:val="0"/>
          <w:numId w:val="4"/>
        </w:numPr>
        <w:rPr>
          <w:rFonts w:ascii="Arial" w:cs="Arial" w:eastAsia="Arial" w:hAnsi="Arial"/>
          <w:sz w:val="19"/>
          <w:szCs w:val="19"/>
          <w:color w:val="auto"/>
        </w:rPr>
      </w:pPr>
      <w:r>
        <w:rPr>
          <w:rFonts w:ascii="Arial" w:cs="Arial" w:eastAsia="Arial" w:hAnsi="Arial"/>
          <w:sz w:val="19"/>
          <w:szCs w:val="19"/>
          <w:color w:val="auto"/>
        </w:rPr>
        <w:t>Our ability to develop and introduce new products in a timely manner and market acceptance of new products as well as sales generated from these new products relative to expectations, based on existing and anticipated investments in manufacturing capacity and commitments to fund advertising, marketing, promotional programs, and research and development.</w:t>
      </w:r>
    </w:p>
    <w:p>
      <w:pPr>
        <w:ind w:left="260" w:right="1020" w:hanging="252"/>
        <w:spacing w:after="0" w:line="239" w:lineRule="auto"/>
        <w:tabs>
          <w:tab w:leader="none" w:pos="268"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ability to acquire, develop, integrate new businesses and acquisitions, and manage alliances and joint venture arrangements successfully, both of which are important to our revenue growth.</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4"/>
        </w:numPr>
        <w:rPr>
          <w:rFonts w:ascii="Arial" w:cs="Arial" w:eastAsia="Arial" w:hAnsi="Arial"/>
          <w:sz w:val="20"/>
          <w:szCs w:val="20"/>
          <w:color w:val="auto"/>
        </w:rPr>
      </w:pPr>
      <w:r>
        <w:rPr>
          <w:rFonts w:ascii="Arial" w:cs="Arial" w:eastAsia="Arial" w:hAnsi="Arial"/>
          <w:sz w:val="20"/>
          <w:szCs w:val="20"/>
          <w:color w:val="auto"/>
        </w:rPr>
        <w:t>Weather conditions that reduce demand for our products.</w:t>
      </w:r>
    </w:p>
    <w:p>
      <w:pPr>
        <w:jc w:val="both"/>
        <w:ind w:left="260" w:right="360" w:hanging="252"/>
        <w:spacing w:after="0" w:line="299" w:lineRule="auto"/>
        <w:tabs>
          <w:tab w:leader="none" w:pos="268"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Increased competition, including competitive pricing pressures, new competitors entering the markets we serve, potential loss of market share, acquisitions by competitors, new product introductions, and financing programs offered by both domestic and foreign companies.</w:t>
      </w:r>
    </w:p>
    <w:p>
      <w:pPr>
        <w:ind w:left="260" w:right="100" w:hanging="252"/>
        <w:spacing w:after="0" w:line="239" w:lineRule="auto"/>
        <w:tabs>
          <w:tab w:leader="none" w:pos="268" w:val="left"/>
        </w:tabs>
        <w:numPr>
          <w:ilvl w:val="0"/>
          <w:numId w:val="4"/>
        </w:numPr>
        <w:rPr>
          <w:rFonts w:ascii="Arial" w:cs="Arial" w:eastAsia="Arial" w:hAnsi="Arial"/>
          <w:sz w:val="20"/>
          <w:szCs w:val="20"/>
          <w:color w:val="auto"/>
        </w:rPr>
      </w:pPr>
      <w:r>
        <w:rPr>
          <w:rFonts w:ascii="Arial" w:cs="Arial" w:eastAsia="Arial" w:hAnsi="Arial"/>
          <w:sz w:val="20"/>
          <w:szCs w:val="20"/>
          <w:color w:val="auto"/>
        </w:rPr>
        <w:t>Changing buying patterns, including but not limited to, a trend away from purchases at dealer outlets to price and value sensitive purchases at hardware retailers, home centers, and mass retailers.</w:t>
      </w:r>
    </w:p>
    <w:p>
      <w:pPr>
        <w:spacing w:after="0" w:line="1" w:lineRule="exact"/>
        <w:rPr>
          <w:rFonts w:ascii="Arial" w:cs="Arial" w:eastAsia="Arial" w:hAnsi="Arial"/>
          <w:sz w:val="20"/>
          <w:szCs w:val="20"/>
          <w:color w:val="auto"/>
        </w:rPr>
      </w:pPr>
    </w:p>
    <w:p>
      <w:pPr>
        <w:ind w:left="260" w:right="420" w:hanging="252"/>
        <w:spacing w:after="0" w:line="239" w:lineRule="auto"/>
        <w:tabs>
          <w:tab w:leader="none" w:pos="268" w:val="left"/>
        </w:tabs>
        <w:numPr>
          <w:ilvl w:val="0"/>
          <w:numId w:val="4"/>
        </w:numPr>
        <w:rPr>
          <w:rFonts w:ascii="Arial" w:cs="Arial" w:eastAsia="Arial" w:hAnsi="Arial"/>
          <w:sz w:val="20"/>
          <w:szCs w:val="20"/>
          <w:color w:val="auto"/>
        </w:rPr>
      </w:pPr>
      <w:r>
        <w:rPr>
          <w:rFonts w:ascii="Arial" w:cs="Arial" w:eastAsia="Arial" w:hAnsi="Arial"/>
          <w:sz w:val="20"/>
          <w:szCs w:val="20"/>
          <w:color w:val="auto"/>
        </w:rPr>
        <w:t>Rising transportation costs as a result of higher fuel costs, capacity issues in the transportation industry, and government regulation that limits the hours of service and increases fuel consumption.</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ability to smoothly transition leadership roles and responsibilities.</w:t>
      </w:r>
    </w:p>
    <w:p>
      <w:pPr>
        <w:ind w:left="280" w:hanging="272"/>
        <w:spacing w:after="0"/>
        <w:tabs>
          <w:tab w:leader="none" w:pos="280" w:val="left"/>
        </w:tabs>
        <w:numPr>
          <w:ilvl w:val="0"/>
          <w:numId w:val="4"/>
        </w:numPr>
        <w:rPr>
          <w:rFonts w:ascii="Arial" w:cs="Arial" w:eastAsia="Arial" w:hAnsi="Arial"/>
          <w:sz w:val="20"/>
          <w:szCs w:val="20"/>
          <w:color w:val="auto"/>
        </w:rPr>
      </w:pPr>
      <w:r>
        <w:rPr>
          <w:rFonts w:ascii="Arial" w:cs="Arial" w:eastAsia="Arial" w:hAnsi="Arial"/>
          <w:sz w:val="20"/>
          <w:szCs w:val="20"/>
          <w:color w:val="auto"/>
        </w:rPr>
        <w:t>Changes in our relationship with and terms from third party financing sources utilized by our customers.</w:t>
      </w:r>
    </w:p>
    <w:p>
      <w:pPr>
        <w:ind w:left="260" w:right="460" w:hanging="252"/>
        <w:spacing w:after="0" w:line="239" w:lineRule="auto"/>
        <w:tabs>
          <w:tab w:leader="none" w:pos="268" w:val="left"/>
        </w:tabs>
        <w:numPr>
          <w:ilvl w:val="0"/>
          <w:numId w:val="4"/>
        </w:numPr>
        <w:rPr>
          <w:rFonts w:ascii="Arial" w:cs="Arial" w:eastAsia="Arial" w:hAnsi="Arial"/>
          <w:sz w:val="20"/>
          <w:szCs w:val="20"/>
          <w:color w:val="auto"/>
        </w:rPr>
      </w:pPr>
      <w:r>
        <w:rPr>
          <w:rFonts w:ascii="Arial" w:cs="Arial" w:eastAsia="Arial" w:hAnsi="Arial"/>
          <w:sz w:val="20"/>
          <w:szCs w:val="20"/>
          <w:color w:val="auto"/>
        </w:rPr>
        <w:t>Continued threat of terrorist acts and war, which may result in heightened security and higher costs for import and export shipments of components or finished goods, and contraction of the U.S. and worldwide economies.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4"/>
        </w:numPr>
        <w:rPr>
          <w:rFonts w:ascii="Arial" w:cs="Arial" w:eastAsia="Arial" w:hAnsi="Arial"/>
          <w:sz w:val="20"/>
          <w:szCs w:val="20"/>
          <w:color w:val="auto"/>
        </w:rPr>
      </w:pPr>
      <w:r>
        <w:rPr>
          <w:rFonts w:ascii="Arial" w:cs="Arial" w:eastAsia="Arial" w:hAnsi="Arial"/>
          <w:sz w:val="20"/>
          <w:szCs w:val="20"/>
          <w:color w:val="auto"/>
        </w:rPr>
        <w:t>Elimination or reduction of shelf space for our products at retailers.</w:t>
      </w:r>
    </w:p>
    <w:p>
      <w:pPr>
        <w:ind w:left="260" w:right="220" w:hanging="252"/>
        <w:spacing w:after="0" w:line="239" w:lineRule="auto"/>
        <w:tabs>
          <w:tab w:leader="none" w:pos="268" w:val="left"/>
        </w:tabs>
        <w:numPr>
          <w:ilvl w:val="0"/>
          <w:numId w:val="4"/>
        </w:numPr>
        <w:rPr>
          <w:rFonts w:ascii="Arial" w:cs="Arial" w:eastAsia="Arial" w:hAnsi="Arial"/>
          <w:sz w:val="20"/>
          <w:szCs w:val="20"/>
          <w:color w:val="auto"/>
        </w:rPr>
      </w:pPr>
      <w:r>
        <w:rPr>
          <w:rFonts w:ascii="Arial" w:cs="Arial" w:eastAsia="Arial" w:hAnsi="Arial"/>
          <w:sz w:val="20"/>
          <w:szCs w:val="20"/>
          <w:color w:val="auto"/>
        </w:rPr>
        <w:t>Unforeseen inventory adjustments or changes in purchasing patterns by our customers, which could reduce sales and necessitate lowering manufacturing volumes, or increase inventory above acceptable levels.</w:t>
      </w:r>
    </w:p>
    <w:p>
      <w:pPr>
        <w:spacing w:after="0" w:line="1" w:lineRule="exact"/>
        <w:rPr>
          <w:rFonts w:ascii="Arial" w:cs="Arial" w:eastAsia="Arial" w:hAnsi="Arial"/>
          <w:sz w:val="20"/>
          <w:szCs w:val="20"/>
          <w:color w:val="auto"/>
        </w:rPr>
      </w:pPr>
    </w:p>
    <w:p>
      <w:pPr>
        <w:ind w:left="260" w:right="320" w:hanging="252"/>
        <w:spacing w:after="0" w:line="239" w:lineRule="auto"/>
        <w:tabs>
          <w:tab w:leader="none" w:pos="268" w:val="left"/>
        </w:tabs>
        <w:numPr>
          <w:ilvl w:val="0"/>
          <w:numId w:val="4"/>
        </w:numPr>
        <w:rPr>
          <w:rFonts w:ascii="Arial" w:cs="Arial" w:eastAsia="Arial" w:hAnsi="Arial"/>
          <w:sz w:val="20"/>
          <w:szCs w:val="20"/>
          <w:color w:val="auto"/>
        </w:rPr>
      </w:pPr>
      <w:r>
        <w:rPr>
          <w:rFonts w:ascii="Arial" w:cs="Arial" w:eastAsia="Arial" w:hAnsi="Arial"/>
          <w:sz w:val="20"/>
          <w:szCs w:val="20"/>
          <w:color w:val="auto"/>
        </w:rPr>
        <w:t>Unforeseen product quality problems in the development and production of new and existing products that could result in loss of market share, reduced sales, and higher warranty expense.</w:t>
      </w:r>
    </w:p>
    <w:p>
      <w:pPr>
        <w:spacing w:after="0" w:line="1" w:lineRule="exact"/>
        <w:rPr>
          <w:rFonts w:ascii="Arial" w:cs="Arial" w:eastAsia="Arial" w:hAnsi="Arial"/>
          <w:sz w:val="20"/>
          <w:szCs w:val="20"/>
          <w:color w:val="auto"/>
        </w:rPr>
      </w:pPr>
    </w:p>
    <w:p>
      <w:pPr>
        <w:ind w:left="260" w:right="1000" w:hanging="252"/>
        <w:spacing w:after="0" w:line="244" w:lineRule="auto"/>
        <w:tabs>
          <w:tab w:leader="none" w:pos="268" w:val="left"/>
        </w:tabs>
        <w:numPr>
          <w:ilvl w:val="0"/>
          <w:numId w:val="4"/>
        </w:numPr>
        <w:rPr>
          <w:rFonts w:ascii="Arial" w:cs="Arial" w:eastAsia="Arial" w:hAnsi="Arial"/>
          <w:sz w:val="20"/>
          <w:szCs w:val="20"/>
          <w:color w:val="auto"/>
        </w:rPr>
      </w:pPr>
      <w:r>
        <w:rPr>
          <w:rFonts w:ascii="Arial" w:cs="Arial" w:eastAsia="Arial" w:hAnsi="Arial"/>
          <w:sz w:val="20"/>
          <w:szCs w:val="20"/>
          <w:color w:val="auto"/>
        </w:rPr>
        <w:t>Degree of success in plant consolidation, including our ability to cost-effectively expand existing and move production between manufacturing facilities.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80" w:hanging="272"/>
        <w:spacing w:after="0"/>
        <w:tabs>
          <w:tab w:leader="none" w:pos="280" w:val="left"/>
        </w:tabs>
        <w:numPr>
          <w:ilvl w:val="0"/>
          <w:numId w:val="5"/>
        </w:numPr>
        <w:rPr>
          <w:rFonts w:ascii="Arial" w:cs="Arial" w:eastAsia="Arial" w:hAnsi="Arial"/>
          <w:sz w:val="20"/>
          <w:szCs w:val="20"/>
          <w:color w:val="auto"/>
        </w:rPr>
      </w:pPr>
      <w:r>
        <w:rPr>
          <w:rFonts w:ascii="Arial" w:cs="Arial" w:eastAsia="Arial" w:hAnsi="Arial"/>
          <w:sz w:val="20"/>
          <w:szCs w:val="20"/>
          <w:color w:val="auto"/>
        </w:rPr>
        <w:t>Government restrictions placed on water usage as well as water availability.</w:t>
      </w:r>
    </w:p>
    <w:p>
      <w:pPr>
        <w:spacing w:after="0" w:line="15" w:lineRule="exact"/>
        <w:rPr>
          <w:rFonts w:ascii="Arial" w:cs="Arial" w:eastAsia="Arial" w:hAnsi="Arial"/>
          <w:sz w:val="20"/>
          <w:szCs w:val="20"/>
          <w:color w:val="auto"/>
        </w:rPr>
      </w:pPr>
    </w:p>
    <w:p>
      <w:pPr>
        <w:ind w:left="280" w:hanging="272"/>
        <w:spacing w:after="0"/>
        <w:tabs>
          <w:tab w:leader="none" w:pos="280"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level of growth in the new golf course construction market and amount of investments in course renovations and improvements.</w:t>
      </w:r>
    </w:p>
    <w:p>
      <w:pPr>
        <w:spacing w:after="0" w:line="11" w:lineRule="exact"/>
        <w:rPr>
          <w:rFonts w:ascii="Arial" w:cs="Arial" w:eastAsia="Arial" w:hAnsi="Arial"/>
          <w:sz w:val="19"/>
          <w:szCs w:val="19"/>
          <w:color w:val="auto"/>
        </w:rPr>
      </w:pPr>
    </w:p>
    <w:p>
      <w:pPr>
        <w:ind w:left="260" w:right="960" w:hanging="252"/>
        <w:spacing w:after="0" w:line="239" w:lineRule="auto"/>
        <w:tabs>
          <w:tab w:leader="none" w:pos="268" w:val="left"/>
        </w:tabs>
        <w:numPr>
          <w:ilvl w:val="0"/>
          <w:numId w:val="5"/>
        </w:numPr>
        <w:rPr>
          <w:rFonts w:ascii="Arial" w:cs="Arial" w:eastAsia="Arial" w:hAnsi="Arial"/>
          <w:sz w:val="20"/>
          <w:szCs w:val="20"/>
          <w:color w:val="auto"/>
        </w:rPr>
      </w:pPr>
      <w:r>
        <w:rPr>
          <w:rFonts w:ascii="Arial" w:cs="Arial" w:eastAsia="Arial" w:hAnsi="Arial"/>
          <w:sz w:val="20"/>
          <w:szCs w:val="20"/>
          <w:color w:val="auto"/>
        </w:rPr>
        <w:t>Reduced government spending for grounds maintenance equipment due to reduced tax revenue, increasing expenses, and tighter government budgets.</w:t>
      </w:r>
    </w:p>
    <w:p>
      <w:pPr>
        <w:spacing w:after="0" w:line="1" w:lineRule="exact"/>
        <w:rPr>
          <w:rFonts w:ascii="Arial" w:cs="Arial" w:eastAsia="Arial" w:hAnsi="Arial"/>
          <w:sz w:val="20"/>
          <w:szCs w:val="20"/>
          <w:color w:val="auto"/>
        </w:rPr>
      </w:pPr>
    </w:p>
    <w:p>
      <w:pPr>
        <w:ind w:left="260" w:right="260" w:hanging="252"/>
        <w:spacing w:after="0" w:line="239" w:lineRule="auto"/>
        <w:tabs>
          <w:tab w:leader="none" w:pos="268" w:val="left"/>
        </w:tabs>
        <w:numPr>
          <w:ilvl w:val="0"/>
          <w:numId w:val="5"/>
        </w:numPr>
        <w:rPr>
          <w:rFonts w:ascii="Arial" w:cs="Arial" w:eastAsia="Arial" w:hAnsi="Arial"/>
          <w:sz w:val="20"/>
          <w:szCs w:val="20"/>
          <w:color w:val="auto"/>
        </w:rPr>
      </w:pPr>
      <w:r>
        <w:rPr>
          <w:rFonts w:ascii="Arial" w:cs="Arial" w:eastAsia="Arial" w:hAnsi="Arial"/>
          <w:sz w:val="20"/>
          <w:szCs w:val="20"/>
          <w:color w:val="auto"/>
        </w:rPr>
        <w:t>Financial viability of some distributors and dealers, changes in distributor ownership, our success in partnering with new dealers, and our customers’ ability to pay amounts owed to us.</w:t>
      </w:r>
    </w:p>
    <w:p>
      <w:pPr>
        <w:spacing w:after="0" w:line="1" w:lineRule="exact"/>
        <w:rPr>
          <w:rFonts w:ascii="Arial" w:cs="Arial" w:eastAsia="Arial" w:hAnsi="Arial"/>
          <w:sz w:val="20"/>
          <w:szCs w:val="20"/>
          <w:color w:val="auto"/>
        </w:rPr>
      </w:pPr>
    </w:p>
    <w:p>
      <w:pPr>
        <w:ind w:left="260" w:right="320" w:hanging="252"/>
        <w:spacing w:after="0" w:line="239" w:lineRule="auto"/>
        <w:tabs>
          <w:tab w:leader="none" w:pos="268" w:val="left"/>
        </w:tabs>
        <w:numPr>
          <w:ilvl w:val="0"/>
          <w:numId w:val="5"/>
        </w:numPr>
        <w:rPr>
          <w:rFonts w:ascii="Arial" w:cs="Arial" w:eastAsia="Arial" w:hAnsi="Arial"/>
          <w:sz w:val="20"/>
          <w:szCs w:val="20"/>
          <w:color w:val="auto"/>
        </w:rPr>
      </w:pPr>
      <w:r>
        <w:rPr>
          <w:rFonts w:ascii="Arial" w:cs="Arial" w:eastAsia="Arial" w:hAnsi="Arial"/>
          <w:sz w:val="20"/>
          <w:szCs w:val="20"/>
          <w:color w:val="auto"/>
        </w:rPr>
        <w:t>Changes in laws and regulations, including changes in accounting standards; taxation changes, including tax rate changes, new tax laws, revised tax law interpretations; foreign laws, including export and other trade restrictions and changes in duties and tariffs; and environmental laws.</w:t>
      </w:r>
    </w:p>
    <w:p>
      <w:pPr>
        <w:spacing w:after="0" w:line="1" w:lineRule="exact"/>
        <w:rPr>
          <w:rFonts w:ascii="Arial" w:cs="Arial" w:eastAsia="Arial" w:hAnsi="Arial"/>
          <w:sz w:val="20"/>
          <w:szCs w:val="20"/>
          <w:color w:val="auto"/>
        </w:rPr>
      </w:pPr>
    </w:p>
    <w:p>
      <w:pPr>
        <w:ind w:left="260" w:right="220" w:hanging="252"/>
        <w:spacing w:after="0" w:line="239" w:lineRule="auto"/>
        <w:tabs>
          <w:tab w:leader="none" w:pos="268"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effect on our business and our consolidated operating results or financial condition as a result of the pending litigation against the company and others in our industry that challenges engine horsepower ratings of lawnmower products, of which the company is currently unable to assess whether the litigation would have a material adverse effect on the company’s consolidated operating results or financial condition.</w:t>
      </w:r>
    </w:p>
    <w:p>
      <w:pPr>
        <w:spacing w:after="0" w:line="2" w:lineRule="exact"/>
        <w:rPr>
          <w:rFonts w:ascii="Arial" w:cs="Arial" w:eastAsia="Arial" w:hAnsi="Arial"/>
          <w:sz w:val="20"/>
          <w:szCs w:val="20"/>
          <w:color w:val="auto"/>
        </w:rPr>
      </w:pPr>
    </w:p>
    <w:p>
      <w:pPr>
        <w:ind w:left="260" w:right="560" w:hanging="252"/>
        <w:spacing w:after="0" w:line="244" w:lineRule="auto"/>
        <w:tabs>
          <w:tab w:leader="none" w:pos="268"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effects of other litigation, including threatened or pending litigation, on matters relating to patent infringement, employment, and commercial disputes.</w:t>
      </w:r>
    </w:p>
    <w:p>
      <w:pPr>
        <w:spacing w:after="0" w:line="205" w:lineRule="exact"/>
        <w:rPr>
          <w:sz w:val="20"/>
          <w:szCs w:val="20"/>
          <w:color w:val="auto"/>
        </w:rPr>
      </w:pPr>
    </w:p>
    <w:p>
      <w:pPr>
        <w:ind w:right="140"/>
        <w:spacing w:after="0" w:line="256" w:lineRule="auto"/>
        <w:rPr>
          <w:sz w:val="20"/>
          <w:szCs w:val="20"/>
          <w:color w:val="auto"/>
        </w:rPr>
      </w:pPr>
      <w:r>
        <w:rPr>
          <w:rFonts w:ascii="Arial" w:cs="Arial" w:eastAsia="Arial" w:hAnsi="Arial"/>
          <w:sz w:val="19"/>
          <w:szCs w:val="19"/>
          <w:i w:val="1"/>
          <w:iCs w:val="1"/>
          <w:color w:val="auto"/>
        </w:rPr>
        <w:t>We wish to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as well as others that we may consider immaterial or do not anticipate at this time. The foregoing risks and uncertainties are not exclusive and further information concerning the company and our businesses, including factors that potentially could materially affect our financial results or condition, may emerge from time to time. We assume no obligation to update forward-looking statements to reflect actual results or changes in factors or assumptions affecting such forward-looking statements. We advise you, however, to consult any further disclosures we make on related subjects in our future quarterly reports on Form 10-Q and current reports on Form 8-K we file with or furnish to the Securities and Exchange Commission.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Item 3. QUANTITATIVE AND QUALITATIVE DISCLOSURES ABOUT MARKET RISK</w:t>
      </w:r>
    </w:p>
    <w:p>
      <w:pPr>
        <w:sectPr>
          <w:pgSz w:w="11900" w:h="16838" w:orient="portrait"/>
          <w:cols w:equalWidth="0" w:num="1">
            <w:col w:w="11400"/>
          </w:cols>
          <w:pgMar w:left="240" w:top="122" w:right="259" w:bottom="0" w:gutter="0" w:footer="0" w:header="0"/>
        </w:sectPr>
      </w:pPr>
    </w:p>
    <w:p>
      <w:pPr>
        <w:spacing w:after="0" w:line="250" w:lineRule="exact"/>
        <w:rPr>
          <w:sz w:val="20"/>
          <w:szCs w:val="20"/>
          <w:color w:val="auto"/>
        </w:rPr>
      </w:pPr>
    </w:p>
    <w:p>
      <w:pPr>
        <w:ind w:right="320"/>
        <w:spacing w:after="0" w:line="316" w:lineRule="auto"/>
        <w:rPr>
          <w:sz w:val="20"/>
          <w:szCs w:val="20"/>
          <w:color w:val="auto"/>
        </w:rPr>
      </w:pPr>
      <w:r>
        <w:rPr>
          <w:rFonts w:ascii="Arial" w:cs="Arial" w:eastAsia="Arial" w:hAnsi="Arial"/>
          <w:sz w:val="18"/>
          <w:szCs w:val="18"/>
          <w:color w:val="auto"/>
        </w:rPr>
        <w:t>We are exposed to market risk stemming from changes in foreign currency exchange rates, interest rates, and commodity prices. Changes in these factors could cause fluctuations in our net earnings and cash flows. See further discussions on these market risks below.</w:t>
      </w:r>
    </w:p>
    <w:p>
      <w:pPr>
        <w:sectPr>
          <w:pgSz w:w="11900" w:h="16838" w:orient="portrait"/>
          <w:cols w:equalWidth="0" w:num="1">
            <w:col w:w="11400"/>
          </w:cols>
          <w:pgMar w:left="240" w:top="122" w:right="259" w:bottom="0" w:gutter="0" w:footer="0" w:header="0"/>
          <w:type w:val="continuous"/>
        </w:sectPr>
      </w:pPr>
    </w:p>
    <w:bookmarkStart w:id="16" w:name="page17"/>
    <w:bookmarkEnd w:id="16"/>
    <w:p>
      <w:pPr>
        <w:ind w:right="20"/>
        <w:spacing w:after="0" w:line="271" w:lineRule="auto"/>
        <w:rPr>
          <w:sz w:val="20"/>
          <w:szCs w:val="20"/>
          <w:color w:val="auto"/>
        </w:rPr>
      </w:pPr>
      <w:r>
        <w:rPr>
          <w:rFonts w:ascii="Arial" w:cs="Arial" w:eastAsia="Arial" w:hAnsi="Arial"/>
          <w:sz w:val="18"/>
          <w:szCs w:val="18"/>
          <w:i w:val="1"/>
          <w:iCs w:val="1"/>
          <w:u w:val="single" w:color="auto"/>
          <w:color w:val="auto"/>
        </w:rPr>
        <w:t>Foreign Currency Exchange Rate Risk</w:t>
      </w:r>
      <w:r>
        <w:rPr>
          <w:rFonts w:ascii="Arial" w:cs="Arial" w:eastAsia="Arial" w:hAnsi="Arial"/>
          <w:sz w:val="18"/>
          <w:szCs w:val="18"/>
          <w:color w:val="auto"/>
        </w:rPr>
        <w:t>. In the normal course of business, we actively manage the exposure to foreign currency market risk by</w:t>
      </w:r>
      <w:r>
        <w:rPr>
          <w:rFonts w:ascii="Arial" w:cs="Arial" w:eastAsia="Arial" w:hAnsi="Arial"/>
          <w:sz w:val="18"/>
          <w:szCs w:val="18"/>
          <w:i w:val="1"/>
          <w:iCs w:val="1"/>
          <w:color w:val="auto"/>
        </w:rPr>
        <w:t xml:space="preserve"> </w:t>
      </w:r>
      <w:r>
        <w:rPr>
          <w:rFonts w:ascii="Arial" w:cs="Arial" w:eastAsia="Arial" w:hAnsi="Arial"/>
          <w:sz w:val="18"/>
          <w:szCs w:val="18"/>
          <w:color w:val="auto"/>
        </w:rPr>
        <w:t>entering into various hedging instruments, authorized under company policies that place controls on these activities, with counterparties that are highly rated financial institutions. Our hedging activities involve the use of a variety of derivative financial instruments. We use derivative instruments only in an attempt to limit underlying exposure from currency fluctuations and to minimize earnings and cash volatility associated with foreign exchange rate changes, and not for trading purposes. We are exposed to foreign currency exchange rate risk arising from transactions in the normal course of business, such as sales and loans to wholly owned subsidiaries as well as sales to third party customers, purchases from suppliers, and bank lines of credit with creditors denominated in foreign currencies. Because our products are manufactured or sourced primarily from the United States, a stronger U.S. dollar generally has a negative impact on results from operations outside the United States while a weaker dollar generally has a positive effect. Our primary exchange rate exposures are with the Euro, the Japanese yen, the Australian dollar, the Canadian dollar, the British pound, and the Mexican peso against the U.S. dollar.</w:t>
      </w:r>
    </w:p>
    <w:p>
      <w:pPr>
        <w:spacing w:after="0" w:line="188"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We enter into various contracts, principally forward contracts that change in value as foreign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the value of the related exposures. Therefore, changes in market values of these hedge instruments are highly correlated with changes in market values of underlying hedged items both at inception of the hedge and over the life of the hedge contract. During the three and nine months ended July 29, 2005, the amount of gains (losses) reclassified to earnings for such cash flow hedges was $0.2 million and $(2.0) million, respectively. For the nine months ended July 29, 2005, the losses treated as a reduction of net sales for contracts to hedge trade sales were $3.0 million and the gains treated as a reduction of cost of sales for contracts to hedge inventory purchases were $1.0 million.</w:t>
      </w:r>
    </w:p>
    <w:p>
      <w:pPr>
        <w:spacing w:after="0" w:line="2" w:lineRule="exact"/>
        <w:rPr>
          <w:sz w:val="20"/>
          <w:szCs w:val="20"/>
          <w:color w:val="auto"/>
        </w:rPr>
      </w:pPr>
    </w:p>
    <w:p>
      <w:pPr>
        <w:ind w:right="80" w:firstLine="324"/>
        <w:spacing w:after="0" w:line="256" w:lineRule="auto"/>
        <w:rPr>
          <w:sz w:val="20"/>
          <w:szCs w:val="20"/>
          <w:color w:val="auto"/>
        </w:rPr>
      </w:pPr>
      <w:r>
        <w:rPr>
          <w:rFonts w:ascii="Arial" w:cs="Arial" w:eastAsia="Arial" w:hAnsi="Arial"/>
          <w:sz w:val="19"/>
          <w:szCs w:val="19"/>
          <w:color w:val="auto"/>
        </w:rPr>
        <w:t>The following foreign currency exchange contracts held by us have maturity dates in fiscal 2005. All items are non-trading and stated in U.S. dollars. Some derivative instruments we enter into do not meet the hedging criteria of SFAS No. 133, “Accounting for Derivative Instruments and Hedging Activities;” therefore, changes in their fair value are recorded in other income, net. The average contracted rate, notional amount, pre-tax value of derivative instruments in accumulated other comprehensive loss (AOCL), and fair value impact of derivative instruments in other income, net as of July 29, 2005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3"/>
          </w:tcPr>
          <w:p>
            <w:pPr>
              <w:jc w:val="center"/>
              <w:ind w:right="321"/>
              <w:spacing w:after="0"/>
              <w:rPr>
                <w:sz w:val="20"/>
                <w:szCs w:val="20"/>
                <w:color w:val="auto"/>
              </w:rPr>
            </w:pPr>
            <w:r>
              <w:rPr>
                <w:rFonts w:ascii="Arial" w:cs="Arial" w:eastAsia="Arial" w:hAnsi="Arial"/>
                <w:sz w:val="20"/>
                <w:szCs w:val="20"/>
                <w:b w:val="1"/>
                <w:bCs w:val="1"/>
                <w:color w:val="auto"/>
                <w:w w:val="88"/>
              </w:rPr>
              <w:t>Value in</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3"/>
          </w:tcPr>
          <w:p>
            <w:pPr>
              <w:jc w:val="center"/>
              <w:ind w:right="321"/>
              <w:spacing w:after="0"/>
              <w:rPr>
                <w:sz w:val="20"/>
                <w:szCs w:val="20"/>
                <w:color w:val="auto"/>
              </w:rPr>
            </w:pPr>
            <w:r>
              <w:rPr>
                <w:rFonts w:ascii="Arial" w:cs="Arial" w:eastAsia="Arial" w:hAnsi="Arial"/>
                <w:sz w:val="20"/>
                <w:szCs w:val="20"/>
                <w:b w:val="1"/>
                <w:bCs w:val="1"/>
                <w:color w:val="auto"/>
                <w:w w:val="89"/>
              </w:rPr>
              <w:t>Accumulated</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20"/>
                <w:szCs w:val="20"/>
                <w:b w:val="1"/>
                <w:bCs w:val="1"/>
                <w:color w:val="auto"/>
                <w:w w:val="86"/>
              </w:rPr>
              <w:t>Average</w:t>
            </w: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3"/>
          </w:tcPr>
          <w:p>
            <w:pPr>
              <w:jc w:val="center"/>
              <w:ind w:right="341"/>
              <w:spacing w:after="0"/>
              <w:rPr>
                <w:sz w:val="20"/>
                <w:szCs w:val="20"/>
                <w:color w:val="auto"/>
              </w:rPr>
            </w:pPr>
            <w:r>
              <w:rPr>
                <w:rFonts w:ascii="Arial" w:cs="Arial" w:eastAsia="Arial" w:hAnsi="Arial"/>
                <w:sz w:val="20"/>
                <w:szCs w:val="20"/>
                <w:b w:val="1"/>
                <w:bCs w:val="1"/>
                <w:color w:val="auto"/>
                <w:w w:val="93"/>
              </w:rPr>
              <w:t>Other</w:t>
            </w:r>
          </w:p>
        </w:tc>
        <w:tc>
          <w:tcPr>
            <w:tcW w:w="128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94"/>
              </w:rPr>
              <w:t>Fair Value</w:t>
            </w:r>
          </w:p>
        </w:tc>
      </w:tr>
      <w:tr>
        <w:trPr>
          <w:trHeight w:val="230"/>
        </w:trPr>
        <w:tc>
          <w:tcPr>
            <w:tcW w:w="4380" w:type="dxa"/>
            <w:vAlign w:val="bottom"/>
            <w:gridSpan w:val="2"/>
          </w:tcPr>
          <w:p>
            <w:pPr>
              <w:spacing w:after="0"/>
              <w:rPr>
                <w:sz w:val="20"/>
                <w:szCs w:val="20"/>
                <w:color w:val="auto"/>
              </w:rPr>
            </w:pPr>
            <w:r>
              <w:rPr>
                <w:rFonts w:ascii="Arial" w:cs="Arial" w:eastAsia="Arial" w:hAnsi="Arial"/>
                <w:sz w:val="20"/>
                <w:szCs w:val="20"/>
                <w:b w:val="1"/>
                <w:bCs w:val="1"/>
                <w:color w:val="auto"/>
              </w:rPr>
              <w:t>Dollars in thousands</w:t>
            </w:r>
          </w:p>
        </w:tc>
        <w:tc>
          <w:tcPr>
            <w:tcW w:w="1480" w:type="dxa"/>
            <w:vAlign w:val="bottom"/>
            <w:gridSpan w:val="2"/>
          </w:tcPr>
          <w:p>
            <w:pPr>
              <w:jc w:val="center"/>
              <w:ind w:right="200"/>
              <w:spacing w:after="0"/>
              <w:rPr>
                <w:sz w:val="20"/>
                <w:szCs w:val="20"/>
                <w:color w:val="auto"/>
              </w:rPr>
            </w:pPr>
            <w:r>
              <w:rPr>
                <w:rFonts w:ascii="Arial" w:cs="Arial" w:eastAsia="Arial" w:hAnsi="Arial"/>
                <w:sz w:val="20"/>
                <w:szCs w:val="20"/>
                <w:b w:val="1"/>
                <w:bCs w:val="1"/>
                <w:color w:val="auto"/>
                <w:w w:val="90"/>
              </w:rPr>
              <w:t>Contracted</w:t>
            </w:r>
          </w:p>
        </w:tc>
        <w:tc>
          <w:tcPr>
            <w:tcW w:w="1460" w:type="dxa"/>
            <w:vAlign w:val="bottom"/>
            <w:gridSpan w:val="2"/>
          </w:tcPr>
          <w:p>
            <w:pPr>
              <w:jc w:val="right"/>
              <w:ind w:right="520"/>
              <w:spacing w:after="0"/>
              <w:rPr>
                <w:sz w:val="20"/>
                <w:szCs w:val="20"/>
                <w:color w:val="auto"/>
              </w:rPr>
            </w:pPr>
            <w:r>
              <w:rPr>
                <w:rFonts w:ascii="Arial" w:cs="Arial" w:eastAsia="Arial" w:hAnsi="Arial"/>
                <w:sz w:val="20"/>
                <w:szCs w:val="20"/>
                <w:b w:val="1"/>
                <w:bCs w:val="1"/>
                <w:color w:val="auto"/>
              </w:rPr>
              <w:t>Notional</w:t>
            </w:r>
          </w:p>
        </w:tc>
        <w:tc>
          <w:tcPr>
            <w:tcW w:w="1680" w:type="dxa"/>
            <w:vAlign w:val="bottom"/>
            <w:gridSpan w:val="4"/>
          </w:tcPr>
          <w:p>
            <w:pPr>
              <w:jc w:val="center"/>
              <w:ind w:right="221"/>
              <w:spacing w:after="0"/>
              <w:rPr>
                <w:sz w:val="20"/>
                <w:szCs w:val="20"/>
                <w:color w:val="auto"/>
              </w:rPr>
            </w:pPr>
            <w:r>
              <w:rPr>
                <w:rFonts w:ascii="Arial" w:cs="Arial" w:eastAsia="Arial" w:hAnsi="Arial"/>
                <w:sz w:val="20"/>
                <w:szCs w:val="20"/>
                <w:b w:val="1"/>
                <w:bCs w:val="1"/>
                <w:color w:val="auto"/>
                <w:w w:val="87"/>
              </w:rPr>
              <w:t>Comprehensive</w:t>
            </w:r>
          </w:p>
        </w:tc>
        <w:tc>
          <w:tcPr>
            <w:tcW w:w="128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96"/>
              </w:rPr>
              <w:t>Impact</w:t>
            </w:r>
          </w:p>
        </w:tc>
      </w:tr>
      <w:tr>
        <w:trPr>
          <w:trHeight w:val="252"/>
        </w:trPr>
        <w:tc>
          <w:tcPr>
            <w:tcW w:w="416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(except average contracted rate)</w:t>
            </w:r>
          </w:p>
        </w:tc>
        <w:tc>
          <w:tcPr>
            <w:tcW w:w="22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Rate</w:t>
            </w:r>
          </w:p>
        </w:tc>
        <w:tc>
          <w:tcPr>
            <w:tcW w:w="2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b w:val="1"/>
                <w:bCs w:val="1"/>
                <w:color w:val="auto"/>
              </w:rPr>
              <w:t>Amount</w:t>
            </w:r>
          </w:p>
        </w:tc>
        <w:tc>
          <w:tcPr>
            <w:tcW w:w="32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88"/>
              </w:rPr>
              <w:t>Income (Loss)</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21"/>
              <w:spacing w:after="0"/>
              <w:rPr>
                <w:sz w:val="20"/>
                <w:szCs w:val="20"/>
                <w:color w:val="auto"/>
              </w:rPr>
            </w:pPr>
            <w:r>
              <w:rPr>
                <w:rFonts w:ascii="Arial" w:cs="Arial" w:eastAsia="Arial" w:hAnsi="Arial"/>
                <w:sz w:val="20"/>
                <w:szCs w:val="20"/>
                <w:b w:val="1"/>
                <w:bCs w:val="1"/>
                <w:color w:val="auto"/>
                <w:w w:val="89"/>
              </w:rPr>
              <w:t>Gain (Loss)</w:t>
            </w:r>
          </w:p>
        </w:tc>
        <w:tc>
          <w:tcPr>
            <w:tcW w:w="100" w:type="dxa"/>
            <w:vAlign w:val="bottom"/>
            <w:tcBorders>
              <w:bottom w:val="single" w:sz="8" w:color="CCEEFF"/>
            </w:tcBorders>
          </w:tcPr>
          <w:p>
            <w:pPr>
              <w:spacing w:after="0"/>
              <w:rPr>
                <w:sz w:val="21"/>
                <w:szCs w:val="21"/>
                <w:color w:val="auto"/>
              </w:rPr>
            </w:pPr>
          </w:p>
        </w:tc>
      </w:tr>
      <w:tr>
        <w:trPr>
          <w:trHeight w:val="223"/>
        </w:trPr>
        <w:tc>
          <w:tcPr>
            <w:tcW w:w="416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Buy US dollar/Sell Australian dollar</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0.7550</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$23,865.2</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2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280" w:type="dxa"/>
            <w:vAlign w:val="bottom"/>
            <w:gridSpan w:val="2"/>
            <w:shd w:val="clear" w:color="auto" w:fill="CCEEFF"/>
          </w:tcPr>
          <w:p>
            <w:pPr>
              <w:jc w:val="right"/>
              <w:ind w:right="40"/>
              <w:spacing w:after="0" w:line="223" w:lineRule="exact"/>
              <w:rPr>
                <w:sz w:val="20"/>
                <w:szCs w:val="20"/>
                <w:color w:val="auto"/>
              </w:rPr>
            </w:pPr>
            <w:r>
              <w:rPr>
                <w:rFonts w:ascii="Arial" w:cs="Arial" w:eastAsia="Arial" w:hAnsi="Arial"/>
                <w:sz w:val="20"/>
                <w:szCs w:val="20"/>
                <w:color w:val="auto"/>
              </w:rPr>
              <w:t>(111.8)</w:t>
            </w:r>
          </w:p>
        </w:tc>
      </w:tr>
      <w:tr>
        <w:trPr>
          <w:trHeight w:val="230"/>
        </w:trPr>
        <w:tc>
          <w:tcPr>
            <w:tcW w:w="4380" w:type="dxa"/>
            <w:vAlign w:val="bottom"/>
            <w:gridSpan w:val="2"/>
          </w:tcPr>
          <w:p>
            <w:pPr>
              <w:spacing w:after="0"/>
              <w:rPr>
                <w:sz w:val="20"/>
                <w:szCs w:val="20"/>
                <w:color w:val="auto"/>
              </w:rPr>
            </w:pPr>
            <w:r>
              <w:rPr>
                <w:rFonts w:ascii="Arial" w:cs="Arial" w:eastAsia="Arial" w:hAnsi="Arial"/>
                <w:sz w:val="20"/>
                <w:szCs w:val="20"/>
                <w:color w:val="auto"/>
              </w:rPr>
              <w:t>Buy US dollar/Sell Canadian dollar</w:t>
            </w:r>
          </w:p>
        </w:tc>
        <w:tc>
          <w:tcPr>
            <w:tcW w:w="1480" w:type="dxa"/>
            <w:vAlign w:val="bottom"/>
            <w:gridSpan w:val="2"/>
          </w:tcPr>
          <w:p>
            <w:pPr>
              <w:jc w:val="right"/>
              <w:ind w:right="200"/>
              <w:spacing w:after="0"/>
              <w:rPr>
                <w:sz w:val="20"/>
                <w:szCs w:val="20"/>
                <w:color w:val="auto"/>
              </w:rPr>
            </w:pPr>
            <w:r>
              <w:rPr>
                <w:rFonts w:ascii="Arial" w:cs="Arial" w:eastAsia="Arial" w:hAnsi="Arial"/>
                <w:sz w:val="20"/>
                <w:szCs w:val="20"/>
                <w:color w:val="auto"/>
              </w:rPr>
              <w:t>0.8097</w:t>
            </w:r>
          </w:p>
        </w:tc>
        <w:tc>
          <w:tcPr>
            <w:tcW w:w="1460" w:type="dxa"/>
            <w:vAlign w:val="bottom"/>
            <w:gridSpan w:val="2"/>
          </w:tcPr>
          <w:p>
            <w:pPr>
              <w:jc w:val="right"/>
              <w:ind w:right="320"/>
              <w:spacing w:after="0"/>
              <w:rPr>
                <w:sz w:val="20"/>
                <w:szCs w:val="20"/>
                <w:color w:val="auto"/>
              </w:rPr>
            </w:pPr>
            <w:r>
              <w:rPr>
                <w:rFonts w:ascii="Arial" w:cs="Arial" w:eastAsia="Arial" w:hAnsi="Arial"/>
                <w:sz w:val="20"/>
                <w:szCs w:val="20"/>
                <w:color w:val="auto"/>
              </w:rPr>
              <w:t>323.9</w:t>
            </w:r>
          </w:p>
        </w:tc>
        <w:tc>
          <w:tcPr>
            <w:tcW w:w="10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20"/>
                <w:szCs w:val="20"/>
                <w:color w:val="auto"/>
              </w:rPr>
              <w:t>0.1</w:t>
            </w:r>
          </w:p>
        </w:tc>
      </w:tr>
      <w:tr>
        <w:trPr>
          <w:trHeight w:val="230"/>
        </w:trPr>
        <w:tc>
          <w:tcPr>
            <w:tcW w:w="43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Buy US dollar/Sell Euro</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1.2241</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43,565.1</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(50.6)</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553.9</w:t>
            </w:r>
          </w:p>
        </w:tc>
      </w:tr>
      <w:tr>
        <w:trPr>
          <w:trHeight w:val="230"/>
        </w:trPr>
        <w:tc>
          <w:tcPr>
            <w:tcW w:w="4380" w:type="dxa"/>
            <w:vAlign w:val="bottom"/>
            <w:gridSpan w:val="2"/>
          </w:tcPr>
          <w:p>
            <w:pPr>
              <w:spacing w:after="0"/>
              <w:rPr>
                <w:sz w:val="20"/>
                <w:szCs w:val="20"/>
                <w:color w:val="auto"/>
              </w:rPr>
            </w:pPr>
            <w:r>
              <w:rPr>
                <w:rFonts w:ascii="Arial" w:cs="Arial" w:eastAsia="Arial" w:hAnsi="Arial"/>
                <w:sz w:val="20"/>
                <w:szCs w:val="20"/>
                <w:color w:val="auto"/>
              </w:rPr>
              <w:t>Buy US dollar/Sell British pound</w:t>
            </w:r>
          </w:p>
        </w:tc>
        <w:tc>
          <w:tcPr>
            <w:tcW w:w="1480" w:type="dxa"/>
            <w:vAlign w:val="bottom"/>
            <w:gridSpan w:val="2"/>
          </w:tcPr>
          <w:p>
            <w:pPr>
              <w:jc w:val="right"/>
              <w:ind w:right="200"/>
              <w:spacing w:after="0"/>
              <w:rPr>
                <w:sz w:val="20"/>
                <w:szCs w:val="20"/>
                <w:color w:val="auto"/>
              </w:rPr>
            </w:pPr>
            <w:r>
              <w:rPr>
                <w:rFonts w:ascii="Arial" w:cs="Arial" w:eastAsia="Arial" w:hAnsi="Arial"/>
                <w:sz w:val="20"/>
                <w:szCs w:val="20"/>
                <w:color w:val="auto"/>
              </w:rPr>
              <w:t>1.7420</w:t>
            </w:r>
          </w:p>
        </w:tc>
        <w:tc>
          <w:tcPr>
            <w:tcW w:w="1460" w:type="dxa"/>
            <w:vAlign w:val="bottom"/>
            <w:gridSpan w:val="2"/>
          </w:tcPr>
          <w:p>
            <w:pPr>
              <w:jc w:val="right"/>
              <w:ind w:right="320"/>
              <w:spacing w:after="0"/>
              <w:rPr>
                <w:sz w:val="20"/>
                <w:szCs w:val="20"/>
                <w:color w:val="auto"/>
              </w:rPr>
            </w:pPr>
            <w:r>
              <w:rPr>
                <w:rFonts w:ascii="Arial" w:cs="Arial" w:eastAsia="Arial" w:hAnsi="Arial"/>
                <w:sz w:val="20"/>
                <w:szCs w:val="20"/>
                <w:color w:val="auto"/>
              </w:rPr>
              <w:t>13,065.0</w:t>
            </w:r>
          </w:p>
        </w:tc>
        <w:tc>
          <w:tcPr>
            <w:tcW w:w="10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20"/>
                <w:szCs w:val="20"/>
                <w:color w:val="auto"/>
              </w:rPr>
              <w:t>(15.8)</w:t>
            </w:r>
          </w:p>
        </w:tc>
      </w:tr>
      <w:tr>
        <w:trPr>
          <w:trHeight w:val="230"/>
        </w:trPr>
        <w:tc>
          <w:tcPr>
            <w:tcW w:w="43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Buy Euro/Sell US dollar</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1.2675</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1,204.1</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4.7</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(57.1)</w:t>
            </w:r>
          </w:p>
        </w:tc>
      </w:tr>
      <w:tr>
        <w:trPr>
          <w:trHeight w:val="230"/>
        </w:trPr>
        <w:tc>
          <w:tcPr>
            <w:tcW w:w="4380" w:type="dxa"/>
            <w:vAlign w:val="bottom"/>
            <w:gridSpan w:val="2"/>
          </w:tcPr>
          <w:p>
            <w:pPr>
              <w:spacing w:after="0"/>
              <w:rPr>
                <w:sz w:val="20"/>
                <w:szCs w:val="20"/>
                <w:color w:val="auto"/>
              </w:rPr>
            </w:pPr>
            <w:r>
              <w:rPr>
                <w:rFonts w:ascii="Arial" w:cs="Arial" w:eastAsia="Arial" w:hAnsi="Arial"/>
                <w:sz w:val="20"/>
                <w:szCs w:val="20"/>
                <w:color w:val="auto"/>
              </w:rPr>
              <w:t>Buy Japanese yen/Sell US dollar</w:t>
            </w:r>
          </w:p>
        </w:tc>
        <w:tc>
          <w:tcPr>
            <w:tcW w:w="1480" w:type="dxa"/>
            <w:vAlign w:val="bottom"/>
            <w:gridSpan w:val="2"/>
          </w:tcPr>
          <w:p>
            <w:pPr>
              <w:jc w:val="right"/>
              <w:ind w:right="200"/>
              <w:spacing w:after="0"/>
              <w:rPr>
                <w:sz w:val="20"/>
                <w:szCs w:val="20"/>
                <w:color w:val="auto"/>
              </w:rPr>
            </w:pPr>
            <w:r>
              <w:rPr>
                <w:rFonts w:ascii="Arial" w:cs="Arial" w:eastAsia="Arial" w:hAnsi="Arial"/>
                <w:sz w:val="20"/>
                <w:szCs w:val="20"/>
                <w:color w:val="auto"/>
              </w:rPr>
              <w:t>106.7873</w:t>
            </w:r>
          </w:p>
        </w:tc>
        <w:tc>
          <w:tcPr>
            <w:tcW w:w="1460" w:type="dxa"/>
            <w:vAlign w:val="bottom"/>
            <w:gridSpan w:val="2"/>
          </w:tcPr>
          <w:p>
            <w:pPr>
              <w:jc w:val="right"/>
              <w:ind w:right="320"/>
              <w:spacing w:after="0"/>
              <w:rPr>
                <w:sz w:val="20"/>
                <w:szCs w:val="20"/>
                <w:color w:val="auto"/>
              </w:rPr>
            </w:pPr>
            <w:r>
              <w:rPr>
                <w:rFonts w:ascii="Arial" w:cs="Arial" w:eastAsia="Arial" w:hAnsi="Arial"/>
                <w:sz w:val="20"/>
                <w:szCs w:val="20"/>
                <w:color w:val="auto"/>
              </w:rPr>
              <w:t>1,638.8</w:t>
            </w:r>
          </w:p>
        </w:tc>
        <w:tc>
          <w:tcPr>
            <w:tcW w:w="10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20"/>
                <w:szCs w:val="20"/>
                <w:color w:val="auto"/>
              </w:rPr>
              <w:t>(20.1)</w:t>
            </w:r>
          </w:p>
        </w:tc>
        <w:tc>
          <w:tcPr>
            <w:tcW w:w="1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20"/>
                <w:szCs w:val="20"/>
                <w:color w:val="auto"/>
              </w:rPr>
              <w:t>(56.4)</w:t>
            </w:r>
          </w:p>
        </w:tc>
      </w:tr>
      <w:tr>
        <w:trPr>
          <w:trHeight w:val="230"/>
        </w:trPr>
        <w:tc>
          <w:tcPr>
            <w:tcW w:w="43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Buy British pound/Sell US dollar</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1.7440</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261.6</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0.1</w:t>
            </w:r>
          </w:p>
        </w:tc>
      </w:tr>
      <w:tr>
        <w:trPr>
          <w:trHeight w:val="250"/>
        </w:trPr>
        <w:tc>
          <w:tcPr>
            <w:tcW w:w="4380" w:type="dxa"/>
            <w:vAlign w:val="bottom"/>
            <w:gridSpan w:val="2"/>
          </w:tcPr>
          <w:p>
            <w:pPr>
              <w:spacing w:after="0"/>
              <w:rPr>
                <w:sz w:val="20"/>
                <w:szCs w:val="20"/>
                <w:color w:val="auto"/>
              </w:rPr>
            </w:pPr>
            <w:r>
              <w:rPr>
                <w:rFonts w:ascii="Arial" w:cs="Arial" w:eastAsia="Arial" w:hAnsi="Arial"/>
                <w:sz w:val="20"/>
                <w:szCs w:val="20"/>
                <w:color w:val="auto"/>
              </w:rPr>
              <w:t>Buy Mexican peso/Sell US dollar</w:t>
            </w:r>
          </w:p>
        </w:tc>
        <w:tc>
          <w:tcPr>
            <w:tcW w:w="1480" w:type="dxa"/>
            <w:vAlign w:val="bottom"/>
            <w:gridSpan w:val="2"/>
          </w:tcPr>
          <w:p>
            <w:pPr>
              <w:jc w:val="right"/>
              <w:ind w:right="200"/>
              <w:spacing w:after="0"/>
              <w:rPr>
                <w:sz w:val="20"/>
                <w:szCs w:val="20"/>
                <w:color w:val="auto"/>
              </w:rPr>
            </w:pPr>
            <w:r>
              <w:rPr>
                <w:rFonts w:ascii="Arial" w:cs="Arial" w:eastAsia="Arial" w:hAnsi="Arial"/>
                <w:sz w:val="20"/>
                <w:szCs w:val="20"/>
                <w:color w:val="auto"/>
              </w:rPr>
              <w:t>11.9800</w:t>
            </w:r>
          </w:p>
        </w:tc>
        <w:tc>
          <w:tcPr>
            <w:tcW w:w="1460" w:type="dxa"/>
            <w:vAlign w:val="bottom"/>
            <w:gridSpan w:val="2"/>
          </w:tcPr>
          <w:p>
            <w:pPr>
              <w:jc w:val="right"/>
              <w:ind w:right="320"/>
              <w:spacing w:after="0"/>
              <w:rPr>
                <w:sz w:val="20"/>
                <w:szCs w:val="20"/>
                <w:color w:val="auto"/>
              </w:rPr>
            </w:pPr>
            <w:r>
              <w:rPr>
                <w:rFonts w:ascii="Arial" w:cs="Arial" w:eastAsia="Arial" w:hAnsi="Arial"/>
                <w:sz w:val="20"/>
                <w:szCs w:val="20"/>
                <w:color w:val="auto"/>
              </w:rPr>
              <w:t>5,550.9</w:t>
            </w:r>
          </w:p>
        </w:tc>
        <w:tc>
          <w:tcPr>
            <w:tcW w:w="10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20"/>
                <w:szCs w:val="20"/>
                <w:color w:val="auto"/>
              </w:rPr>
              <w:t>629.1</w:t>
            </w:r>
          </w:p>
        </w:tc>
        <w:tc>
          <w:tcPr>
            <w:tcW w:w="12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r>
    </w:tbl>
    <w:p>
      <w:pPr>
        <w:spacing w:after="0" w:line="192" w:lineRule="exact"/>
        <w:rPr>
          <w:sz w:val="20"/>
          <w:szCs w:val="20"/>
          <w:color w:val="auto"/>
        </w:rPr>
      </w:pPr>
    </w:p>
    <w:p>
      <w:pPr>
        <w:jc w:val="both"/>
        <w:ind w:right="60"/>
        <w:spacing w:after="0" w:line="291" w:lineRule="auto"/>
        <w:rPr>
          <w:sz w:val="20"/>
          <w:szCs w:val="20"/>
          <w:color w:val="auto"/>
        </w:rPr>
      </w:pPr>
      <w:r>
        <w:rPr>
          <w:rFonts w:ascii="Arial" w:cs="Arial" w:eastAsia="Arial" w:hAnsi="Arial"/>
          <w:sz w:val="18"/>
          <w:szCs w:val="18"/>
          <w:i w:val="1"/>
          <w:iCs w:val="1"/>
          <w:u w:val="single" w:color="auto"/>
          <w:color w:val="auto"/>
        </w:rPr>
        <w:t>Interest Rate Risk.</w:t>
      </w:r>
      <w:r>
        <w:rPr>
          <w:rFonts w:ascii="Arial" w:cs="Arial" w:eastAsia="Arial" w:hAnsi="Arial"/>
          <w:sz w:val="18"/>
          <w:szCs w:val="18"/>
          <w:i w:val="1"/>
          <w:iCs w:val="1"/>
          <w:color w:val="auto"/>
        </w:rPr>
        <w:t xml:space="preserve"> </w:t>
      </w:r>
      <w:r>
        <w:rPr>
          <w:rFonts w:ascii="Arial" w:cs="Arial" w:eastAsia="Arial" w:hAnsi="Arial"/>
          <w:sz w:val="18"/>
          <w:szCs w:val="18"/>
          <w:color w:val="auto"/>
        </w:rPr>
        <w:t>We are exposed to interest rate risk arising from transactions that are entered into during the normal course of business. Our</w:t>
      </w:r>
      <w:r>
        <w:rPr>
          <w:rFonts w:ascii="Arial" w:cs="Arial" w:eastAsia="Arial" w:hAnsi="Arial"/>
          <w:sz w:val="18"/>
          <w:szCs w:val="18"/>
          <w:i w:val="1"/>
          <w:iCs w:val="1"/>
          <w:color w:val="auto"/>
        </w:rPr>
        <w:t xml:space="preserve"> </w:t>
      </w:r>
      <w:r>
        <w:rPr>
          <w:rFonts w:ascii="Arial" w:cs="Arial" w:eastAsia="Arial" w:hAnsi="Arial"/>
          <w:sz w:val="18"/>
          <w:szCs w:val="18"/>
          <w:color w:val="auto"/>
        </w:rPr>
        <w:t>short-term debt rates are dependent upon a LIBOR or commercial paper rate plus a basis point spread defined in our credit agreements. See our most recently filed Annual Report on Form 10-K (Item 7A). There has been no material change in this information.</w:t>
      </w:r>
    </w:p>
    <w:p>
      <w:pPr>
        <w:spacing w:after="0" w:line="165"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i w:val="1"/>
          <w:iCs w:val="1"/>
          <w:u w:val="single" w:color="auto"/>
          <w:color w:val="auto"/>
        </w:rPr>
        <w:t>Commodity Price Risk</w:t>
      </w:r>
      <w:r>
        <w:rPr>
          <w:rFonts w:ascii="Arial" w:cs="Arial" w:eastAsia="Arial" w:hAnsi="Arial"/>
          <w:sz w:val="20"/>
          <w:szCs w:val="20"/>
          <w:i w:val="1"/>
          <w:iCs w:val="1"/>
          <w:color w:val="auto"/>
        </w:rPr>
        <w:t xml:space="preserve">. </w:t>
      </w:r>
      <w:r>
        <w:rPr>
          <w:rFonts w:ascii="Arial" w:cs="Arial" w:eastAsia="Arial" w:hAnsi="Arial"/>
          <w:sz w:val="20"/>
          <w:szCs w:val="20"/>
          <w:color w:val="auto"/>
        </w:rPr>
        <w:t>Some raw materials used in our products are exposed to commodity price changes. We manage some of this risk by</w:t>
      </w:r>
      <w:r>
        <w:rPr>
          <w:rFonts w:ascii="Arial" w:cs="Arial" w:eastAsia="Arial" w:hAnsi="Arial"/>
          <w:sz w:val="20"/>
          <w:szCs w:val="20"/>
          <w:i w:val="1"/>
          <w:iCs w:val="1"/>
          <w:color w:val="auto"/>
        </w:rPr>
        <w:t xml:space="preserve"> </w:t>
      </w:r>
      <w:r>
        <w:rPr>
          <w:rFonts w:ascii="Arial" w:cs="Arial" w:eastAsia="Arial" w:hAnsi="Arial"/>
          <w:sz w:val="20"/>
          <w:szCs w:val="20"/>
          <w:color w:val="auto"/>
        </w:rPr>
        <w:t>using a combination of short- and long-term agreements with some vendors. The primary commodity price exposures are with steel, aluminum, fuel, petroleum-based resins, plastic resin, and linerboard. Further information regarding our risk exposure for commodity price changes is presented in Item 2, section entitled “Inflation.”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Item 4. CONTROLS AND PROCEDURES</w:t>
      </w:r>
    </w:p>
    <w:p>
      <w:pPr>
        <w:spacing w:after="0" w:line="250"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The company maintains disclosure controls and procedures (as defined in Rules 13a-15(e) and 15d-15(e) under the Securities Exchange Act of 1934, as amended) that are designed to reasonably ensure that information required to be disclosed by the company in the reports it files or submits under the Exchange Act, is recorded, processed, summarized, and reported within the time periods specified in the Securities and Exchange Commission’s rules and forms and that such information is accumulated and communicated to the company’s management, including its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necessarily are required to apply our judgment in evaluating the cost-benefit relationship of possible controls and procedures. The company’s management evaluated, with the participation of the company’s Chief Executive Officer and Chief Financial Officer, the effectiveness of the design and operation of the company’s disclosure controls and procedures as of the end of the period covered in this Quarterly Report on Form 10-Q. Based on that evaluation, the company’s Chief Executive Officer and Chief Financial Officer concluded that the company’s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material information relating to Toro and its consolidated subsidiaries is made known to management, including the Chief Executive Officer and Chief Financial Officer, particularly during the period when our periodic reports are being prepared.</w:t>
      </w:r>
    </w:p>
    <w:p>
      <w:pPr>
        <w:sectPr>
          <w:pgSz w:w="11900" w:h="16838" w:orient="portrait"/>
          <w:cols w:equalWidth="0" w:num="1">
            <w:col w:w="11420"/>
          </w:cols>
          <w:pgMar w:left="240" w:top="352" w:right="239" w:bottom="0" w:gutter="0" w:footer="0" w:header="0"/>
        </w:sectPr>
      </w:pPr>
    </w:p>
    <w:bookmarkStart w:id="17" w:name="page18"/>
    <w:bookmarkEnd w:id="17"/>
    <w:p>
      <w:pPr>
        <w:jc w:val="both"/>
        <w:ind w:right="260"/>
        <w:spacing w:after="0" w:line="317" w:lineRule="auto"/>
        <w:rPr>
          <w:sz w:val="20"/>
          <w:szCs w:val="20"/>
          <w:color w:val="auto"/>
        </w:rPr>
      </w:pPr>
      <w:r>
        <w:rPr>
          <w:rFonts w:ascii="Arial" w:cs="Arial" w:eastAsia="Arial" w:hAnsi="Arial"/>
          <w:sz w:val="18"/>
          <w:szCs w:val="18"/>
          <w:color w:val="auto"/>
        </w:rPr>
        <w:t>There was no change in the company’s internal control over financial reporting that occurred during the company’s fiscal third quarter ended July 29, 2005 that has materially affected, or is reasonably likely to materially affect, the company’s internal control over financial reporting.</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PART II. OTHER INFORMATION</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Item 1. LEGAL PROCEEDINGS</w:t>
      </w:r>
    </w:p>
    <w:p>
      <w:pPr>
        <w:spacing w:after="0" w:line="250"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On June 3, 2004, eight individuals who claim to have purchased lawnmowers in Illinois and Minnesota filed a lawsuit (Ronnie Phillips et al. v. Sears Roebuck Corporation et. al., No.04-L-334 (20th Judicial Circuit, St., Clair County, IL)) against the company and other defendants alleging that the horsepower labels on the products the plaintiffs purchased were inaccurate. The plaintiffs seek certification of a class of all persons in the United States who, beginning January 1, 1995 through the present, purchased a lawnmower containing a two stroke or four stroke gas combustible engine up to 20 horsepower that was manufactured or sold by the defendants. The complaint seeks an injunction, unspecified compensatory and punitive damages, and attorneys’ fees. No answers have been entered in the case, and there has been no formal discovery. A number of procedural motions have been filed by the defendants, but have not yet been decided. On April 20, 2005, the court issued a stay of discovery and procedural matters to permit the parties to engage in settlement discussions. Management continues to evaluate this lawsuit. The company is unable to reasonably estimate the amount or range of potential loss that could result from this litigation, and therefore has not established a reserve for any potential loss in connection with this lawsuit. The company is also unable to assess at this time whether the lawsuit will have a material adverse effect on its consolidated operating results or financial condition.</w:t>
      </w:r>
    </w:p>
    <w:p>
      <w:pPr>
        <w:spacing w:after="0" w:line="9" w:lineRule="exact"/>
        <w:rPr>
          <w:sz w:val="20"/>
          <w:szCs w:val="20"/>
          <w:color w:val="auto"/>
        </w:rPr>
      </w:pPr>
    </w:p>
    <w:p>
      <w:pPr>
        <w:jc w:val="both"/>
        <w:ind w:right="100" w:firstLine="324"/>
        <w:spacing w:after="0" w:line="299" w:lineRule="auto"/>
        <w:rPr>
          <w:sz w:val="20"/>
          <w:szCs w:val="20"/>
          <w:color w:val="auto"/>
        </w:rPr>
      </w:pPr>
      <w:r>
        <w:rPr>
          <w:rFonts w:ascii="Arial" w:cs="Arial" w:eastAsia="Arial" w:hAnsi="Arial"/>
          <w:sz w:val="16"/>
          <w:szCs w:val="16"/>
          <w:color w:val="auto"/>
        </w:rPr>
        <w:t>We are a party to litigation in the ordinary course of business. Litigation occasionally involves claims for punitive as well as compensatory damages arising out of use of our products. We are also subject to administrative proceedings with respect to claims involving the discharge of hazardous substances into the environment. Some of these claims assert damages and liability for remedial investigations and clean up costs.</w:t>
      </w:r>
    </w:p>
    <w:p>
      <w:pPr>
        <w:spacing w:after="0" w:line="1"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color w:val="auto"/>
        </w:rPr>
        <w:t>We are also typically involved in commercial disputes, employment disputes, and patent litigation cases in the ordinary course of business, both as a plaintiff and as a defendant. While the ultimate results of the current cases are unknown at this time, management believes that, except for the lawsuit discussed above, the outcomes of these cases are unlikely to have a material adverse effect on our consolidated operating results or financial position. Further, we maintain insurance against some product liability losses.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140"/>
        <w:spacing w:after="0"/>
        <w:rPr>
          <w:sz w:val="20"/>
          <w:szCs w:val="20"/>
          <w:color w:val="auto"/>
        </w:rPr>
      </w:pPr>
      <w:r>
        <w:rPr>
          <w:rFonts w:ascii="Arial" w:cs="Arial" w:eastAsia="Arial" w:hAnsi="Arial"/>
          <w:sz w:val="23"/>
          <w:szCs w:val="23"/>
          <w:b w:val="1"/>
          <w:bCs w:val="1"/>
          <w:color w:val="auto"/>
        </w:rPr>
        <w:t>Item 2. UNREGISTERED SALES OF EQUITY SECURITIES AND USE OF PROCEEDS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shows our third quarter of fiscal 2005 stock repurchase activity.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20"/>
                <w:szCs w:val="20"/>
                <w:color w:val="auto"/>
                <w:w w:val="94"/>
              </w:rPr>
              <w:t>Maximum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gridSpan w:val="3"/>
          </w:tcPr>
          <w:p>
            <w:pPr>
              <w:jc w:val="center"/>
              <w:ind w:right="200"/>
              <w:spacing w:after="0"/>
              <w:rPr>
                <w:sz w:val="20"/>
                <w:szCs w:val="20"/>
                <w:color w:val="auto"/>
              </w:rPr>
            </w:pPr>
            <w:r>
              <w:rPr>
                <w:rFonts w:ascii="Arial" w:cs="Arial" w:eastAsia="Arial" w:hAnsi="Arial"/>
                <w:sz w:val="20"/>
                <w:szCs w:val="20"/>
                <w:color w:val="auto"/>
                <w:w w:val="92"/>
              </w:rPr>
              <w:t>Total Number of</w:t>
            </w:r>
          </w:p>
        </w:tc>
        <w:tc>
          <w:tcPr>
            <w:tcW w:w="900" w:type="dxa"/>
            <w:vAlign w:val="bottom"/>
            <w:gridSpan w:val="2"/>
          </w:tcPr>
          <w:p>
            <w:pPr>
              <w:jc w:val="center"/>
              <w:ind w:right="40"/>
              <w:spacing w:after="0"/>
              <w:rPr>
                <w:sz w:val="20"/>
                <w:szCs w:val="20"/>
                <w:color w:val="auto"/>
              </w:rPr>
            </w:pPr>
            <w:r>
              <w:rPr>
                <w:rFonts w:ascii="Arial" w:cs="Arial" w:eastAsia="Arial" w:hAnsi="Arial"/>
                <w:sz w:val="20"/>
                <w:szCs w:val="20"/>
                <w:color w:val="auto"/>
                <w:w w:val="92"/>
              </w:rPr>
              <w:t>Number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20"/>
                <w:szCs w:val="20"/>
                <w:color w:val="auto"/>
                <w:w w:val="86"/>
              </w:rPr>
              <w:t>of Shares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gridSpan w:val="3"/>
          </w:tcPr>
          <w:p>
            <w:pPr>
              <w:jc w:val="center"/>
              <w:ind w:right="220"/>
              <w:spacing w:after="0"/>
              <w:rPr>
                <w:sz w:val="20"/>
                <w:szCs w:val="20"/>
                <w:color w:val="auto"/>
              </w:rPr>
            </w:pPr>
            <w:r>
              <w:rPr>
                <w:rFonts w:ascii="Arial" w:cs="Arial" w:eastAsia="Arial" w:hAnsi="Arial"/>
                <w:sz w:val="20"/>
                <w:szCs w:val="20"/>
                <w:color w:val="auto"/>
                <w:w w:val="83"/>
              </w:rPr>
              <w:t>Shares Purchased</w:t>
            </w:r>
          </w:p>
        </w:tc>
        <w:tc>
          <w:tcPr>
            <w:tcW w:w="900" w:type="dxa"/>
            <w:vAlign w:val="bottom"/>
            <w:gridSpan w:val="2"/>
          </w:tcPr>
          <w:p>
            <w:pPr>
              <w:jc w:val="center"/>
              <w:ind w:right="40"/>
              <w:spacing w:after="0"/>
              <w:rPr>
                <w:sz w:val="20"/>
                <w:szCs w:val="20"/>
                <w:color w:val="auto"/>
              </w:rPr>
            </w:pPr>
            <w:r>
              <w:rPr>
                <w:rFonts w:ascii="Arial" w:cs="Arial" w:eastAsia="Arial" w:hAnsi="Arial"/>
                <w:sz w:val="20"/>
                <w:szCs w:val="20"/>
                <w:color w:val="auto"/>
                <w:w w:val="91"/>
              </w:rPr>
              <w:t>that May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20"/>
                <w:szCs w:val="20"/>
                <w:color w:val="auto"/>
                <w:w w:val="89"/>
              </w:rPr>
              <w:t>Yet Be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gridSpan w:val="3"/>
          </w:tcPr>
          <w:p>
            <w:pPr>
              <w:jc w:val="center"/>
              <w:ind w:right="200"/>
              <w:spacing w:after="0"/>
              <w:rPr>
                <w:sz w:val="20"/>
                <w:szCs w:val="20"/>
                <w:color w:val="auto"/>
              </w:rPr>
            </w:pPr>
            <w:r>
              <w:rPr>
                <w:rFonts w:ascii="Arial" w:cs="Arial" w:eastAsia="Arial" w:hAnsi="Arial"/>
                <w:sz w:val="20"/>
                <w:szCs w:val="20"/>
                <w:color w:val="auto"/>
                <w:w w:val="93"/>
              </w:rPr>
              <w:t>As Part of Publicly</w:t>
            </w:r>
          </w:p>
        </w:tc>
        <w:tc>
          <w:tcPr>
            <w:tcW w:w="900" w:type="dxa"/>
            <w:vAlign w:val="bottom"/>
            <w:gridSpan w:val="2"/>
          </w:tcPr>
          <w:p>
            <w:pPr>
              <w:jc w:val="center"/>
              <w:ind w:right="40"/>
              <w:spacing w:after="0"/>
              <w:rPr>
                <w:sz w:val="20"/>
                <w:szCs w:val="20"/>
                <w:color w:val="auto"/>
              </w:rPr>
            </w:pPr>
            <w:r>
              <w:rPr>
                <w:rFonts w:ascii="Arial" w:cs="Arial" w:eastAsia="Arial" w:hAnsi="Arial"/>
                <w:sz w:val="20"/>
                <w:szCs w:val="20"/>
                <w:color w:val="auto"/>
                <w:w w:val="85"/>
              </w:rPr>
              <w:t>Purchased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20"/>
                <w:szCs w:val="20"/>
                <w:color w:val="auto"/>
                <w:w w:val="88"/>
              </w:rPr>
              <w:t>Under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3"/>
          </w:tcPr>
          <w:p>
            <w:pPr>
              <w:jc w:val="center"/>
              <w:ind w:right="60"/>
              <w:spacing w:after="0"/>
              <w:rPr>
                <w:sz w:val="20"/>
                <w:szCs w:val="20"/>
                <w:color w:val="auto"/>
              </w:rPr>
            </w:pPr>
            <w:r>
              <w:rPr>
                <w:rFonts w:ascii="Arial" w:cs="Arial" w:eastAsia="Arial" w:hAnsi="Arial"/>
                <w:sz w:val="20"/>
                <w:szCs w:val="20"/>
                <w:color w:val="auto"/>
                <w:w w:val="90"/>
              </w:rPr>
              <w:t>Total Number of</w:t>
            </w:r>
          </w:p>
        </w:tc>
        <w:tc>
          <w:tcPr>
            <w:tcW w:w="680" w:type="dxa"/>
            <w:vAlign w:val="bottom"/>
          </w:tcPr>
          <w:p>
            <w:pPr>
              <w:spacing w:after="0"/>
              <w:rPr>
                <w:sz w:val="19"/>
                <w:szCs w:val="19"/>
                <w:color w:val="auto"/>
              </w:rPr>
            </w:pPr>
          </w:p>
        </w:tc>
        <w:tc>
          <w:tcPr>
            <w:tcW w:w="3120" w:type="dxa"/>
            <w:vAlign w:val="bottom"/>
            <w:gridSpan w:val="4"/>
          </w:tcPr>
          <w:p>
            <w:pPr>
              <w:ind w:left="900"/>
              <w:spacing w:after="0"/>
              <w:rPr>
                <w:sz w:val="20"/>
                <w:szCs w:val="20"/>
                <w:color w:val="auto"/>
              </w:rPr>
            </w:pPr>
            <w:r>
              <w:rPr>
                <w:rFonts w:ascii="Arial" w:cs="Arial" w:eastAsia="Arial" w:hAnsi="Arial"/>
                <w:sz w:val="20"/>
                <w:szCs w:val="20"/>
                <w:color w:val="auto"/>
              </w:rPr>
              <w:t>Average Price</w:t>
            </w:r>
          </w:p>
        </w:tc>
        <w:tc>
          <w:tcPr>
            <w:tcW w:w="2040" w:type="dxa"/>
            <w:vAlign w:val="bottom"/>
            <w:gridSpan w:val="3"/>
          </w:tcPr>
          <w:p>
            <w:pPr>
              <w:jc w:val="center"/>
              <w:ind w:right="220"/>
              <w:spacing w:after="0"/>
              <w:rPr>
                <w:sz w:val="20"/>
                <w:szCs w:val="20"/>
                <w:color w:val="auto"/>
              </w:rPr>
            </w:pPr>
            <w:r>
              <w:rPr>
                <w:rFonts w:ascii="Arial" w:cs="Arial" w:eastAsia="Arial" w:hAnsi="Arial"/>
                <w:sz w:val="20"/>
                <w:szCs w:val="20"/>
                <w:color w:val="auto"/>
                <w:w w:val="88"/>
              </w:rPr>
              <w:t>Announced Plans</w:t>
            </w:r>
          </w:p>
        </w:tc>
        <w:tc>
          <w:tcPr>
            <w:tcW w:w="900" w:type="dxa"/>
            <w:vAlign w:val="bottom"/>
            <w:gridSpan w:val="2"/>
          </w:tcPr>
          <w:p>
            <w:pPr>
              <w:jc w:val="center"/>
              <w:ind w:right="60"/>
              <w:spacing w:after="0"/>
              <w:rPr>
                <w:sz w:val="20"/>
                <w:szCs w:val="20"/>
                <w:color w:val="auto"/>
              </w:rPr>
            </w:pPr>
            <w:r>
              <w:rPr>
                <w:rFonts w:ascii="Arial" w:cs="Arial" w:eastAsia="Arial" w:hAnsi="Arial"/>
                <w:sz w:val="20"/>
                <w:szCs w:val="20"/>
                <w:color w:val="auto"/>
                <w:w w:val="87"/>
              </w:rPr>
              <w:t>Plans 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20"/>
                <w:szCs w:val="20"/>
                <w:color w:val="auto"/>
                <w:w w:val="87"/>
              </w:rPr>
              <w:t>Programs</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820" w:type="dxa"/>
            <w:vAlign w:val="bottom"/>
            <w:gridSpan w:val="2"/>
          </w:tcPr>
          <w:p>
            <w:pPr>
              <w:ind w:left="1020"/>
              <w:spacing w:after="0"/>
              <w:rPr>
                <w:sz w:val="20"/>
                <w:szCs w:val="20"/>
                <w:color w:val="auto"/>
              </w:rPr>
            </w:pPr>
            <w:r>
              <w:rPr>
                <w:rFonts w:ascii="Arial" w:cs="Arial" w:eastAsia="Arial" w:hAnsi="Arial"/>
                <w:sz w:val="20"/>
                <w:szCs w:val="20"/>
                <w:color w:val="auto"/>
              </w:rPr>
              <w:t>Period</w:t>
            </w:r>
          </w:p>
        </w:tc>
        <w:tc>
          <w:tcPr>
            <w:tcW w:w="1840" w:type="dxa"/>
            <w:vAlign w:val="bottom"/>
            <w:gridSpan w:val="3"/>
          </w:tcPr>
          <w:p>
            <w:pPr>
              <w:jc w:val="center"/>
              <w:ind w:right="60"/>
              <w:spacing w:after="0"/>
              <w:rPr>
                <w:sz w:val="20"/>
                <w:szCs w:val="20"/>
                <w:color w:val="auto"/>
              </w:rPr>
            </w:pPr>
            <w:r>
              <w:rPr>
                <w:rFonts w:ascii="Arial" w:cs="Arial" w:eastAsia="Arial" w:hAnsi="Arial"/>
                <w:sz w:val="20"/>
                <w:szCs w:val="20"/>
                <w:color w:val="auto"/>
                <w:w w:val="83"/>
              </w:rPr>
              <w:t>Shares Purchased</w:t>
            </w: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(1)(2)</w:t>
            </w:r>
          </w:p>
        </w:tc>
        <w:tc>
          <w:tcPr>
            <w:tcW w:w="3120" w:type="dxa"/>
            <w:vAlign w:val="bottom"/>
            <w:gridSpan w:val="4"/>
          </w:tcPr>
          <w:p>
            <w:pPr>
              <w:ind w:left="880"/>
              <w:spacing w:after="0"/>
              <w:rPr>
                <w:sz w:val="20"/>
                <w:szCs w:val="20"/>
                <w:color w:val="auto"/>
              </w:rPr>
            </w:pPr>
            <w:r>
              <w:rPr>
                <w:rFonts w:ascii="Arial" w:cs="Arial" w:eastAsia="Arial" w:hAnsi="Arial"/>
                <w:sz w:val="20"/>
                <w:szCs w:val="20"/>
                <w:color w:val="auto"/>
              </w:rPr>
              <w:t>Paid per Share</w:t>
            </w:r>
          </w:p>
        </w:tc>
        <w:tc>
          <w:tcPr>
            <w:tcW w:w="2040" w:type="dxa"/>
            <w:vAlign w:val="bottom"/>
            <w:gridSpan w:val="3"/>
          </w:tcPr>
          <w:p>
            <w:pPr>
              <w:jc w:val="center"/>
              <w:ind w:right="220"/>
              <w:spacing w:after="0"/>
              <w:rPr>
                <w:sz w:val="20"/>
                <w:szCs w:val="20"/>
                <w:color w:val="auto"/>
              </w:rPr>
            </w:pPr>
            <w:r>
              <w:rPr>
                <w:rFonts w:ascii="Arial" w:cs="Arial" w:eastAsia="Arial" w:hAnsi="Arial"/>
                <w:sz w:val="20"/>
                <w:szCs w:val="20"/>
                <w:color w:val="auto"/>
                <w:w w:val="89"/>
              </w:rPr>
              <w:t>or Programs</w:t>
            </w:r>
          </w:p>
        </w:tc>
        <w:tc>
          <w:tcPr>
            <w:tcW w:w="840" w:type="dxa"/>
            <w:vAlign w:val="bottom"/>
          </w:tcPr>
          <w:p>
            <w:pPr>
              <w:jc w:val="center"/>
              <w:spacing w:after="0"/>
              <w:rPr>
                <w:sz w:val="20"/>
                <w:szCs w:val="20"/>
                <w:color w:val="auto"/>
              </w:rPr>
            </w:pPr>
            <w:r>
              <w:rPr>
                <w:rFonts w:ascii="Arial" w:cs="Arial" w:eastAsia="Arial" w:hAnsi="Arial"/>
                <w:sz w:val="20"/>
                <w:szCs w:val="20"/>
                <w:color w:val="auto"/>
                <w:w w:val="94"/>
              </w:rPr>
              <w:t>(1)(2)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5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2820" w:type="dxa"/>
            <w:vAlign w:val="bottom"/>
            <w:gridSpan w:val="2"/>
            <w:shd w:val="clear" w:color="auto" w:fill="CCEEFF"/>
          </w:tcPr>
          <w:p>
            <w:pPr>
              <w:spacing w:after="0" w:line="213" w:lineRule="exact"/>
              <w:rPr>
                <w:sz w:val="20"/>
                <w:szCs w:val="20"/>
                <w:color w:val="auto"/>
              </w:rPr>
            </w:pPr>
            <w:r>
              <w:rPr>
                <w:rFonts w:ascii="Arial" w:cs="Arial" w:eastAsia="Arial" w:hAnsi="Arial"/>
                <w:sz w:val="20"/>
                <w:szCs w:val="20"/>
                <w:color w:val="auto"/>
              </w:rPr>
              <w:t>April 30, 2005 through</w:t>
            </w: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May 27, 2005</w:t>
            </w:r>
          </w:p>
        </w:tc>
        <w:tc>
          <w:tcPr>
            <w:tcW w:w="1840" w:type="dxa"/>
            <w:vAlign w:val="bottom"/>
            <w:gridSpan w:val="3"/>
            <w:shd w:val="clear" w:color="auto" w:fill="CCEEFF"/>
          </w:tcPr>
          <w:p>
            <w:pPr>
              <w:ind w:left="1140"/>
              <w:spacing w:after="0"/>
              <w:rPr>
                <w:sz w:val="20"/>
                <w:szCs w:val="20"/>
                <w:color w:val="auto"/>
              </w:rPr>
            </w:pPr>
            <w:r>
              <w:rPr>
                <w:rFonts w:ascii="Arial" w:cs="Arial" w:eastAsia="Arial" w:hAnsi="Arial"/>
                <w:sz w:val="20"/>
                <w:szCs w:val="20"/>
                <w:color w:val="auto"/>
                <w:w w:val="94"/>
              </w:rPr>
              <w:t>241,489</w:t>
            </w:r>
          </w:p>
        </w:tc>
        <w:tc>
          <w:tcPr>
            <w:tcW w:w="680" w:type="dxa"/>
            <w:vAlign w:val="bottom"/>
            <w:shd w:val="clear" w:color="auto" w:fill="CCEEFF"/>
          </w:tcPr>
          <w:p>
            <w:pPr>
              <w:spacing w:after="0"/>
              <w:rPr>
                <w:sz w:val="21"/>
                <w:szCs w:val="21"/>
                <w:color w:val="auto"/>
              </w:rPr>
            </w:pPr>
          </w:p>
        </w:tc>
        <w:tc>
          <w:tcPr>
            <w:tcW w:w="3120" w:type="dxa"/>
            <w:vAlign w:val="bottom"/>
            <w:gridSpan w:val="4"/>
            <w:shd w:val="clear" w:color="auto" w:fill="CCEEFF"/>
          </w:tcPr>
          <w:p>
            <w:pPr>
              <w:jc w:val="right"/>
              <w:ind w:right="220"/>
              <w:spacing w:after="0"/>
              <w:rPr>
                <w:sz w:val="20"/>
                <w:szCs w:val="20"/>
                <w:color w:val="auto"/>
              </w:rPr>
            </w:pPr>
            <w:r>
              <w:rPr>
                <w:rFonts w:ascii="Arial" w:cs="Arial" w:eastAsia="Arial" w:hAnsi="Arial"/>
                <w:sz w:val="20"/>
                <w:szCs w:val="20"/>
                <w:color w:val="auto"/>
              </w:rPr>
              <w:t>$42.05</w:t>
            </w:r>
          </w:p>
        </w:tc>
        <w:tc>
          <w:tcPr>
            <w:tcW w:w="2040" w:type="dxa"/>
            <w:vAlign w:val="bottom"/>
            <w:gridSpan w:val="3"/>
            <w:shd w:val="clear" w:color="auto" w:fill="CCEEFF"/>
          </w:tcPr>
          <w:p>
            <w:pPr>
              <w:jc w:val="right"/>
              <w:ind w:right="220"/>
              <w:spacing w:after="0"/>
              <w:rPr>
                <w:sz w:val="20"/>
                <w:szCs w:val="20"/>
                <w:color w:val="auto"/>
              </w:rPr>
            </w:pPr>
            <w:r>
              <w:rPr>
                <w:rFonts w:ascii="Arial" w:cs="Arial" w:eastAsia="Arial" w:hAnsi="Arial"/>
                <w:sz w:val="20"/>
                <w:szCs w:val="20"/>
                <w:color w:val="auto"/>
              </w:rPr>
              <w:t>241,489</w:t>
            </w: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20"/>
                <w:szCs w:val="20"/>
                <w:color w:val="auto"/>
                <w:w w:val="87"/>
              </w:rPr>
              <w:t>1,183,605</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2820" w:type="dxa"/>
            <w:vAlign w:val="bottom"/>
            <w:gridSpan w:val="2"/>
            <w:shd w:val="clear" w:color="auto" w:fill="CCEEFF"/>
          </w:tcPr>
          <w:p>
            <w:pPr>
              <w:spacing w:after="0" w:line="213" w:lineRule="exact"/>
              <w:rPr>
                <w:sz w:val="20"/>
                <w:szCs w:val="20"/>
                <w:color w:val="auto"/>
              </w:rPr>
            </w:pPr>
            <w:r>
              <w:rPr>
                <w:rFonts w:ascii="Arial" w:cs="Arial" w:eastAsia="Arial" w:hAnsi="Arial"/>
                <w:sz w:val="20"/>
                <w:szCs w:val="20"/>
                <w:color w:val="auto"/>
              </w:rPr>
              <w:t>May 28, 2005 through</w:t>
            </w: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June 24, 2005</w:t>
            </w:r>
          </w:p>
        </w:tc>
        <w:tc>
          <w:tcPr>
            <w:tcW w:w="1840" w:type="dxa"/>
            <w:vAlign w:val="bottom"/>
            <w:gridSpan w:val="3"/>
            <w:shd w:val="clear" w:color="auto" w:fill="CCEEFF"/>
          </w:tcPr>
          <w:p>
            <w:pPr>
              <w:ind w:left="1140"/>
              <w:spacing w:after="0"/>
              <w:rPr>
                <w:sz w:val="20"/>
                <w:szCs w:val="20"/>
                <w:color w:val="auto"/>
              </w:rPr>
            </w:pPr>
            <w:r>
              <w:rPr>
                <w:rFonts w:ascii="Arial" w:cs="Arial" w:eastAsia="Arial" w:hAnsi="Arial"/>
                <w:sz w:val="20"/>
                <w:szCs w:val="20"/>
                <w:color w:val="auto"/>
                <w:w w:val="94"/>
              </w:rPr>
              <w:t>150,700</w:t>
            </w:r>
          </w:p>
        </w:tc>
        <w:tc>
          <w:tcPr>
            <w:tcW w:w="680" w:type="dxa"/>
            <w:vAlign w:val="bottom"/>
            <w:shd w:val="clear" w:color="auto" w:fill="CCEEFF"/>
          </w:tcPr>
          <w:p>
            <w:pPr>
              <w:spacing w:after="0"/>
              <w:rPr>
                <w:sz w:val="21"/>
                <w:szCs w:val="21"/>
                <w:color w:val="auto"/>
              </w:rPr>
            </w:pPr>
          </w:p>
        </w:tc>
        <w:tc>
          <w:tcPr>
            <w:tcW w:w="3120" w:type="dxa"/>
            <w:vAlign w:val="bottom"/>
            <w:gridSpan w:val="4"/>
            <w:shd w:val="clear" w:color="auto" w:fill="CCEEFF"/>
          </w:tcPr>
          <w:p>
            <w:pPr>
              <w:jc w:val="right"/>
              <w:ind w:right="220"/>
              <w:spacing w:after="0"/>
              <w:rPr>
                <w:sz w:val="20"/>
                <w:szCs w:val="20"/>
                <w:color w:val="auto"/>
              </w:rPr>
            </w:pPr>
            <w:r>
              <w:rPr>
                <w:rFonts w:ascii="Arial" w:cs="Arial" w:eastAsia="Arial" w:hAnsi="Arial"/>
                <w:sz w:val="20"/>
                <w:szCs w:val="20"/>
                <w:color w:val="auto"/>
              </w:rPr>
              <w:t>41.22</w:t>
            </w:r>
          </w:p>
        </w:tc>
        <w:tc>
          <w:tcPr>
            <w:tcW w:w="2040" w:type="dxa"/>
            <w:vAlign w:val="bottom"/>
            <w:gridSpan w:val="3"/>
            <w:shd w:val="clear" w:color="auto" w:fill="CCEEFF"/>
          </w:tcPr>
          <w:p>
            <w:pPr>
              <w:jc w:val="right"/>
              <w:ind w:right="220"/>
              <w:spacing w:after="0"/>
              <w:rPr>
                <w:sz w:val="20"/>
                <w:szCs w:val="20"/>
                <w:color w:val="auto"/>
              </w:rPr>
            </w:pPr>
            <w:r>
              <w:rPr>
                <w:rFonts w:ascii="Arial" w:cs="Arial" w:eastAsia="Arial" w:hAnsi="Arial"/>
                <w:sz w:val="20"/>
                <w:szCs w:val="20"/>
                <w:color w:val="auto"/>
              </w:rPr>
              <w:t>150,700</w:t>
            </w: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20"/>
                <w:szCs w:val="20"/>
                <w:color w:val="auto"/>
                <w:w w:val="87"/>
              </w:rPr>
              <w:t>1,032,905</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2820" w:type="dxa"/>
            <w:vAlign w:val="bottom"/>
            <w:gridSpan w:val="2"/>
            <w:shd w:val="clear" w:color="auto" w:fill="CCEEFF"/>
          </w:tcPr>
          <w:p>
            <w:pPr>
              <w:spacing w:after="0" w:line="213" w:lineRule="exact"/>
              <w:rPr>
                <w:sz w:val="20"/>
                <w:szCs w:val="20"/>
                <w:color w:val="auto"/>
              </w:rPr>
            </w:pPr>
            <w:r>
              <w:rPr>
                <w:rFonts w:ascii="Arial" w:cs="Arial" w:eastAsia="Arial" w:hAnsi="Arial"/>
                <w:sz w:val="20"/>
                <w:szCs w:val="20"/>
                <w:color w:val="auto"/>
              </w:rPr>
              <w:t>June 25, 2005 through</w:t>
            </w: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July 29, 2005</w:t>
            </w:r>
          </w:p>
        </w:tc>
        <w:tc>
          <w:tcPr>
            <w:tcW w:w="2520" w:type="dxa"/>
            <w:vAlign w:val="bottom"/>
            <w:gridSpan w:val="4"/>
            <w:shd w:val="clear" w:color="auto" w:fill="CCEEFF"/>
          </w:tcPr>
          <w:p>
            <w:pPr>
              <w:ind w:left="1140"/>
              <w:spacing w:after="0"/>
              <w:rPr>
                <w:sz w:val="20"/>
                <w:szCs w:val="20"/>
                <w:color w:val="auto"/>
              </w:rPr>
            </w:pPr>
            <w:r>
              <w:rPr>
                <w:rFonts w:ascii="Arial" w:cs="Arial" w:eastAsia="Arial" w:hAnsi="Arial"/>
                <w:sz w:val="20"/>
                <w:szCs w:val="20"/>
                <w:color w:val="auto"/>
              </w:rPr>
              <w:t>380,660(3)</w:t>
            </w:r>
          </w:p>
        </w:tc>
        <w:tc>
          <w:tcPr>
            <w:tcW w:w="2900" w:type="dxa"/>
            <w:vAlign w:val="bottom"/>
            <w:gridSpan w:val="3"/>
            <w:shd w:val="clear" w:color="auto" w:fill="CCEEFF"/>
          </w:tcPr>
          <w:p>
            <w:pPr>
              <w:jc w:val="right"/>
              <w:ind w:right="1120"/>
              <w:spacing w:after="0"/>
              <w:rPr>
                <w:sz w:val="20"/>
                <w:szCs w:val="20"/>
                <w:color w:val="auto"/>
              </w:rPr>
            </w:pPr>
            <w:r>
              <w:rPr>
                <w:rFonts w:ascii="Arial" w:cs="Arial" w:eastAsia="Arial" w:hAnsi="Arial"/>
                <w:sz w:val="20"/>
                <w:szCs w:val="20"/>
                <w:color w:val="auto"/>
              </w:rPr>
              <w:t>38.84</w:t>
            </w:r>
          </w:p>
        </w:tc>
        <w:tc>
          <w:tcPr>
            <w:tcW w:w="220" w:type="dxa"/>
            <w:vAlign w:val="bottom"/>
            <w:shd w:val="clear" w:color="auto" w:fill="CCEEFF"/>
          </w:tcPr>
          <w:p>
            <w:pPr>
              <w:spacing w:after="0"/>
              <w:rPr>
                <w:sz w:val="21"/>
                <w:szCs w:val="21"/>
                <w:color w:val="auto"/>
              </w:rPr>
            </w:pPr>
          </w:p>
        </w:tc>
        <w:tc>
          <w:tcPr>
            <w:tcW w:w="2040" w:type="dxa"/>
            <w:vAlign w:val="bottom"/>
            <w:gridSpan w:val="3"/>
            <w:shd w:val="clear" w:color="auto" w:fill="CCEEFF"/>
          </w:tcPr>
          <w:p>
            <w:pPr>
              <w:jc w:val="right"/>
              <w:ind w:right="220"/>
              <w:spacing w:after="0"/>
              <w:rPr>
                <w:sz w:val="20"/>
                <w:szCs w:val="20"/>
                <w:color w:val="auto"/>
              </w:rPr>
            </w:pPr>
            <w:r>
              <w:rPr>
                <w:rFonts w:ascii="Arial" w:cs="Arial" w:eastAsia="Arial" w:hAnsi="Arial"/>
                <w:sz w:val="20"/>
                <w:szCs w:val="20"/>
                <w:color w:val="auto"/>
              </w:rPr>
              <w:t>378,400</w:t>
            </w: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20"/>
                <w:szCs w:val="20"/>
                <w:color w:val="auto"/>
                <w:w w:val="87"/>
              </w:rPr>
              <w:t>2,654,505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Total</w:t>
            </w:r>
          </w:p>
        </w:tc>
        <w:tc>
          <w:tcPr>
            <w:tcW w:w="1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w w:val="85"/>
              </w:rPr>
              <w:t>772,849</w:t>
            </w:r>
          </w:p>
        </w:tc>
        <w:tc>
          <w:tcPr>
            <w:tcW w:w="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u w:val="single" w:color="auto"/>
                <w:color w:val="auto"/>
                <w:w w:val="88"/>
              </w:rPr>
              <w:t>$</w:t>
            </w:r>
            <w:r>
              <w:rPr>
                <w:rFonts w:ascii="Arial" w:cs="Arial" w:eastAsia="Arial" w:hAnsi="Arial"/>
                <w:sz w:val="20"/>
                <w:szCs w:val="20"/>
                <w:color w:val="auto"/>
                <w:w w:val="88"/>
              </w:rPr>
              <w:t>40.31</w:t>
            </w:r>
          </w:p>
        </w:tc>
        <w:tc>
          <w:tcPr>
            <w:tcW w:w="1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1"/>
              </w:rPr>
              <w:t>770,589</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660" w:right="420" w:hanging="328"/>
        <w:spacing w:after="0" w:line="243" w:lineRule="auto"/>
        <w:tabs>
          <w:tab w:leader="none" w:pos="666" w:val="left"/>
        </w:tabs>
        <w:numPr>
          <w:ilvl w:val="0"/>
          <w:numId w:val="6"/>
        </w:numPr>
        <w:rPr>
          <w:rFonts w:ascii="Arial" w:cs="Arial" w:eastAsia="Arial" w:hAnsi="Arial"/>
          <w:sz w:val="20"/>
          <w:szCs w:val="20"/>
          <w:color w:val="auto"/>
        </w:rPr>
      </w:pPr>
      <w:r>
        <w:rPr>
          <w:rFonts w:ascii="Arial" w:cs="Arial" w:eastAsia="Arial" w:hAnsi="Arial"/>
          <w:sz w:val="20"/>
          <w:szCs w:val="20"/>
          <w:color w:val="auto"/>
        </w:rPr>
        <w:t>On September 30, 2004, the company’s Board of Directors authorized the repurchase of up to 2,000,000 shares of the company’s common stock in open-market transactions or in privately negotiated transactions. This program has no expiration date but may be terminated by the company’s Board of Directors at any time. The company purchased 770,589 shares during the periods indicated above under this program.</w:t>
      </w:r>
    </w:p>
    <w:p>
      <w:pPr>
        <w:spacing w:after="0" w:line="2" w:lineRule="exact"/>
        <w:rPr>
          <w:rFonts w:ascii="Arial" w:cs="Arial" w:eastAsia="Arial" w:hAnsi="Arial"/>
          <w:sz w:val="20"/>
          <w:szCs w:val="20"/>
          <w:color w:val="auto"/>
        </w:rPr>
      </w:pPr>
    </w:p>
    <w:p>
      <w:pPr>
        <w:ind w:left="660" w:right="40" w:hanging="328"/>
        <w:spacing w:after="0" w:line="239" w:lineRule="auto"/>
        <w:tabs>
          <w:tab w:leader="none" w:pos="666" w:val="left"/>
        </w:tabs>
        <w:numPr>
          <w:ilvl w:val="0"/>
          <w:numId w:val="6"/>
        </w:numPr>
        <w:rPr>
          <w:rFonts w:ascii="Arial" w:cs="Arial" w:eastAsia="Arial" w:hAnsi="Arial"/>
          <w:sz w:val="20"/>
          <w:szCs w:val="20"/>
          <w:color w:val="auto"/>
        </w:rPr>
      </w:pPr>
      <w:r>
        <w:rPr>
          <w:rFonts w:ascii="Arial" w:cs="Arial" w:eastAsia="Arial" w:hAnsi="Arial"/>
          <w:sz w:val="20"/>
          <w:szCs w:val="20"/>
          <w:color w:val="auto"/>
        </w:rPr>
        <w:t>On July 19, 2005, the company’s Board of Directors authorized the repurchase of up to an additional 2,000,000 shares of the company’s common stock in open-market transactions or in privately negotiated transactions. This program has no expiration date but may be terminated by the company’s Board of Directors at any time. The company did not purchase shares during the periods indicated above under this program.</w:t>
      </w:r>
    </w:p>
    <w:p>
      <w:pPr>
        <w:spacing w:after="0" w:line="2" w:lineRule="exact"/>
        <w:rPr>
          <w:rFonts w:ascii="Arial" w:cs="Arial" w:eastAsia="Arial" w:hAnsi="Arial"/>
          <w:sz w:val="20"/>
          <w:szCs w:val="20"/>
          <w:color w:val="auto"/>
        </w:rPr>
      </w:pPr>
    </w:p>
    <w:p>
      <w:pPr>
        <w:jc w:val="both"/>
        <w:ind w:left="660" w:right="100" w:hanging="328"/>
        <w:spacing w:after="0" w:line="282" w:lineRule="auto"/>
        <w:tabs>
          <w:tab w:leader="none" w:pos="666"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2,260 units (shares) of the company’s common stock purchased in open-market transactions at an average price of $38.61 per share on behalf of a rabbi trust formed to pay benefit obligations of the company to participants in deferred compensation plans. These 2,260 shares were not repurchased under the company’s repurchase programs described in footnotes (1) and (2) above.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Item 5. OTHER INFORMATION</w:t>
      </w:r>
    </w:p>
    <w:p>
      <w:pPr>
        <w:sectPr>
          <w:pgSz w:w="11900" w:h="16838" w:orient="portrait"/>
          <w:cols w:equalWidth="0" w:num="1">
            <w:col w:w="11420"/>
          </w:cols>
          <w:pgMar w:left="240" w:top="122" w:right="239" w:bottom="46" w:gutter="0" w:footer="0" w:header="0"/>
        </w:sectPr>
      </w:pPr>
    </w:p>
    <w:bookmarkStart w:id="18" w:name="page19"/>
    <w:bookmarkEnd w:id="18"/>
    <w:p>
      <w:pPr>
        <w:ind w:left="340" w:right="40"/>
        <w:spacing w:after="0" w:line="244" w:lineRule="auto"/>
        <w:rPr>
          <w:sz w:val="20"/>
          <w:szCs w:val="20"/>
          <w:color w:val="auto"/>
        </w:rPr>
      </w:pPr>
      <w:r>
        <w:rPr>
          <w:rFonts w:ascii="Arial" w:cs="Arial" w:eastAsia="Arial" w:hAnsi="Arial"/>
          <w:sz w:val="20"/>
          <w:szCs w:val="20"/>
          <w:color w:val="auto"/>
        </w:rPr>
        <w:t>On July 19, 2005, Toro’s Board of Directors terminated Toro’s Officer Stock Purchase Policy, which was originally approved by Toro’s Board of Directors on September 16, 1999. Pursuant to the terms of Toro’s former Officer Stock Purchase Policy, if Toro had an approved share repurchase plan and was ready to be in the market repurchasing shares of its common stock, officers of Toro could request that Toro purchase shares of their Toro common stock at a purchase price equal to the reported New York Stock Exchange closing price on the day of the transaction (or the price on the day before, if the officer had informed Toro before the market opened on any given day the he or she desired to sell Toro shares).</w:t>
      </w: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23"/>
          <w:szCs w:val="23"/>
          <w:b w:val="1"/>
          <w:bCs w:val="1"/>
          <w:color w:val="auto"/>
        </w:rPr>
        <w:t>Item 6. EXHIBITS</w:t>
      </w:r>
    </w:p>
    <w:p>
      <w:pPr>
        <w:spacing w:after="0" w:line="200" w:lineRule="exact"/>
        <w:rPr>
          <w:sz w:val="20"/>
          <w:szCs w:val="20"/>
          <w:color w:val="auto"/>
        </w:rPr>
      </w:pPr>
    </w:p>
    <w:p>
      <w:pPr>
        <w:spacing w:after="0" w:line="280" w:lineRule="exact"/>
        <w:rPr>
          <w:sz w:val="20"/>
          <w:szCs w:val="20"/>
          <w:color w:val="auto"/>
        </w:rPr>
      </w:pPr>
    </w:p>
    <w:p>
      <w:pPr>
        <w:ind w:left="380" w:hanging="372"/>
        <w:spacing w:after="0"/>
        <w:tabs>
          <w:tab w:leader="none" w:pos="380" w:val="left"/>
        </w:tabs>
        <w:numPr>
          <w:ilvl w:val="0"/>
          <w:numId w:val="7"/>
        </w:numPr>
        <w:rPr>
          <w:rFonts w:ascii="Arial" w:cs="Arial" w:eastAsia="Arial" w:hAnsi="Arial"/>
          <w:sz w:val="20"/>
          <w:szCs w:val="20"/>
          <w:color w:val="auto"/>
        </w:rPr>
      </w:pPr>
      <w:r>
        <w:rPr>
          <w:rFonts w:ascii="Arial" w:cs="Arial" w:eastAsia="Arial" w:hAnsi="Arial"/>
          <w:sz w:val="20"/>
          <w:szCs w:val="20"/>
          <w:color w:val="auto"/>
        </w:rPr>
        <w:t>Exhibits</w:t>
      </w:r>
    </w:p>
    <w:p>
      <w:pPr>
        <w:spacing w:after="0" w:line="229" w:lineRule="exact"/>
        <w:rPr>
          <w:rFonts w:ascii="Arial" w:cs="Arial" w:eastAsia="Arial" w:hAnsi="Arial"/>
          <w:sz w:val="20"/>
          <w:szCs w:val="20"/>
          <w:color w:val="auto"/>
        </w:rPr>
      </w:pPr>
    </w:p>
    <w:p>
      <w:pPr>
        <w:ind w:left="1880" w:right="260" w:hanging="1504"/>
        <w:spacing w:after="0" w:line="287" w:lineRule="auto"/>
        <w:rPr>
          <w:rFonts w:ascii="Arial" w:cs="Arial" w:eastAsia="Arial" w:hAnsi="Arial"/>
          <w:sz w:val="20"/>
          <w:szCs w:val="20"/>
          <w:color w:val="auto"/>
        </w:rPr>
      </w:pPr>
      <w:r>
        <w:rPr>
          <w:rFonts w:ascii="Arial" w:cs="Arial" w:eastAsia="Arial" w:hAnsi="Arial"/>
          <w:sz w:val="20"/>
          <w:szCs w:val="20"/>
          <w:color w:val="auto"/>
        </w:rPr>
        <w:t>3(i) and 4(a)</w:t>
      </w:r>
      <w:r>
        <w:rPr>
          <w:rFonts w:ascii="Arial" w:cs="Arial" w:eastAsia="Arial" w:hAnsi="Arial"/>
          <w:sz w:val="19"/>
          <w:szCs w:val="19"/>
          <w:color w:val="auto"/>
        </w:rPr>
        <w:t>The Toro Company Amended and Restated Certificate of Incorporation (incorporated by reference to Exhibit 3(i) and 4(a) to Registrant’s Current Report on Form 8-K dated March 15, 2005, Commission File No. 1-8649).</w:t>
      </w:r>
    </w:p>
    <w:p>
      <w:pPr>
        <w:spacing w:after="0" w:line="166" w:lineRule="exact"/>
        <w:rPr>
          <w:rFonts w:ascii="Arial" w:cs="Arial" w:eastAsia="Arial" w:hAnsi="Arial"/>
          <w:sz w:val="20"/>
          <w:szCs w:val="20"/>
          <w:color w:val="auto"/>
        </w:rPr>
      </w:pPr>
    </w:p>
    <w:p>
      <w:pPr>
        <w:ind w:left="1880" w:right="600" w:hanging="1504"/>
        <w:spacing w:after="0" w:line="260" w:lineRule="auto"/>
        <w:rPr>
          <w:rFonts w:ascii="Arial" w:cs="Arial" w:eastAsia="Arial" w:hAnsi="Arial"/>
          <w:sz w:val="20"/>
          <w:szCs w:val="20"/>
          <w:color w:val="auto"/>
        </w:rPr>
      </w:pPr>
      <w:r>
        <w:rPr>
          <w:rFonts w:ascii="Arial" w:cs="Arial" w:eastAsia="Arial" w:hAnsi="Arial"/>
          <w:sz w:val="20"/>
          <w:szCs w:val="20"/>
          <w:color w:val="auto"/>
        </w:rPr>
        <w:t>3(ii) and 4(b)The Toro Company Bylaws (incorporated by reference to Exhibit 3(ii) and 4(b) to Registrant’s Current Report on Form 8-K dated March 15, 2005, Commission File No. 1-8649).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tcPr>
          <w:p>
            <w:pPr>
              <w:ind w:left="360"/>
              <w:spacing w:after="0"/>
              <w:rPr>
                <w:sz w:val="20"/>
                <w:szCs w:val="20"/>
                <w:color w:val="auto"/>
              </w:rPr>
            </w:pPr>
            <w:r>
              <w:rPr>
                <w:rFonts w:ascii="Arial" w:cs="Arial" w:eastAsia="Arial" w:hAnsi="Arial"/>
                <w:sz w:val="20"/>
                <w:szCs w:val="20"/>
                <w:color w:val="auto"/>
              </w:rPr>
              <w:t>4(c)</w:t>
            </w:r>
          </w:p>
        </w:tc>
        <w:tc>
          <w:tcPr>
            <w:tcW w:w="10100" w:type="dxa"/>
            <w:vAlign w:val="bottom"/>
          </w:tcPr>
          <w:p>
            <w:pPr>
              <w:ind w:left="540"/>
              <w:spacing w:after="0"/>
              <w:rPr>
                <w:sz w:val="20"/>
                <w:szCs w:val="20"/>
                <w:color w:val="auto"/>
              </w:rPr>
            </w:pPr>
            <w:r>
              <w:rPr>
                <w:rFonts w:ascii="Arial" w:cs="Arial" w:eastAsia="Arial" w:hAnsi="Arial"/>
                <w:sz w:val="20"/>
                <w:szCs w:val="20"/>
                <w:color w:val="auto"/>
                <w:w w:val="93"/>
              </w:rPr>
              <w:t>Specimen form of Common Stock certificate (incorporated by reference to Exhibit 4(c) to Registrant’s Annual Report</w:t>
            </w:r>
          </w:p>
        </w:tc>
      </w:tr>
      <w:tr>
        <w:trPr>
          <w:trHeight w:val="250"/>
        </w:trPr>
        <w:tc>
          <w:tcPr>
            <w:tcW w:w="1340" w:type="dxa"/>
            <w:vAlign w:val="bottom"/>
          </w:tcPr>
          <w:p>
            <w:pPr>
              <w:spacing w:after="0"/>
              <w:rPr>
                <w:sz w:val="21"/>
                <w:szCs w:val="21"/>
                <w:color w:val="auto"/>
              </w:rPr>
            </w:pPr>
          </w:p>
        </w:tc>
        <w:tc>
          <w:tcPr>
            <w:tcW w:w="10100" w:type="dxa"/>
            <w:vAlign w:val="bottom"/>
          </w:tcPr>
          <w:p>
            <w:pPr>
              <w:ind w:left="540"/>
              <w:spacing w:after="0"/>
              <w:rPr>
                <w:sz w:val="20"/>
                <w:szCs w:val="20"/>
                <w:color w:val="auto"/>
              </w:rPr>
            </w:pPr>
            <w:r>
              <w:rPr>
                <w:rFonts w:ascii="Arial" w:cs="Arial" w:eastAsia="Arial" w:hAnsi="Arial"/>
                <w:sz w:val="20"/>
                <w:szCs w:val="20"/>
                <w:color w:val="auto"/>
              </w:rPr>
              <w:t>on Form 10-K for fiscal year ended October 31, 2004, Commission File No. 1-8649).</w:t>
            </w:r>
          </w:p>
        </w:tc>
      </w:tr>
      <w:tr>
        <w:trPr>
          <w:trHeight w:val="438"/>
        </w:trPr>
        <w:tc>
          <w:tcPr>
            <w:tcW w:w="1340" w:type="dxa"/>
            <w:vAlign w:val="bottom"/>
          </w:tcPr>
          <w:p>
            <w:pPr>
              <w:ind w:left="360"/>
              <w:spacing w:after="0"/>
              <w:rPr>
                <w:sz w:val="20"/>
                <w:szCs w:val="20"/>
                <w:color w:val="auto"/>
              </w:rPr>
            </w:pPr>
            <w:r>
              <w:rPr>
                <w:rFonts w:ascii="Arial" w:cs="Arial" w:eastAsia="Arial" w:hAnsi="Arial"/>
                <w:sz w:val="20"/>
                <w:szCs w:val="20"/>
                <w:color w:val="auto"/>
              </w:rPr>
              <w:t>4(d)</w:t>
            </w:r>
          </w:p>
        </w:tc>
        <w:tc>
          <w:tcPr>
            <w:tcW w:w="10100" w:type="dxa"/>
            <w:vAlign w:val="bottom"/>
          </w:tcPr>
          <w:p>
            <w:pPr>
              <w:ind w:left="540"/>
              <w:spacing w:after="0"/>
              <w:rPr>
                <w:sz w:val="20"/>
                <w:szCs w:val="20"/>
                <w:color w:val="auto"/>
              </w:rPr>
            </w:pPr>
            <w:r>
              <w:rPr>
                <w:rFonts w:ascii="Arial" w:cs="Arial" w:eastAsia="Arial" w:hAnsi="Arial"/>
                <w:sz w:val="20"/>
                <w:szCs w:val="20"/>
                <w:color w:val="auto"/>
                <w:w w:val="99"/>
              </w:rPr>
              <w:t>Rights Agreement dated as of May 20, 1998, between Registrant and Wells Fargo Bank Minnesota, National</w:t>
            </w:r>
          </w:p>
        </w:tc>
      </w:tr>
      <w:tr>
        <w:trPr>
          <w:trHeight w:val="230"/>
        </w:trPr>
        <w:tc>
          <w:tcPr>
            <w:tcW w:w="1340" w:type="dxa"/>
            <w:vAlign w:val="bottom"/>
          </w:tcPr>
          <w:p>
            <w:pPr>
              <w:spacing w:after="0"/>
              <w:rPr>
                <w:sz w:val="19"/>
                <w:szCs w:val="19"/>
                <w:color w:val="auto"/>
              </w:rPr>
            </w:pPr>
          </w:p>
        </w:tc>
        <w:tc>
          <w:tcPr>
            <w:tcW w:w="10100" w:type="dxa"/>
            <w:vAlign w:val="bottom"/>
          </w:tcPr>
          <w:p>
            <w:pPr>
              <w:ind w:left="540"/>
              <w:spacing w:after="0"/>
              <w:rPr>
                <w:sz w:val="20"/>
                <w:szCs w:val="20"/>
                <w:color w:val="auto"/>
              </w:rPr>
            </w:pPr>
            <w:r>
              <w:rPr>
                <w:rFonts w:ascii="Arial" w:cs="Arial" w:eastAsia="Arial" w:hAnsi="Arial"/>
                <w:sz w:val="20"/>
                <w:szCs w:val="20"/>
                <w:color w:val="auto"/>
              </w:rPr>
              <w:t>Association relating to rights to purchase Series B Junior Participating Voting Preferred Stock, as amended</w:t>
            </w:r>
          </w:p>
        </w:tc>
      </w:tr>
      <w:tr>
        <w:trPr>
          <w:trHeight w:val="230"/>
        </w:trPr>
        <w:tc>
          <w:tcPr>
            <w:tcW w:w="1340" w:type="dxa"/>
            <w:vAlign w:val="bottom"/>
          </w:tcPr>
          <w:p>
            <w:pPr>
              <w:spacing w:after="0"/>
              <w:rPr>
                <w:sz w:val="19"/>
                <w:szCs w:val="19"/>
                <w:color w:val="auto"/>
              </w:rPr>
            </w:pPr>
          </w:p>
        </w:tc>
        <w:tc>
          <w:tcPr>
            <w:tcW w:w="10100" w:type="dxa"/>
            <w:vAlign w:val="bottom"/>
          </w:tcPr>
          <w:p>
            <w:pPr>
              <w:ind w:left="540"/>
              <w:spacing w:after="0"/>
              <w:rPr>
                <w:sz w:val="20"/>
                <w:szCs w:val="20"/>
                <w:color w:val="auto"/>
              </w:rPr>
            </w:pPr>
            <w:r>
              <w:rPr>
                <w:rFonts w:ascii="Arial" w:cs="Arial" w:eastAsia="Arial" w:hAnsi="Arial"/>
                <w:sz w:val="20"/>
                <w:szCs w:val="20"/>
                <w:color w:val="auto"/>
                <w:w w:val="93"/>
              </w:rPr>
              <w:t>(incorporated by reference to Registrant’s Current Report on Form 8-K dated May 27, 1998, Commission File No. 1-</w:t>
            </w:r>
          </w:p>
        </w:tc>
      </w:tr>
      <w:tr>
        <w:trPr>
          <w:trHeight w:val="250"/>
        </w:trPr>
        <w:tc>
          <w:tcPr>
            <w:tcW w:w="1340" w:type="dxa"/>
            <w:vAlign w:val="bottom"/>
          </w:tcPr>
          <w:p>
            <w:pPr>
              <w:spacing w:after="0"/>
              <w:rPr>
                <w:sz w:val="21"/>
                <w:szCs w:val="21"/>
                <w:color w:val="auto"/>
              </w:rPr>
            </w:pPr>
          </w:p>
        </w:tc>
        <w:tc>
          <w:tcPr>
            <w:tcW w:w="10100" w:type="dxa"/>
            <w:vAlign w:val="bottom"/>
          </w:tcPr>
          <w:p>
            <w:pPr>
              <w:ind w:left="540"/>
              <w:spacing w:after="0"/>
              <w:rPr>
                <w:sz w:val="20"/>
                <w:szCs w:val="20"/>
                <w:color w:val="auto"/>
              </w:rPr>
            </w:pPr>
            <w:r>
              <w:rPr>
                <w:rFonts w:ascii="Arial" w:cs="Arial" w:eastAsia="Arial" w:hAnsi="Arial"/>
                <w:sz w:val="20"/>
                <w:szCs w:val="20"/>
                <w:color w:val="auto"/>
              </w:rPr>
              <w:t>8649).</w:t>
            </w:r>
          </w:p>
        </w:tc>
      </w:tr>
      <w:tr>
        <w:trPr>
          <w:trHeight w:val="438"/>
        </w:trPr>
        <w:tc>
          <w:tcPr>
            <w:tcW w:w="1340" w:type="dxa"/>
            <w:vAlign w:val="bottom"/>
          </w:tcPr>
          <w:p>
            <w:pPr>
              <w:ind w:left="360"/>
              <w:spacing w:after="0"/>
              <w:rPr>
                <w:sz w:val="20"/>
                <w:szCs w:val="20"/>
                <w:color w:val="auto"/>
              </w:rPr>
            </w:pPr>
            <w:r>
              <w:rPr>
                <w:rFonts w:ascii="Arial" w:cs="Arial" w:eastAsia="Arial" w:hAnsi="Arial"/>
                <w:sz w:val="20"/>
                <w:szCs w:val="20"/>
                <w:color w:val="auto"/>
              </w:rPr>
              <w:t>4(e)</w:t>
            </w:r>
          </w:p>
        </w:tc>
        <w:tc>
          <w:tcPr>
            <w:tcW w:w="10100" w:type="dxa"/>
            <w:vAlign w:val="bottom"/>
          </w:tcPr>
          <w:p>
            <w:pPr>
              <w:ind w:left="540"/>
              <w:spacing w:after="0"/>
              <w:rPr>
                <w:sz w:val="20"/>
                <w:szCs w:val="20"/>
                <w:color w:val="auto"/>
              </w:rPr>
            </w:pPr>
            <w:r>
              <w:rPr>
                <w:rFonts w:ascii="Arial" w:cs="Arial" w:eastAsia="Arial" w:hAnsi="Arial"/>
                <w:sz w:val="20"/>
                <w:szCs w:val="20"/>
                <w:color w:val="auto"/>
                <w:w w:val="92"/>
              </w:rPr>
              <w:t>Certificate of Adjusted Purchase Price or Number of Shares dated April 14, 2003 filed by Registrant with Wells Fargo</w:t>
            </w:r>
          </w:p>
        </w:tc>
      </w:tr>
      <w:tr>
        <w:trPr>
          <w:trHeight w:val="230"/>
        </w:trPr>
        <w:tc>
          <w:tcPr>
            <w:tcW w:w="1340" w:type="dxa"/>
            <w:vAlign w:val="bottom"/>
          </w:tcPr>
          <w:p>
            <w:pPr>
              <w:spacing w:after="0"/>
              <w:rPr>
                <w:sz w:val="19"/>
                <w:szCs w:val="19"/>
                <w:color w:val="auto"/>
              </w:rPr>
            </w:pPr>
          </w:p>
        </w:tc>
        <w:tc>
          <w:tcPr>
            <w:tcW w:w="10100" w:type="dxa"/>
            <w:vAlign w:val="bottom"/>
          </w:tcPr>
          <w:p>
            <w:pPr>
              <w:ind w:left="540"/>
              <w:spacing w:after="0"/>
              <w:rPr>
                <w:sz w:val="20"/>
                <w:szCs w:val="20"/>
                <w:color w:val="auto"/>
              </w:rPr>
            </w:pPr>
            <w:r>
              <w:rPr>
                <w:rFonts w:ascii="Arial" w:cs="Arial" w:eastAsia="Arial" w:hAnsi="Arial"/>
                <w:sz w:val="20"/>
                <w:szCs w:val="20"/>
                <w:color w:val="auto"/>
                <w:w w:val="92"/>
              </w:rPr>
              <w:t>Bank Minnesota, N.A., as Rights Agent, in connection with Rights Agreement dated as of May 20, 1998 (incorporated</w:t>
            </w:r>
          </w:p>
        </w:tc>
      </w:tr>
      <w:tr>
        <w:trPr>
          <w:trHeight w:val="230"/>
        </w:trPr>
        <w:tc>
          <w:tcPr>
            <w:tcW w:w="1340" w:type="dxa"/>
            <w:vAlign w:val="bottom"/>
          </w:tcPr>
          <w:p>
            <w:pPr>
              <w:spacing w:after="0"/>
              <w:rPr>
                <w:sz w:val="19"/>
                <w:szCs w:val="19"/>
                <w:color w:val="auto"/>
              </w:rPr>
            </w:pPr>
          </w:p>
        </w:tc>
        <w:tc>
          <w:tcPr>
            <w:tcW w:w="10100" w:type="dxa"/>
            <w:vAlign w:val="bottom"/>
          </w:tcPr>
          <w:p>
            <w:pPr>
              <w:ind w:left="540"/>
              <w:spacing w:after="0"/>
              <w:rPr>
                <w:sz w:val="20"/>
                <w:szCs w:val="20"/>
                <w:color w:val="auto"/>
              </w:rPr>
            </w:pPr>
            <w:r>
              <w:rPr>
                <w:rFonts w:ascii="Arial" w:cs="Arial" w:eastAsia="Arial" w:hAnsi="Arial"/>
                <w:sz w:val="20"/>
                <w:szCs w:val="20"/>
                <w:color w:val="auto"/>
                <w:w w:val="93"/>
              </w:rPr>
              <w:t>by reference to Exhibit 2 to Registrant’s Amendment No. 1 to Registration Statement on Form 8-A/A dated April 14,</w:t>
            </w:r>
          </w:p>
        </w:tc>
      </w:tr>
      <w:tr>
        <w:trPr>
          <w:trHeight w:val="250"/>
        </w:trPr>
        <w:tc>
          <w:tcPr>
            <w:tcW w:w="1340" w:type="dxa"/>
            <w:vAlign w:val="bottom"/>
          </w:tcPr>
          <w:p>
            <w:pPr>
              <w:spacing w:after="0"/>
              <w:rPr>
                <w:sz w:val="21"/>
                <w:szCs w:val="21"/>
                <w:color w:val="auto"/>
              </w:rPr>
            </w:pPr>
          </w:p>
        </w:tc>
        <w:tc>
          <w:tcPr>
            <w:tcW w:w="10100" w:type="dxa"/>
            <w:vAlign w:val="bottom"/>
          </w:tcPr>
          <w:p>
            <w:pPr>
              <w:ind w:left="540"/>
              <w:spacing w:after="0"/>
              <w:rPr>
                <w:sz w:val="20"/>
                <w:szCs w:val="20"/>
                <w:color w:val="auto"/>
              </w:rPr>
            </w:pPr>
            <w:r>
              <w:rPr>
                <w:rFonts w:ascii="Arial" w:cs="Arial" w:eastAsia="Arial" w:hAnsi="Arial"/>
                <w:sz w:val="20"/>
                <w:szCs w:val="20"/>
                <w:color w:val="auto"/>
              </w:rPr>
              <w:t>2003, Commission File No. 1-8649).</w:t>
            </w:r>
          </w:p>
        </w:tc>
      </w:tr>
      <w:tr>
        <w:trPr>
          <w:trHeight w:val="438"/>
        </w:trPr>
        <w:tc>
          <w:tcPr>
            <w:tcW w:w="1340" w:type="dxa"/>
            <w:vAlign w:val="bottom"/>
          </w:tcPr>
          <w:p>
            <w:pPr>
              <w:ind w:left="360"/>
              <w:spacing w:after="0"/>
              <w:rPr>
                <w:sz w:val="20"/>
                <w:szCs w:val="20"/>
                <w:color w:val="auto"/>
              </w:rPr>
            </w:pPr>
            <w:r>
              <w:rPr>
                <w:rFonts w:ascii="Arial" w:cs="Arial" w:eastAsia="Arial" w:hAnsi="Arial"/>
                <w:sz w:val="20"/>
                <w:szCs w:val="20"/>
                <w:color w:val="auto"/>
              </w:rPr>
              <w:t>4(f)</w:t>
            </w:r>
          </w:p>
        </w:tc>
        <w:tc>
          <w:tcPr>
            <w:tcW w:w="10100" w:type="dxa"/>
            <w:vAlign w:val="bottom"/>
          </w:tcPr>
          <w:p>
            <w:pPr>
              <w:ind w:left="540"/>
              <w:spacing w:after="0"/>
              <w:rPr>
                <w:sz w:val="20"/>
                <w:szCs w:val="20"/>
                <w:color w:val="auto"/>
              </w:rPr>
            </w:pPr>
            <w:r>
              <w:rPr>
                <w:rFonts w:ascii="Arial" w:cs="Arial" w:eastAsia="Arial" w:hAnsi="Arial"/>
                <w:sz w:val="20"/>
                <w:szCs w:val="20"/>
                <w:color w:val="auto"/>
                <w:w w:val="92"/>
              </w:rPr>
              <w:t>Certificate of Adjusted Purchase Price or Number of Shares dated April 12, 2005 filed by Registrant with Wells Fargo</w:t>
            </w:r>
          </w:p>
        </w:tc>
      </w:tr>
      <w:tr>
        <w:trPr>
          <w:trHeight w:val="230"/>
        </w:trPr>
        <w:tc>
          <w:tcPr>
            <w:tcW w:w="1340" w:type="dxa"/>
            <w:vAlign w:val="bottom"/>
          </w:tcPr>
          <w:p>
            <w:pPr>
              <w:spacing w:after="0"/>
              <w:rPr>
                <w:sz w:val="19"/>
                <w:szCs w:val="19"/>
                <w:color w:val="auto"/>
              </w:rPr>
            </w:pPr>
          </w:p>
        </w:tc>
        <w:tc>
          <w:tcPr>
            <w:tcW w:w="10100" w:type="dxa"/>
            <w:vAlign w:val="bottom"/>
          </w:tcPr>
          <w:p>
            <w:pPr>
              <w:ind w:left="540"/>
              <w:spacing w:after="0"/>
              <w:rPr>
                <w:sz w:val="20"/>
                <w:szCs w:val="20"/>
                <w:color w:val="auto"/>
              </w:rPr>
            </w:pPr>
            <w:r>
              <w:rPr>
                <w:rFonts w:ascii="Arial" w:cs="Arial" w:eastAsia="Arial" w:hAnsi="Arial"/>
                <w:sz w:val="20"/>
                <w:szCs w:val="20"/>
                <w:color w:val="auto"/>
                <w:w w:val="92"/>
              </w:rPr>
              <w:t>Bank Minnesota, N.A., as Rights Agent, in connection with Rights Agreement dated as of May 20, 1998 (incorporated</w:t>
            </w:r>
          </w:p>
        </w:tc>
      </w:tr>
      <w:tr>
        <w:trPr>
          <w:trHeight w:val="230"/>
        </w:trPr>
        <w:tc>
          <w:tcPr>
            <w:tcW w:w="1340" w:type="dxa"/>
            <w:vAlign w:val="bottom"/>
          </w:tcPr>
          <w:p>
            <w:pPr>
              <w:spacing w:after="0"/>
              <w:rPr>
                <w:sz w:val="19"/>
                <w:szCs w:val="19"/>
                <w:color w:val="auto"/>
              </w:rPr>
            </w:pPr>
          </w:p>
        </w:tc>
        <w:tc>
          <w:tcPr>
            <w:tcW w:w="10100" w:type="dxa"/>
            <w:vAlign w:val="bottom"/>
          </w:tcPr>
          <w:p>
            <w:pPr>
              <w:ind w:left="540"/>
              <w:spacing w:after="0"/>
              <w:rPr>
                <w:sz w:val="20"/>
                <w:szCs w:val="20"/>
                <w:color w:val="auto"/>
              </w:rPr>
            </w:pPr>
            <w:r>
              <w:rPr>
                <w:rFonts w:ascii="Arial" w:cs="Arial" w:eastAsia="Arial" w:hAnsi="Arial"/>
                <w:sz w:val="20"/>
                <w:szCs w:val="20"/>
                <w:color w:val="auto"/>
                <w:w w:val="92"/>
              </w:rPr>
              <w:t>by reference to Exhibit 2 to Registrant’s Amendment No. 2 to Registration Statement on Form 8-A/A dated March 21,</w:t>
            </w:r>
          </w:p>
        </w:tc>
      </w:tr>
      <w:tr>
        <w:trPr>
          <w:trHeight w:val="250"/>
        </w:trPr>
        <w:tc>
          <w:tcPr>
            <w:tcW w:w="1340" w:type="dxa"/>
            <w:vAlign w:val="bottom"/>
          </w:tcPr>
          <w:p>
            <w:pPr>
              <w:spacing w:after="0"/>
              <w:rPr>
                <w:sz w:val="21"/>
                <w:szCs w:val="21"/>
                <w:color w:val="auto"/>
              </w:rPr>
            </w:pPr>
          </w:p>
        </w:tc>
        <w:tc>
          <w:tcPr>
            <w:tcW w:w="10100" w:type="dxa"/>
            <w:vAlign w:val="bottom"/>
          </w:tcPr>
          <w:p>
            <w:pPr>
              <w:ind w:left="540"/>
              <w:spacing w:after="0"/>
              <w:rPr>
                <w:sz w:val="20"/>
                <w:szCs w:val="20"/>
                <w:color w:val="auto"/>
              </w:rPr>
            </w:pPr>
            <w:r>
              <w:rPr>
                <w:rFonts w:ascii="Arial" w:cs="Arial" w:eastAsia="Arial" w:hAnsi="Arial"/>
                <w:sz w:val="20"/>
                <w:szCs w:val="20"/>
                <w:color w:val="auto"/>
              </w:rPr>
              <w:t>2005, Commission File No. 1-8649).</w:t>
            </w:r>
          </w:p>
        </w:tc>
      </w:tr>
      <w:tr>
        <w:trPr>
          <w:trHeight w:val="438"/>
        </w:trPr>
        <w:tc>
          <w:tcPr>
            <w:tcW w:w="1340" w:type="dxa"/>
            <w:vAlign w:val="bottom"/>
          </w:tcPr>
          <w:p>
            <w:pPr>
              <w:ind w:left="360"/>
              <w:spacing w:after="0"/>
              <w:rPr>
                <w:sz w:val="20"/>
                <w:szCs w:val="20"/>
                <w:color w:val="auto"/>
              </w:rPr>
            </w:pPr>
            <w:r>
              <w:rPr>
                <w:rFonts w:ascii="Arial" w:cs="Arial" w:eastAsia="Arial" w:hAnsi="Arial"/>
                <w:sz w:val="20"/>
                <w:szCs w:val="20"/>
                <w:color w:val="auto"/>
              </w:rPr>
              <w:t>4(g)</w:t>
            </w:r>
          </w:p>
        </w:tc>
        <w:tc>
          <w:tcPr>
            <w:tcW w:w="10100" w:type="dxa"/>
            <w:vAlign w:val="bottom"/>
          </w:tcPr>
          <w:p>
            <w:pPr>
              <w:ind w:left="540"/>
              <w:spacing w:after="0"/>
              <w:rPr>
                <w:sz w:val="20"/>
                <w:szCs w:val="20"/>
                <w:color w:val="auto"/>
              </w:rPr>
            </w:pPr>
            <w:r>
              <w:rPr>
                <w:rFonts w:ascii="Arial" w:cs="Arial" w:eastAsia="Arial" w:hAnsi="Arial"/>
                <w:sz w:val="20"/>
                <w:szCs w:val="20"/>
                <w:color w:val="auto"/>
                <w:w w:val="90"/>
              </w:rPr>
              <w:t>Indenture dated as of January 31, 1997, between Registrant and First National Trust Association, as Trustee, relating to</w:t>
            </w:r>
          </w:p>
        </w:tc>
      </w:tr>
      <w:tr>
        <w:trPr>
          <w:trHeight w:val="230"/>
        </w:trPr>
        <w:tc>
          <w:tcPr>
            <w:tcW w:w="1340" w:type="dxa"/>
            <w:vAlign w:val="bottom"/>
          </w:tcPr>
          <w:p>
            <w:pPr>
              <w:spacing w:after="0"/>
              <w:rPr>
                <w:sz w:val="19"/>
                <w:szCs w:val="19"/>
                <w:color w:val="auto"/>
              </w:rPr>
            </w:pPr>
          </w:p>
        </w:tc>
        <w:tc>
          <w:tcPr>
            <w:tcW w:w="10100" w:type="dxa"/>
            <w:vAlign w:val="bottom"/>
          </w:tcPr>
          <w:p>
            <w:pPr>
              <w:ind w:left="540"/>
              <w:spacing w:after="0"/>
              <w:rPr>
                <w:sz w:val="20"/>
                <w:szCs w:val="20"/>
                <w:color w:val="auto"/>
              </w:rPr>
            </w:pPr>
            <w:r>
              <w:rPr>
                <w:rFonts w:ascii="Arial" w:cs="Arial" w:eastAsia="Arial" w:hAnsi="Arial"/>
                <w:sz w:val="20"/>
                <w:szCs w:val="20"/>
                <w:color w:val="auto"/>
                <w:w w:val="95"/>
              </w:rPr>
              <w:t>the Registrant’s 7.125% Notes due June 15, 2007 and its 7.80% Debentures due June 15, 2027 (incorporated by</w:t>
            </w:r>
          </w:p>
        </w:tc>
      </w:tr>
      <w:tr>
        <w:trPr>
          <w:trHeight w:val="250"/>
        </w:trPr>
        <w:tc>
          <w:tcPr>
            <w:tcW w:w="1340" w:type="dxa"/>
            <w:vAlign w:val="bottom"/>
          </w:tcPr>
          <w:p>
            <w:pPr>
              <w:spacing w:after="0"/>
              <w:rPr>
                <w:sz w:val="21"/>
                <w:szCs w:val="21"/>
                <w:color w:val="auto"/>
              </w:rPr>
            </w:pPr>
          </w:p>
        </w:tc>
        <w:tc>
          <w:tcPr>
            <w:tcW w:w="10100" w:type="dxa"/>
            <w:vAlign w:val="bottom"/>
          </w:tcPr>
          <w:p>
            <w:pPr>
              <w:ind w:left="540"/>
              <w:spacing w:after="0"/>
              <w:rPr>
                <w:sz w:val="20"/>
                <w:szCs w:val="20"/>
                <w:color w:val="auto"/>
              </w:rPr>
            </w:pPr>
            <w:r>
              <w:rPr>
                <w:rFonts w:ascii="Arial" w:cs="Arial" w:eastAsia="Arial" w:hAnsi="Arial"/>
                <w:sz w:val="20"/>
                <w:szCs w:val="20"/>
                <w:color w:val="auto"/>
                <w:w w:val="91"/>
              </w:rPr>
              <w:t>reference to Exhibit 4(a) to Registrant’s Current Report on Form 8-K for June 24, 1997, Commission File No. 1-8649).</w:t>
            </w:r>
          </w:p>
        </w:tc>
      </w:tr>
      <w:tr>
        <w:trPr>
          <w:trHeight w:val="459"/>
        </w:trPr>
        <w:tc>
          <w:tcPr>
            <w:tcW w:w="1340" w:type="dxa"/>
            <w:vAlign w:val="bottom"/>
          </w:tcPr>
          <w:p>
            <w:pPr>
              <w:ind w:left="360"/>
              <w:spacing w:after="0"/>
              <w:rPr>
                <w:sz w:val="20"/>
                <w:szCs w:val="20"/>
                <w:color w:val="auto"/>
              </w:rPr>
            </w:pPr>
            <w:r>
              <w:rPr>
                <w:rFonts w:ascii="Arial" w:cs="Arial" w:eastAsia="Arial" w:hAnsi="Arial"/>
                <w:sz w:val="20"/>
                <w:szCs w:val="20"/>
                <w:color w:val="auto"/>
              </w:rPr>
              <w:t>31(a)</w:t>
            </w:r>
          </w:p>
        </w:tc>
        <w:tc>
          <w:tcPr>
            <w:tcW w:w="10100" w:type="dxa"/>
            <w:vAlign w:val="bottom"/>
          </w:tcPr>
          <w:p>
            <w:pPr>
              <w:ind w:left="540"/>
              <w:spacing w:after="0"/>
              <w:rPr>
                <w:sz w:val="20"/>
                <w:szCs w:val="20"/>
                <w:color w:val="auto"/>
              </w:rPr>
            </w:pPr>
            <w:r>
              <w:rPr>
                <w:rFonts w:ascii="Arial" w:cs="Arial" w:eastAsia="Arial" w:hAnsi="Arial"/>
                <w:sz w:val="20"/>
                <w:szCs w:val="20"/>
                <w:color w:val="auto"/>
                <w:w w:val="93"/>
              </w:rPr>
              <w:t>Certification of Chief Executive Officer Pursuant to Rule 13a-14(a) (Section 302 of the Sarbanes-Oxley Act of 2002).</w:t>
            </w:r>
          </w:p>
        </w:tc>
      </w:tr>
      <w:tr>
        <w:trPr>
          <w:trHeight w:val="459"/>
        </w:trPr>
        <w:tc>
          <w:tcPr>
            <w:tcW w:w="1340" w:type="dxa"/>
            <w:vAlign w:val="bottom"/>
          </w:tcPr>
          <w:p>
            <w:pPr>
              <w:ind w:left="360"/>
              <w:spacing w:after="0"/>
              <w:rPr>
                <w:sz w:val="20"/>
                <w:szCs w:val="20"/>
                <w:color w:val="auto"/>
              </w:rPr>
            </w:pPr>
            <w:r>
              <w:rPr>
                <w:rFonts w:ascii="Arial" w:cs="Arial" w:eastAsia="Arial" w:hAnsi="Arial"/>
                <w:sz w:val="20"/>
                <w:szCs w:val="20"/>
                <w:color w:val="auto"/>
              </w:rPr>
              <w:t>31(b)</w:t>
            </w:r>
          </w:p>
        </w:tc>
        <w:tc>
          <w:tcPr>
            <w:tcW w:w="10100" w:type="dxa"/>
            <w:vAlign w:val="bottom"/>
          </w:tcPr>
          <w:p>
            <w:pPr>
              <w:ind w:left="540"/>
              <w:spacing w:after="0"/>
              <w:rPr>
                <w:sz w:val="20"/>
                <w:szCs w:val="20"/>
                <w:color w:val="auto"/>
              </w:rPr>
            </w:pPr>
            <w:r>
              <w:rPr>
                <w:rFonts w:ascii="Arial" w:cs="Arial" w:eastAsia="Arial" w:hAnsi="Arial"/>
                <w:sz w:val="20"/>
                <w:szCs w:val="20"/>
                <w:color w:val="auto"/>
                <w:w w:val="93"/>
              </w:rPr>
              <w:t>Certification of Chief Financial Officer Pursuant to Rule 13a-14(a) (Section 302 of the Sarbanes-Oxley Act of 2002).</w:t>
            </w:r>
          </w:p>
        </w:tc>
      </w:tr>
      <w:tr>
        <w:trPr>
          <w:trHeight w:val="438"/>
        </w:trPr>
        <w:tc>
          <w:tcPr>
            <w:tcW w:w="1340" w:type="dxa"/>
            <w:vAlign w:val="bottom"/>
          </w:tcPr>
          <w:p>
            <w:pPr>
              <w:ind w:left="360"/>
              <w:spacing w:after="0"/>
              <w:rPr>
                <w:sz w:val="20"/>
                <w:szCs w:val="20"/>
                <w:color w:val="auto"/>
              </w:rPr>
            </w:pPr>
            <w:r>
              <w:rPr>
                <w:rFonts w:ascii="Arial" w:cs="Arial" w:eastAsia="Arial" w:hAnsi="Arial"/>
                <w:sz w:val="20"/>
                <w:szCs w:val="20"/>
                <w:color w:val="auto"/>
              </w:rPr>
              <w:t>32</w:t>
            </w:r>
          </w:p>
        </w:tc>
        <w:tc>
          <w:tcPr>
            <w:tcW w:w="10100" w:type="dxa"/>
            <w:vAlign w:val="bottom"/>
          </w:tcPr>
          <w:p>
            <w:pPr>
              <w:ind w:left="540"/>
              <w:spacing w:after="0"/>
              <w:rPr>
                <w:sz w:val="20"/>
                <w:szCs w:val="20"/>
                <w:color w:val="auto"/>
              </w:rPr>
            </w:pPr>
            <w:r>
              <w:rPr>
                <w:rFonts w:ascii="Arial" w:cs="Arial" w:eastAsia="Arial" w:hAnsi="Arial"/>
                <w:sz w:val="20"/>
                <w:szCs w:val="20"/>
                <w:color w:val="auto"/>
                <w:w w:val="94"/>
              </w:rPr>
              <w:t>Certification of Chief Executive Officer and Chief Financial Officer Pursuant to 18 U.S.C. Section 1350, as Adopted</w:t>
            </w:r>
          </w:p>
        </w:tc>
      </w:tr>
      <w:tr>
        <w:trPr>
          <w:trHeight w:val="250"/>
        </w:trPr>
        <w:tc>
          <w:tcPr>
            <w:tcW w:w="1340" w:type="dxa"/>
            <w:vAlign w:val="bottom"/>
          </w:tcPr>
          <w:p>
            <w:pPr>
              <w:spacing w:after="0"/>
              <w:rPr>
                <w:sz w:val="21"/>
                <w:szCs w:val="21"/>
                <w:color w:val="auto"/>
              </w:rPr>
            </w:pPr>
          </w:p>
        </w:tc>
        <w:tc>
          <w:tcPr>
            <w:tcW w:w="10100" w:type="dxa"/>
            <w:vAlign w:val="bottom"/>
          </w:tcPr>
          <w:p>
            <w:pPr>
              <w:ind w:left="540"/>
              <w:spacing w:after="0"/>
              <w:rPr>
                <w:sz w:val="20"/>
                <w:szCs w:val="20"/>
                <w:color w:val="auto"/>
              </w:rPr>
            </w:pPr>
            <w:r>
              <w:rPr>
                <w:rFonts w:ascii="Arial" w:cs="Arial" w:eastAsia="Arial" w:hAnsi="Arial"/>
                <w:sz w:val="20"/>
                <w:szCs w:val="20"/>
                <w:color w:val="auto"/>
              </w:rPr>
              <w:t>Pursuant to Section 906 of the Sarbanes-Oxley Act of 2002.</w:t>
            </w:r>
          </w:p>
        </w:tc>
      </w:tr>
      <w:tr>
        <w:trPr>
          <w:trHeight w:val="479"/>
        </w:trPr>
        <w:tc>
          <w:tcPr>
            <w:tcW w:w="1340" w:type="dxa"/>
            <w:vAlign w:val="bottom"/>
          </w:tcPr>
          <w:p>
            <w:pPr>
              <w:spacing w:after="0"/>
              <w:rPr>
                <w:sz w:val="24"/>
                <w:szCs w:val="24"/>
                <w:color w:val="auto"/>
              </w:rPr>
            </w:pPr>
          </w:p>
        </w:tc>
        <w:tc>
          <w:tcPr>
            <w:tcW w:w="10100" w:type="dxa"/>
            <w:vAlign w:val="bottom"/>
          </w:tcPr>
          <w:p>
            <w:pPr>
              <w:ind w:left="4260"/>
              <w:spacing w:after="0"/>
              <w:rPr>
                <w:sz w:val="20"/>
                <w:szCs w:val="20"/>
                <w:color w:val="auto"/>
              </w:rPr>
            </w:pPr>
            <w:r>
              <w:rPr>
                <w:rFonts w:ascii="Arial" w:cs="Arial" w:eastAsia="Arial" w:hAnsi="Arial"/>
                <w:sz w:val="22"/>
                <w:szCs w:val="22"/>
                <w:color w:val="auto"/>
              </w:rPr>
              <w:t>26</w:t>
            </w:r>
          </w:p>
        </w:tc>
      </w:tr>
      <w:tr>
        <w:trPr>
          <w:trHeight w:val="95"/>
        </w:trPr>
        <w:tc>
          <w:tcPr>
            <w:tcW w:w="1340" w:type="dxa"/>
            <w:vAlign w:val="bottom"/>
            <w:tcBorders>
              <w:bottom w:val="single" w:sz="8" w:color="808080"/>
            </w:tcBorders>
          </w:tcPr>
          <w:p>
            <w:pPr>
              <w:spacing w:after="0"/>
              <w:rPr>
                <w:sz w:val="8"/>
                <w:szCs w:val="8"/>
                <w:color w:val="auto"/>
              </w:rPr>
            </w:pPr>
          </w:p>
        </w:tc>
        <w:tc>
          <w:tcPr>
            <w:tcW w:w="10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SIGNATURES</w:t>
      </w:r>
    </w:p>
    <w:p>
      <w:pPr>
        <w:spacing w:after="0" w:line="229" w:lineRule="exact"/>
        <w:rPr>
          <w:sz w:val="20"/>
          <w:szCs w:val="20"/>
          <w:color w:val="auto"/>
        </w:rPr>
      </w:pPr>
    </w:p>
    <w:p>
      <w:pPr>
        <w:jc w:val="both"/>
        <w:ind w:left="200" w:right="16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820" w:type="dxa"/>
            <w:vAlign w:val="bottom"/>
          </w:tcPr>
          <w:p>
            <w:pPr>
              <w:jc w:val="center"/>
              <w:ind w:left="721"/>
              <w:spacing w:after="0"/>
              <w:rPr>
                <w:sz w:val="20"/>
                <w:szCs w:val="20"/>
                <w:color w:val="auto"/>
              </w:rPr>
            </w:pPr>
            <w:r>
              <w:rPr>
                <w:rFonts w:ascii="Arial" w:cs="Arial" w:eastAsia="Arial" w:hAnsi="Arial"/>
                <w:sz w:val="20"/>
                <w:szCs w:val="20"/>
                <w:color w:val="auto"/>
                <w:w w:val="95"/>
              </w:rPr>
              <w:t>THE TORO COMPANY</w:t>
            </w:r>
          </w:p>
        </w:tc>
      </w:tr>
      <w:tr>
        <w:trPr>
          <w:trHeight w:val="250"/>
        </w:trPr>
        <w:tc>
          <w:tcPr>
            <w:tcW w:w="38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820" w:type="dxa"/>
            <w:vAlign w:val="bottom"/>
          </w:tcPr>
          <w:p>
            <w:pPr>
              <w:jc w:val="center"/>
              <w:ind w:left="701"/>
              <w:spacing w:after="0"/>
              <w:rPr>
                <w:sz w:val="20"/>
                <w:szCs w:val="20"/>
                <w:color w:val="auto"/>
              </w:rPr>
            </w:pPr>
            <w:r>
              <w:rPr>
                <w:rFonts w:ascii="Arial" w:cs="Arial" w:eastAsia="Arial" w:hAnsi="Arial"/>
                <w:sz w:val="20"/>
                <w:szCs w:val="20"/>
                <w:color w:val="auto"/>
                <w:w w:val="89"/>
              </w:rPr>
              <w:t>(Registrant)</w:t>
            </w:r>
          </w:p>
        </w:tc>
      </w:tr>
      <w:tr>
        <w:trPr>
          <w:trHeight w:val="415"/>
        </w:trPr>
        <w:tc>
          <w:tcPr>
            <w:tcW w:w="3840" w:type="dxa"/>
            <w:vAlign w:val="bottom"/>
          </w:tcPr>
          <w:p>
            <w:pPr>
              <w:spacing w:after="0"/>
              <w:rPr>
                <w:sz w:val="20"/>
                <w:szCs w:val="20"/>
                <w:color w:val="auto"/>
              </w:rPr>
            </w:pPr>
            <w:r>
              <w:rPr>
                <w:rFonts w:ascii="Arial" w:cs="Arial" w:eastAsia="Arial" w:hAnsi="Arial"/>
                <w:sz w:val="20"/>
                <w:szCs w:val="20"/>
                <w:color w:val="auto"/>
              </w:rPr>
              <w:t>Date: September 2, 2005</w:t>
            </w:r>
          </w:p>
        </w:tc>
        <w:tc>
          <w:tcPr>
            <w:tcW w:w="6660" w:type="dxa"/>
            <w:vAlign w:val="bottom"/>
            <w:gridSpan w:val="3"/>
          </w:tcPr>
          <w:p>
            <w:pPr>
              <w:ind w:left="1880"/>
              <w:spacing w:after="0"/>
              <w:rPr>
                <w:sz w:val="20"/>
                <w:szCs w:val="20"/>
                <w:color w:val="auto"/>
              </w:rPr>
            </w:pPr>
            <w:r>
              <w:rPr>
                <w:rFonts w:ascii="Arial" w:cs="Arial" w:eastAsia="Arial" w:hAnsi="Arial"/>
                <w:sz w:val="20"/>
                <w:szCs w:val="20"/>
                <w:color w:val="auto"/>
              </w:rPr>
              <w:t>By  /s/ Stephen P. Wolfe</w:t>
            </w:r>
          </w:p>
        </w:tc>
      </w:tr>
      <w:tr>
        <w:trPr>
          <w:trHeight w:val="20"/>
        </w:trPr>
        <w:tc>
          <w:tcPr>
            <w:tcW w:w="38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33"/>
        </w:trPr>
        <w:tc>
          <w:tcPr>
            <w:tcW w:w="3840" w:type="dxa"/>
            <w:vAlign w:val="bottom"/>
          </w:tcPr>
          <w:p>
            <w:pPr>
              <w:spacing w:after="0"/>
              <w:rPr>
                <w:sz w:val="20"/>
                <w:szCs w:val="20"/>
                <w:color w:val="auto"/>
              </w:rPr>
            </w:pPr>
          </w:p>
        </w:tc>
        <w:tc>
          <w:tcPr>
            <w:tcW w:w="6660" w:type="dxa"/>
            <w:vAlign w:val="bottom"/>
            <w:gridSpan w:val="3"/>
          </w:tcPr>
          <w:p>
            <w:pPr>
              <w:ind w:left="1880"/>
              <w:spacing w:after="0"/>
              <w:rPr>
                <w:sz w:val="20"/>
                <w:szCs w:val="20"/>
                <w:color w:val="auto"/>
              </w:rPr>
            </w:pPr>
            <w:r>
              <w:rPr>
                <w:rFonts w:ascii="Arial" w:cs="Arial" w:eastAsia="Arial" w:hAnsi="Arial"/>
                <w:sz w:val="20"/>
                <w:szCs w:val="20"/>
                <w:color w:val="auto"/>
              </w:rPr>
              <w:t>Stephen P. Wolfe</w:t>
            </w:r>
          </w:p>
        </w:tc>
      </w:tr>
      <w:tr>
        <w:trPr>
          <w:trHeight w:val="230"/>
        </w:trPr>
        <w:tc>
          <w:tcPr>
            <w:tcW w:w="3840" w:type="dxa"/>
            <w:vAlign w:val="bottom"/>
          </w:tcPr>
          <w:p>
            <w:pPr>
              <w:spacing w:after="0"/>
              <w:rPr>
                <w:sz w:val="19"/>
                <w:szCs w:val="19"/>
                <w:color w:val="auto"/>
              </w:rPr>
            </w:pPr>
          </w:p>
        </w:tc>
        <w:tc>
          <w:tcPr>
            <w:tcW w:w="6660" w:type="dxa"/>
            <w:vAlign w:val="bottom"/>
            <w:gridSpan w:val="3"/>
          </w:tcPr>
          <w:p>
            <w:pPr>
              <w:ind w:left="1880"/>
              <w:spacing w:after="0"/>
              <w:rPr>
                <w:sz w:val="20"/>
                <w:szCs w:val="20"/>
                <w:color w:val="auto"/>
              </w:rPr>
            </w:pPr>
            <w:r>
              <w:rPr>
                <w:rFonts w:ascii="Arial" w:cs="Arial" w:eastAsia="Arial" w:hAnsi="Arial"/>
                <w:sz w:val="20"/>
                <w:szCs w:val="20"/>
                <w:color w:val="auto"/>
              </w:rPr>
              <w:t>Vice President Finance,</w:t>
            </w:r>
          </w:p>
        </w:tc>
      </w:tr>
      <w:tr>
        <w:trPr>
          <w:trHeight w:val="230"/>
        </w:trPr>
        <w:tc>
          <w:tcPr>
            <w:tcW w:w="3840" w:type="dxa"/>
            <w:vAlign w:val="bottom"/>
          </w:tcPr>
          <w:p>
            <w:pPr>
              <w:spacing w:after="0"/>
              <w:rPr>
                <w:sz w:val="19"/>
                <w:szCs w:val="19"/>
                <w:color w:val="auto"/>
              </w:rPr>
            </w:pPr>
          </w:p>
        </w:tc>
        <w:tc>
          <w:tcPr>
            <w:tcW w:w="6660" w:type="dxa"/>
            <w:vAlign w:val="bottom"/>
            <w:gridSpan w:val="3"/>
          </w:tcPr>
          <w:p>
            <w:pPr>
              <w:ind w:left="1880"/>
              <w:spacing w:after="0"/>
              <w:rPr>
                <w:sz w:val="20"/>
                <w:szCs w:val="20"/>
                <w:color w:val="auto"/>
              </w:rPr>
            </w:pPr>
            <w:r>
              <w:rPr>
                <w:rFonts w:ascii="Arial" w:cs="Arial" w:eastAsia="Arial" w:hAnsi="Arial"/>
                <w:sz w:val="20"/>
                <w:szCs w:val="20"/>
                <w:color w:val="auto"/>
              </w:rPr>
              <w:t>Treasurer and Chief Financial Officer</w:t>
            </w:r>
          </w:p>
        </w:tc>
      </w:tr>
      <w:tr>
        <w:trPr>
          <w:trHeight w:val="250"/>
        </w:trPr>
        <w:tc>
          <w:tcPr>
            <w:tcW w:w="3840" w:type="dxa"/>
            <w:vAlign w:val="bottom"/>
          </w:tcPr>
          <w:p>
            <w:pPr>
              <w:spacing w:after="0"/>
              <w:rPr>
                <w:sz w:val="21"/>
                <w:szCs w:val="21"/>
                <w:color w:val="auto"/>
              </w:rPr>
            </w:pPr>
          </w:p>
        </w:tc>
        <w:tc>
          <w:tcPr>
            <w:tcW w:w="6660" w:type="dxa"/>
            <w:vAlign w:val="bottom"/>
            <w:gridSpan w:val="3"/>
          </w:tcPr>
          <w:p>
            <w:pPr>
              <w:ind w:left="1880"/>
              <w:spacing w:after="0"/>
              <w:rPr>
                <w:sz w:val="20"/>
                <w:szCs w:val="20"/>
                <w:color w:val="auto"/>
              </w:rPr>
            </w:pPr>
            <w:r>
              <w:rPr>
                <w:rFonts w:ascii="Arial" w:cs="Arial" w:eastAsia="Arial" w:hAnsi="Arial"/>
                <w:sz w:val="20"/>
                <w:szCs w:val="20"/>
                <w:color w:val="auto"/>
              </w:rPr>
              <w:t>(duly authorized officer and principal financial officer)</w:t>
            </w:r>
          </w:p>
        </w:tc>
      </w:tr>
    </w:tbl>
    <w:p>
      <w:pPr>
        <w:spacing w:after="0" w:line="200" w:lineRule="exact"/>
        <w:rPr>
          <w:sz w:val="20"/>
          <w:szCs w:val="20"/>
          <w:color w:val="auto"/>
        </w:rPr>
      </w:pPr>
    </w:p>
    <w:p>
      <w:pPr>
        <w:sectPr>
          <w:pgSz w:w="11900" w:h="16838" w:orient="portrait"/>
          <w:cols w:equalWidth="0" w:num="1">
            <w:col w:w="11440"/>
          </w:cols>
          <w:pgMar w:left="240" w:top="122" w:right="219" w:bottom="14" w:gutter="0" w:footer="0" w:header="0"/>
        </w:sectPr>
      </w:pP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22" w:right="219" w:bottom="14" w:gutter="0" w:footer="0" w:header="0"/>
          <w:type w:val="continuous"/>
        </w:sectPr>
      </w:pPr>
    </w:p>
    <w:bookmarkStart w:id="19" w:name="page20"/>
    <w:bookmarkEnd w:id="19"/>
    <w:p>
      <w:pPr>
        <w:jc w:val="right"/>
        <w:spacing w:after="0"/>
        <w:rPr>
          <w:sz w:val="20"/>
          <w:szCs w:val="20"/>
          <w:color w:val="auto"/>
        </w:rPr>
      </w:pPr>
      <w:r>
        <w:rPr>
          <w:rFonts w:ascii="Arial" w:cs="Arial" w:eastAsia="Arial" w:hAnsi="Arial"/>
          <w:sz w:val="20"/>
          <w:szCs w:val="20"/>
          <w:b w:val="1"/>
          <w:bCs w:val="1"/>
          <w:color w:val="auto"/>
        </w:rPr>
        <w:t>Exhibit 31(a)</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302 of the Sarbanes-Oxley Act of 2002</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I, Michael J. Hoffman, certify that:</w:t>
      </w:r>
    </w:p>
    <w:p>
      <w:pPr>
        <w:spacing w:after="0" w:line="229" w:lineRule="exact"/>
        <w:rPr>
          <w:sz w:val="20"/>
          <w:szCs w:val="20"/>
          <w:color w:val="auto"/>
        </w:rPr>
      </w:pPr>
    </w:p>
    <w:p>
      <w:pPr>
        <w:ind w:left="200" w:hanging="192"/>
        <w:spacing w:after="0"/>
        <w:tabs>
          <w:tab w:leader="none" w:pos="200" w:val="left"/>
        </w:tabs>
        <w:numPr>
          <w:ilvl w:val="0"/>
          <w:numId w:val="8"/>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The Toro Company;</w:t>
      </w:r>
    </w:p>
    <w:p>
      <w:pPr>
        <w:spacing w:after="0" w:line="229" w:lineRule="exact"/>
        <w:rPr>
          <w:rFonts w:ascii="Arial" w:cs="Arial" w:eastAsia="Arial" w:hAnsi="Arial"/>
          <w:sz w:val="20"/>
          <w:szCs w:val="20"/>
          <w:color w:val="auto"/>
        </w:rPr>
      </w:pPr>
    </w:p>
    <w:p>
      <w:pPr>
        <w:jc w:val="both"/>
        <w:ind w:right="420" w:firstLine="8"/>
        <w:spacing w:after="0" w:line="250" w:lineRule="auto"/>
        <w:tabs>
          <w:tab w:leader="none" w:pos="198" w:val="left"/>
        </w:tabs>
        <w:numPr>
          <w:ilvl w:val="0"/>
          <w:numId w:val="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right="640" w:firstLine="8"/>
        <w:spacing w:after="0" w:line="316" w:lineRule="auto"/>
        <w:tabs>
          <w:tab w:leader="none" w:pos="198"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right="540" w:firstLine="8"/>
        <w:spacing w:after="0" w:line="247" w:lineRule="auto"/>
        <w:tabs>
          <w:tab w:leader="none" w:pos="198"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for the registrant and have:</w:t>
      </w:r>
    </w:p>
    <w:p>
      <w:pPr>
        <w:spacing w:after="0" w:line="1" w:lineRule="exact"/>
        <w:rPr>
          <w:rFonts w:ascii="Arial" w:cs="Arial" w:eastAsia="Arial" w:hAnsi="Arial"/>
          <w:sz w:val="20"/>
          <w:szCs w:val="20"/>
          <w:color w:val="auto"/>
        </w:rPr>
      </w:pPr>
    </w:p>
    <w:p>
      <w:pPr>
        <w:ind w:left="660" w:right="220" w:hanging="328"/>
        <w:spacing w:after="0" w:line="252" w:lineRule="auto"/>
        <w:tabs>
          <w:tab w:leader="none" w:pos="638" w:val="left"/>
        </w:tabs>
        <w:numPr>
          <w:ilvl w:val="1"/>
          <w:numId w:val="8"/>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660" w:right="60" w:hanging="328"/>
        <w:spacing w:after="0" w:line="299" w:lineRule="auto"/>
        <w:tabs>
          <w:tab w:leader="none" w:pos="649"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80" w:hanging="328"/>
        <w:spacing w:after="0" w:line="241" w:lineRule="auto"/>
        <w:tabs>
          <w:tab w:leader="none" w:pos="638" w:val="left"/>
        </w:tabs>
        <w:numPr>
          <w:ilvl w:val="1"/>
          <w:numId w:val="8"/>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9" w:lineRule="exact"/>
        <w:rPr>
          <w:rFonts w:ascii="Arial" w:cs="Arial" w:eastAsia="Arial" w:hAnsi="Arial"/>
          <w:sz w:val="20"/>
          <w:szCs w:val="20"/>
          <w:color w:val="auto"/>
        </w:rPr>
      </w:pPr>
    </w:p>
    <w:p>
      <w:pPr>
        <w:jc w:val="both"/>
        <w:ind w:right="640" w:firstLine="8"/>
        <w:spacing w:after="0" w:line="245" w:lineRule="auto"/>
        <w:tabs>
          <w:tab w:leader="none" w:pos="198"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60" w:right="360" w:hanging="328"/>
        <w:spacing w:after="0" w:line="266" w:lineRule="auto"/>
        <w:tabs>
          <w:tab w:leader="none" w:pos="638"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hanging="328"/>
        <w:spacing w:after="0" w:line="244" w:lineRule="auto"/>
        <w:tabs>
          <w:tab w:leader="none" w:pos="649" w:val="left"/>
        </w:tabs>
        <w:numPr>
          <w:ilvl w:val="1"/>
          <w:numId w:val="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Date: September 2, 2005</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Michael J. Hoffman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Michael J. Hoffman</w:t>
      </w:r>
    </w:p>
    <w:p>
      <w:pPr>
        <w:spacing w:after="0"/>
        <w:rPr>
          <w:sz w:val="20"/>
          <w:szCs w:val="20"/>
          <w:color w:val="auto"/>
        </w:rPr>
      </w:pPr>
      <w:r>
        <w:rPr>
          <w:rFonts w:ascii="Arial" w:cs="Arial" w:eastAsia="Arial" w:hAnsi="Arial"/>
          <w:sz w:val="20"/>
          <w:szCs w:val="20"/>
          <w:color w:val="auto"/>
        </w:rPr>
        <w:t>President and Chief Executive Officer</w:t>
      </w:r>
    </w:p>
    <w:p>
      <w:pPr>
        <w:spacing w:after="0"/>
        <w:rPr>
          <w:sz w:val="20"/>
          <w:szCs w:val="20"/>
          <w:color w:val="auto"/>
        </w:rPr>
      </w:pPr>
      <w:r>
        <w:rPr>
          <w:rFonts w:ascii="Arial" w:cs="Arial" w:eastAsia="Arial" w:hAnsi="Arial"/>
          <w:sz w:val="20"/>
          <w:szCs w:val="20"/>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20"/>
          <w:szCs w:val="20"/>
          <w:b w:val="1"/>
          <w:bCs w:val="1"/>
          <w:color w:val="auto"/>
        </w:rPr>
        <w:t>Exhibit 31(b)</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302 of the Sarbanes-Oxley Act of 2002</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I, Stephen P. Wolfe, certify that:</w:t>
      </w:r>
    </w:p>
    <w:p>
      <w:pPr>
        <w:spacing w:after="0" w:line="229" w:lineRule="exact"/>
        <w:rPr>
          <w:sz w:val="20"/>
          <w:szCs w:val="20"/>
          <w:color w:val="auto"/>
        </w:rPr>
      </w:pPr>
    </w:p>
    <w:p>
      <w:pPr>
        <w:ind w:left="200" w:hanging="192"/>
        <w:spacing w:after="0"/>
        <w:tabs>
          <w:tab w:leader="none" w:pos="200" w:val="left"/>
        </w:tabs>
        <w:numPr>
          <w:ilvl w:val="0"/>
          <w:numId w:val="9"/>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The Toro Company;</w:t>
      </w:r>
    </w:p>
    <w:p>
      <w:pPr>
        <w:spacing w:after="0" w:line="229" w:lineRule="exact"/>
        <w:rPr>
          <w:rFonts w:ascii="Arial" w:cs="Arial" w:eastAsia="Arial" w:hAnsi="Arial"/>
          <w:sz w:val="20"/>
          <w:szCs w:val="20"/>
          <w:color w:val="auto"/>
        </w:rPr>
      </w:pPr>
    </w:p>
    <w:p>
      <w:pPr>
        <w:jc w:val="both"/>
        <w:ind w:right="420" w:firstLine="8"/>
        <w:spacing w:after="0" w:line="250" w:lineRule="auto"/>
        <w:tabs>
          <w:tab w:leader="none" w:pos="198" w:val="left"/>
        </w:tabs>
        <w:numPr>
          <w:ilvl w:val="0"/>
          <w:numId w:val="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right="640" w:firstLine="8"/>
        <w:spacing w:after="0" w:line="316" w:lineRule="auto"/>
        <w:tabs>
          <w:tab w:leader="none" w:pos="19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the report;</w:t>
      </w:r>
    </w:p>
    <w:p>
      <w:pPr>
        <w:spacing w:after="0" w:line="143" w:lineRule="exact"/>
        <w:rPr>
          <w:rFonts w:ascii="Arial" w:cs="Arial" w:eastAsia="Arial" w:hAnsi="Arial"/>
          <w:sz w:val="18"/>
          <w:szCs w:val="18"/>
          <w:color w:val="auto"/>
        </w:rPr>
      </w:pPr>
    </w:p>
    <w:p>
      <w:pPr>
        <w:ind w:right="540" w:firstLine="8"/>
        <w:spacing w:after="0" w:line="247" w:lineRule="auto"/>
        <w:tabs>
          <w:tab w:leader="none" w:pos="198"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for the registrant and have:</w:t>
      </w:r>
    </w:p>
    <w:p>
      <w:pPr>
        <w:spacing w:after="0" w:line="1" w:lineRule="exact"/>
        <w:rPr>
          <w:rFonts w:ascii="Arial" w:cs="Arial" w:eastAsia="Arial" w:hAnsi="Arial"/>
          <w:sz w:val="20"/>
          <w:szCs w:val="20"/>
          <w:color w:val="auto"/>
        </w:rPr>
      </w:pPr>
    </w:p>
    <w:p>
      <w:pPr>
        <w:ind w:left="660" w:right="220" w:hanging="328"/>
        <w:spacing w:after="0" w:line="252" w:lineRule="auto"/>
        <w:tabs>
          <w:tab w:leader="none" w:pos="638" w:val="left"/>
        </w:tabs>
        <w:numPr>
          <w:ilvl w:val="1"/>
          <w:numId w:val="9"/>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660" w:right="60" w:hanging="328"/>
        <w:spacing w:after="0" w:line="299" w:lineRule="auto"/>
        <w:tabs>
          <w:tab w:leader="none" w:pos="649"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80" w:hanging="328"/>
        <w:spacing w:after="0" w:line="241" w:lineRule="auto"/>
        <w:tabs>
          <w:tab w:leader="none" w:pos="638" w:val="left"/>
        </w:tabs>
        <w:numPr>
          <w:ilvl w:val="1"/>
          <w:numId w:val="9"/>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9" w:lineRule="exact"/>
        <w:rPr>
          <w:rFonts w:ascii="Arial" w:cs="Arial" w:eastAsia="Arial" w:hAnsi="Arial"/>
          <w:sz w:val="20"/>
          <w:szCs w:val="20"/>
          <w:color w:val="auto"/>
        </w:rPr>
      </w:pPr>
    </w:p>
    <w:p>
      <w:pPr>
        <w:jc w:val="both"/>
        <w:ind w:right="640" w:firstLine="8"/>
        <w:spacing w:after="0" w:line="245" w:lineRule="auto"/>
        <w:tabs>
          <w:tab w:leader="none" w:pos="198"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60" w:right="360" w:hanging="328"/>
        <w:spacing w:after="0" w:line="266" w:lineRule="auto"/>
        <w:tabs>
          <w:tab w:leader="none" w:pos="638"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hanging="328"/>
        <w:spacing w:after="0" w:line="244" w:lineRule="auto"/>
        <w:tabs>
          <w:tab w:leader="none" w:pos="649" w:val="left"/>
        </w:tabs>
        <w:numPr>
          <w:ilvl w:val="1"/>
          <w:numId w:val="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Date: September 2, 2005</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Stephen P. Wolfe</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Stephen P. Wolfe</w:t>
      </w:r>
    </w:p>
    <w:p>
      <w:pPr>
        <w:spacing w:after="0"/>
        <w:rPr>
          <w:sz w:val="20"/>
          <w:szCs w:val="20"/>
          <w:color w:val="auto"/>
        </w:rPr>
      </w:pPr>
      <w:r>
        <w:rPr>
          <w:rFonts w:ascii="Arial" w:cs="Arial" w:eastAsia="Arial" w:hAnsi="Arial"/>
          <w:sz w:val="20"/>
          <w:szCs w:val="20"/>
          <w:color w:val="auto"/>
        </w:rPr>
        <w:t>Vice President, Finance</w:t>
      </w:r>
    </w:p>
    <w:p>
      <w:pPr>
        <w:spacing w:after="0"/>
        <w:rPr>
          <w:sz w:val="20"/>
          <w:szCs w:val="20"/>
          <w:color w:val="auto"/>
        </w:rPr>
      </w:pPr>
      <w:r>
        <w:rPr>
          <w:rFonts w:ascii="Arial" w:cs="Arial" w:eastAsia="Arial" w:hAnsi="Arial"/>
          <w:sz w:val="20"/>
          <w:szCs w:val="20"/>
          <w:color w:val="auto"/>
        </w:rPr>
        <w:t>Treasurer and Chief Financial Officer</w:t>
      </w:r>
    </w:p>
    <w:p>
      <w:pPr>
        <w:spacing w:after="0"/>
        <w:rPr>
          <w:sz w:val="20"/>
          <w:szCs w:val="20"/>
          <w:color w:val="auto"/>
        </w:rPr>
      </w:pPr>
      <w:r>
        <w:rPr>
          <w:rFonts w:ascii="Arial" w:cs="Arial" w:eastAsia="Arial" w:hAnsi="Arial"/>
          <w:sz w:val="20"/>
          <w:szCs w:val="20"/>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20"/>
          <w:szCs w:val="20"/>
          <w:b w:val="1"/>
          <w:bCs w:val="1"/>
          <w:color w:val="auto"/>
        </w:rPr>
        <w:t>Exhibit 32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 U.S.C. SECTION 1350,</w:t>
      </w:r>
    </w:p>
    <w:p>
      <w:pPr>
        <w:jc w:val="center"/>
        <w:spacing w:after="0"/>
        <w:rPr>
          <w:sz w:val="20"/>
          <w:szCs w:val="20"/>
          <w:color w:val="auto"/>
        </w:rPr>
      </w:pPr>
      <w:r>
        <w:rPr>
          <w:rFonts w:ascii="Arial" w:cs="Arial" w:eastAsia="Arial" w:hAnsi="Arial"/>
          <w:sz w:val="20"/>
          <w:szCs w:val="20"/>
          <w:color w:val="auto"/>
        </w:rPr>
        <w:t>AS ADOPTED PURSUANT TO</w:t>
      </w:r>
    </w:p>
    <w:p>
      <w:pPr>
        <w:jc w:val="center"/>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In connection with the Quarterly Report of The Toro Company (the “Company”) on Form 10-Q for the quarterly period ended July 29, 2005 as filed with the Securities and Exchange Commission on the date hereof (the “Report”), we, Michael J. Hoffman, President and Chief Executive Officer of the Company, and Stephen P. Wolfe, Vice President-Finance, Treasurer and Chief Financial Officer of the Company, certify, pursuant to 18 U.S.C. Section 1350, as adopted pursuant to Section 906 of the Sarbanes-Oxley Act of 2002, that to our knowledge:</w:t>
      </w:r>
    </w:p>
    <w:p>
      <w:pPr>
        <w:spacing w:after="0" w:line="175"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980" w:right="100" w:hanging="324"/>
        <w:spacing w:after="0" w:line="260" w:lineRule="auto"/>
        <w:tabs>
          <w:tab w:leader="none" w:pos="986"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/s/ 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Michael J. Hoffman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President and Chief Executive Officer</w:t>
      </w:r>
    </w:p>
    <w:p>
      <w:pPr>
        <w:spacing w:after="0"/>
        <w:rPr>
          <w:sz w:val="20"/>
          <w:szCs w:val="20"/>
          <w:color w:val="auto"/>
        </w:rPr>
      </w:pPr>
      <w:r>
        <w:rPr>
          <w:rFonts w:ascii="Arial" w:cs="Arial" w:eastAsia="Arial" w:hAnsi="Arial"/>
          <w:sz w:val="20"/>
          <w:szCs w:val="20"/>
          <w:color w:val="auto"/>
        </w:rPr>
        <w:t>September 2, 2005</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Stephen P. Wolfe</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Vice President-Finance,</w:t>
      </w:r>
    </w:p>
    <w:p>
      <w:pPr>
        <w:spacing w:after="0"/>
        <w:rPr>
          <w:sz w:val="20"/>
          <w:szCs w:val="20"/>
          <w:color w:val="auto"/>
        </w:rPr>
      </w:pPr>
      <w:r>
        <w:rPr>
          <w:rFonts w:ascii="Arial" w:cs="Arial" w:eastAsia="Arial" w:hAnsi="Arial"/>
          <w:sz w:val="20"/>
          <w:szCs w:val="20"/>
          <w:color w:val="auto"/>
        </w:rPr>
        <w:t>Treasurer and Chief Financial Officer</w:t>
      </w:r>
    </w:p>
    <w:p>
      <w:pPr>
        <w:spacing w:after="0"/>
        <w:rPr>
          <w:sz w:val="20"/>
          <w:szCs w:val="20"/>
          <w:color w:val="auto"/>
        </w:rPr>
      </w:pPr>
      <w:r>
        <w:rPr>
          <w:rFonts w:ascii="Arial" w:cs="Arial" w:eastAsia="Arial" w:hAnsi="Arial"/>
          <w:sz w:val="20"/>
          <w:szCs w:val="20"/>
          <w:color w:val="auto"/>
        </w:rPr>
        <w:t>September 2, 2005</w:t>
      </w:r>
    </w:p>
    <w:p>
      <w:pPr>
        <w:spacing w:after="0" w:line="200" w:lineRule="exact"/>
        <w:rPr>
          <w:sz w:val="20"/>
          <w:szCs w:val="20"/>
          <w:color w:val="auto"/>
        </w:rPr>
      </w:pPr>
    </w:p>
    <w:p>
      <w:pPr>
        <w:spacing w:after="0" w:line="243" w:lineRule="exact"/>
        <w:rPr>
          <w:sz w:val="20"/>
          <w:szCs w:val="20"/>
          <w:color w:val="auto"/>
        </w:rPr>
      </w:pPr>
    </w:p>
    <w:p>
      <w:pPr>
        <w:ind w:right="340"/>
        <w:spacing w:after="0" w:line="250" w:lineRule="auto"/>
        <w:rPr>
          <w:sz w:val="20"/>
          <w:szCs w:val="20"/>
          <w:color w:val="auto"/>
        </w:rPr>
      </w:pPr>
      <w:r>
        <w:rPr>
          <w:rFonts w:ascii="Arial" w:cs="Arial" w:eastAsia="Arial" w:hAnsi="Arial"/>
          <w:sz w:val="20"/>
          <w:szCs w:val="20"/>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195580</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lowerRoman"/>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2019-12-13T13:50:31Z</dcterms:created>
  <dcterms:modified xsi:type="dcterms:W3CDTF">2019-12-13T13:50:31Z</dcterms:modified>
</cp:coreProperties>
</file>