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4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4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12/08/2016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2,780</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170,356</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12/08/2016</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52"/>
              <w:spacing w:after="0"/>
              <w:rPr>
                <w:sz w:val="20"/>
                <w:szCs w:val="20"/>
                <w:color w:val="auto"/>
              </w:rPr>
            </w:pPr>
            <w:r>
              <w:rPr>
                <w:rFonts w:ascii="Arial" w:cs="Arial" w:eastAsia="Arial" w:hAnsi="Arial"/>
                <w:sz w:val="18"/>
                <w:szCs w:val="18"/>
                <w:color w:val="0000FF"/>
              </w:rPr>
              <w:t>1,045</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57.79</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169,311</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79,418.302</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34,824.906</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140" w:type="dxa"/>
            <w:vAlign w:val="bottom"/>
          </w:tcPr>
          <w:p>
            <w:pPr>
              <w:ind w:left="260"/>
              <w:spacing w:after="0"/>
              <w:rPr>
                <w:sz w:val="20"/>
                <w:szCs w:val="20"/>
                <w:color w:val="auto"/>
              </w:rPr>
            </w:pPr>
            <w:r>
              <w:rPr>
                <w:rFonts w:ascii="Arial" w:cs="Arial" w:eastAsia="Arial" w:hAnsi="Arial"/>
                <w:sz w:val="14"/>
                <w:szCs w:val="14"/>
                <w:color w:val="0000FF"/>
              </w:rPr>
              <w:t>12/09/2016</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8,200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12/09/2026</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ind w:left="100"/>
              <w:spacing w:after="0" w:line="200" w:lineRule="exact"/>
              <w:rPr>
                <w:sz w:val="20"/>
                <w:szCs w:val="20"/>
                <w:color w:val="auto"/>
              </w:rPr>
            </w:pPr>
            <w:r>
              <w:rPr>
                <w:rFonts w:ascii="Arial" w:cs="Arial" w:eastAsia="Arial" w:hAnsi="Arial"/>
                <w:sz w:val="18"/>
                <w:szCs w:val="18"/>
                <w:color w:val="0000FF"/>
              </w:rPr>
              <w:t>8,200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8,200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16, 2016, the common stock of the issuer split two-for-one (the "Stock Split"), resulting in the reporting person's ownership of 83,788 additional shares of common stock. All future Form 4 and 5 filings made by the reporting person will include adjustments, as necessary, to reflect the Stock Split.</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39,454.512 additional shares of common stock as a result of the Stock Split and 509.278 post-split net shares acquired by the reporting person under the dividend reinvestment feature of The Toro Company Investment, Savings &amp; ESOP since the date of his last report, less quarterly non-discretionary administrative fees.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17,300.542 additional performance share units as a result of the Stock Split and 223.822 post-split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12/12/2016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2019-12-23T21:03:15Z</dcterms:created>
  <dcterms:modified xsi:type="dcterms:W3CDTF">2019-12-23T21:03:15Z</dcterms:modified>
</cp:coreProperties>
</file>