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r>
        <w:rPr>
          <w:rFonts w:ascii="Times New Roman" w:cs="Times New Roman" w:eastAsia="Times New Roman" w:hAnsi="Times New Roman"/>
          <w:sz w:val="18"/>
          <w:szCs w:val="18"/>
          <w:b w:val="1"/>
          <w:bCs w:val="1"/>
          <w:color w:val="auto"/>
        </w:rPr>
        <w:t>June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TORO COMPANY</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1-8649</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41-0580470</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40" w:space="720"/>
            <w:col w:w="2780" w:space="720"/>
            <w:col w:w="3080"/>
          </w:cols>
          <w:pgMar w:left="320" w:top="529"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Bloomington, Minnesota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55420</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 888-8801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TTC</w:t>
            </w:r>
          </w:p>
        </w:tc>
        <w:tc>
          <w:tcPr>
            <w:tcW w:w="4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June 30, 2022, The Toro Company (“TTC”) entered into a note purchase agreement (the “2022 Note Purchase Agreement”) with the purchasers named therein pursuant to which TTC agreed to issue and sell, and the purchasers agreed to purchase, an aggregate principal amount of $100 million of TTC’s 3.97% Senior Notes due June 30, 2032 (the “2022 Notes”). On that same date, TTC issued the 2022 Notes to the purchasers named in the 2022 Note Purchase Agreement pursuant thereto. TTC intends to use the proceeds from the 2022 Notes to repay indebtedness originally incurred under its existing revolving credit facility.</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2022 Note Purchase Agreement contains customary representations and warranties of TTC, as well as certain covenants, including limitations on transactions with affiliates, mergers, consolidations and asset sales and the incurrence of liens and subsidiary indebtedness. The 2022 Note Purchase Agreement also contains (i) a maximum leverage ratio covenant, and (ii) a most favored lender covenant, which effectively incorporates any interest coverage or fixed charge covenant from any material credit facility of TTC or its subsidiaries.</w:t>
      </w:r>
    </w:p>
    <w:p>
      <w:pPr>
        <w:spacing w:after="0" w:line="18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2022 Note Purchase Agreement also contains customary events of default (subject in certain cases to specified cure periods), including, but not limited to, non-payment, breach of covenants, representations and warranties, cross defaults, bankruptcy or other insolvency events, judgments and ERISA events.</w:t>
      </w:r>
    </w:p>
    <w:p>
      <w:pPr>
        <w:spacing w:after="0" w:line="176"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2022 Notes are senior unsecured obligations of TTC. Interest on the 2022 Notes is payable semiannually on the 30th day of June and December in each year, commencing on December 30, 2022.</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TTC has the right to prepay all or a portion of the 2022 Notes upon notice to the holders for 100% of the principal amount so prepaid plus a make-whole premium, as set forth in the 2022 Note Purchase Agreement, plus accrued and unpaid interest, if any, to the date of prepayment. In addition, at any time during the 90 day period ending on the maturity date of the 2022 Notes, TTC will have the right to prepay all of the 2022 Notes without any make-whole premium. Upon the occurrence of certain change of control events, holders of the 2022 Notes will have the right to require that TTC purchase such holder’s 2022 Notes in cash at a purchase price equal to 100% of the principal amount thereof plus accrued and unpaid interest, if any, to the date of repurchase.</w:t>
      </w:r>
    </w:p>
    <w:p>
      <w:pPr>
        <w:spacing w:after="0" w:line="18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TTC issued the 2022 Notes to the purchasers named in the 2022 Note Purchase Agreement and pursuant thereto on June 30, 2022 in a private placement pursuant to Section 4(a)(2) of the Securities Act of 1933, as amended (the “Securities Act”). The 2022 Notes were not registered under the Securities Act or any state securities laws and may not be offered or sold absent registration under the Securities Act, or pursuant to an applicable exemption from, or in a transaction not subject to, the registration requirements of the Securities Act and applicable state securities laws.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Also on June 30, 2022, TTC entered into a second amendment (the “Amendment”) to note purchase agreement, dated as of April 30, 2019 (the “2019 Note Purchase Agreement”), with the institutions named therein. The Amendment amends the 2019 Note Purchase Agreement to (i) remove the minimum interest coverage ratio covenant; (ii) include a most favored lender covenant, which effectively incorporates any interest coverage or fixed charge covenant from any material credit facility of TTC or its subsidiaries; and (iii) exclude certain indebtedness relating to pending transactions when calculating the leverage ratio for purposes of testing the maximum leverage ratio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ind w:firstLine="648"/>
        <w:spacing w:after="0" w:line="256" w:lineRule="auto"/>
        <w:rPr>
          <w:sz w:val="20"/>
          <w:szCs w:val="20"/>
          <w:color w:val="auto"/>
        </w:rPr>
      </w:pPr>
      <w:r>
        <w:rPr>
          <w:rFonts w:ascii="Times New Roman" w:cs="Times New Roman" w:eastAsia="Times New Roman" w:hAnsi="Times New Roman"/>
          <w:sz w:val="18"/>
          <w:szCs w:val="18"/>
          <w:color w:val="auto"/>
        </w:rPr>
        <w:t>The foregoing description of the 2022 Note Purchase Agreement and the 2022 Notes is a summary of the material terms thereof, does not purport to be complete and is qualified in its entirety by reference to the complete text of the 2022 Note Purchase Agreement and the 2022 Notes, which are filed as Exhibit 10.1 and Exhibit 10.2, respectively, to this Current Report on Form 8-K and are incorporated by reference into this Item 1.01. The foregoing description of the Amendment is a summary of the material terms of the Amendment, does not purport to be complete and is qualified in its entirety by reference to the complete text of the Amendment, which is filed as Exhibit 10.3 to this Current Report on Form 8-K and is incorporated by reference into this Item 1.01.</w:t>
      </w:r>
    </w:p>
    <w:p>
      <w:pPr>
        <w:spacing w:after="0" w:line="183"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The information described above under “Item 1.01 Entry into a Material Definitive Agreement,” or incorporated by reference therein is incorporated by reference into this Item 2.03 of this Current Report on Form 8-K.</w:t>
      </w:r>
    </w:p>
    <w:p>
      <w:pPr>
        <w:spacing w:after="0" w:line="15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1140" w:hanging="484"/>
        <w:spacing w:after="0"/>
        <w:tabs>
          <w:tab w:leader="none" w:pos="114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Exhibits</w:t>
      </w:r>
    </w:p>
    <w:p>
      <w:pPr>
        <w:spacing w:after="0" w:line="225" w:lineRule="exact"/>
        <w:rPr>
          <w:sz w:val="20"/>
          <w:szCs w:val="20"/>
          <w:color w:val="auto"/>
        </w:rPr>
      </w:pPr>
    </w:p>
    <w:p>
      <w:pPr>
        <w:ind w:left="740"/>
        <w:spacing w:after="0"/>
        <w:tabs>
          <w:tab w:leader="none" w:pos="606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28575</wp:posOffset>
            </wp:positionV>
            <wp:extent cx="5983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pacing w:after="0" w:line="34" w:lineRule="exact"/>
        <w:rPr>
          <w:sz w:val="20"/>
          <w:szCs w:val="20"/>
          <w:color w:val="auto"/>
        </w:rPr>
      </w:pPr>
    </w:p>
    <w:p>
      <w:pPr>
        <w:ind w:left="1820" w:right="660" w:hanging="784"/>
        <w:spacing w:after="0" w:line="261" w:lineRule="auto"/>
        <w:tabs>
          <w:tab w:leader="none" w:pos="180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color w:val="auto"/>
        </w:rPr>
        <w:t>Note Purchase Agreement, dated as of June 30, 2022, by and among The Toro Company and the Purchasers Listed on the Purchaser Schedule Thereto (filed herewith).</w:t>
      </w:r>
    </w:p>
    <w:p>
      <w:pPr>
        <w:ind w:left="1040"/>
        <w:spacing w:after="0"/>
        <w:tabs>
          <w:tab w:leader="none" w:pos="1800" w:val="left"/>
        </w:tabs>
        <w:rPr>
          <w:sz w:val="20"/>
          <w:szCs w:val="20"/>
          <w:color w:val="auto"/>
        </w:rPr>
      </w:pPr>
      <w:r>
        <w:rPr>
          <w:rFonts w:ascii="Times New Roman" w:cs="Times New Roman" w:eastAsia="Times New Roman" w:hAnsi="Times New Roman"/>
          <w:sz w:val="18"/>
          <w:szCs w:val="18"/>
          <w:u w:val="single" w:color="auto"/>
          <w:color w:val="0000EE"/>
        </w:rPr>
        <w:t>10.2</w:t>
      </w:r>
      <w:r>
        <w:rPr>
          <w:sz w:val="20"/>
          <w:szCs w:val="20"/>
          <w:color w:val="auto"/>
        </w:rPr>
        <w:tab/>
      </w:r>
      <w:r>
        <w:rPr>
          <w:rFonts w:ascii="Times New Roman" w:cs="Times New Roman" w:eastAsia="Times New Roman" w:hAnsi="Times New Roman"/>
          <w:sz w:val="17"/>
          <w:szCs w:val="17"/>
          <w:color w:val="auto"/>
        </w:rPr>
        <w:t>Form of 3.97% Senior Note due June 30, 2032 (included in Exhibit 10.1).</w:t>
      </w:r>
    </w:p>
    <w:p>
      <w:pPr>
        <w:spacing w:after="0" w:line="9" w:lineRule="exact"/>
        <w:rPr>
          <w:sz w:val="20"/>
          <w:szCs w:val="20"/>
          <w:color w:val="auto"/>
        </w:rPr>
      </w:pPr>
    </w:p>
    <w:p>
      <w:pPr>
        <w:ind w:left="1820" w:right="80" w:hanging="784"/>
        <w:spacing w:after="0" w:line="250" w:lineRule="auto"/>
        <w:tabs>
          <w:tab w:leader="none" w:pos="1800" w:val="left"/>
        </w:tabs>
        <w:rPr>
          <w:sz w:val="20"/>
          <w:szCs w:val="20"/>
          <w:color w:val="auto"/>
        </w:rPr>
      </w:pPr>
      <w:r>
        <w:rPr>
          <w:rFonts w:ascii="Times New Roman" w:cs="Times New Roman" w:eastAsia="Times New Roman" w:hAnsi="Times New Roman"/>
          <w:sz w:val="18"/>
          <w:szCs w:val="18"/>
          <w:u w:val="single" w:color="auto"/>
          <w:color w:val="0000EE"/>
        </w:rPr>
        <w:t>10.3</w:t>
      </w:r>
      <w:r>
        <w:rPr>
          <w:sz w:val="20"/>
          <w:szCs w:val="20"/>
          <w:color w:val="auto"/>
        </w:rPr>
        <w:tab/>
      </w:r>
      <w:r>
        <w:rPr>
          <w:rFonts w:ascii="Times New Roman" w:cs="Times New Roman" w:eastAsia="Times New Roman" w:hAnsi="Times New Roman"/>
          <w:sz w:val="18"/>
          <w:szCs w:val="18"/>
          <w:color w:val="auto"/>
        </w:rPr>
        <w:t>Second Amendment, dated as of June 30, 2022, to Note Purchase Agreement, dated as of April 30, 2019, by and among The Toro Company and each of the Institutions a Signatory Thereto (filed herewith).</w:t>
      </w:r>
    </w:p>
    <w:p>
      <w:pPr>
        <w:spacing w:after="0" w:line="1" w:lineRule="exact"/>
        <w:rPr>
          <w:sz w:val="20"/>
          <w:szCs w:val="20"/>
          <w:color w:val="auto"/>
        </w:rPr>
      </w:pPr>
    </w:p>
    <w:p>
      <w:pPr>
        <w:ind w:left="1060"/>
        <w:spacing w:after="0"/>
        <w:tabs>
          <w:tab w:leader="none" w:pos="1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7" w:lineRule="exact"/>
        <w:rPr>
          <w:sz w:val="20"/>
          <w:szCs w:val="20"/>
          <w:color w:val="auto"/>
        </w:rPr>
      </w:pPr>
    </w:p>
    <w:p>
      <w:pPr>
        <w:spacing w:after="0"/>
        <w:tabs>
          <w:tab w:leader="none" w:pos="5620" w:val="left"/>
          <w:tab w:leader="none" w:pos="6340" w:val="left"/>
        </w:tabs>
        <w:rPr>
          <w:sz w:val="20"/>
          <w:szCs w:val="20"/>
          <w:color w:val="auto"/>
        </w:rPr>
      </w:pPr>
      <w:r>
        <w:rPr>
          <w:rFonts w:ascii="Times New Roman" w:cs="Times New Roman" w:eastAsia="Times New Roman" w:hAnsi="Times New Roman"/>
          <w:sz w:val="18"/>
          <w:szCs w:val="18"/>
          <w:color w:val="auto"/>
        </w:rPr>
        <w:t>Date: June 30,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Amy E. Dahl</w:t>
      </w:r>
    </w:p>
    <w:p>
      <w:pPr>
        <w:spacing w:after="0" w:line="3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Vice President, Human Resources and General Counsel</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oro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3.97% Senior Notes due June 30,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214630</wp:posOffset>
            </wp:positionV>
            <wp:extent cx="14230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ote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214630</wp:posOffset>
            </wp:positionV>
            <wp:extent cx="142303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800" w:type="dxa"/>
            <w:vAlign w:val="bottom"/>
          </w:tcPr>
          <w:p>
            <w:pPr>
              <w:spacing w:after="0"/>
              <w:rPr>
                <w:sz w:val="20"/>
                <w:szCs w:val="20"/>
                <w:color w:val="auto"/>
              </w:rPr>
            </w:pPr>
          </w:p>
        </w:tc>
        <w:tc>
          <w:tcPr>
            <w:tcW w:w="726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p>
        </w:tc>
        <w:tc>
          <w:tcPr>
            <w:tcW w:w="726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eading</w:t>
            </w:r>
          </w:p>
        </w:tc>
        <w:tc>
          <w:tcPr>
            <w:tcW w:w="22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w:t>
            </w:r>
          </w:p>
        </w:tc>
        <w:tc>
          <w:tcPr>
            <w:tcW w:w="7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uthorization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 and</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ncremental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everage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ee</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Section 1.1.</w:t>
            </w:r>
          </w:p>
        </w:tc>
        <w:tc>
          <w:tcPr>
            <w:tcW w:w="7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Authorization of Notes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1.2.</w:t>
            </w:r>
          </w:p>
        </w:tc>
        <w:tc>
          <w:tcPr>
            <w:tcW w:w="7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Incremental Leverage Fee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2.</w:t>
            </w:r>
          </w:p>
        </w:tc>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ale and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3.</w:t>
            </w:r>
          </w:p>
        </w:tc>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losing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4.</w:t>
            </w:r>
          </w:p>
        </w:tc>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 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losing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4.1.</w:t>
            </w:r>
          </w:p>
        </w:tc>
        <w:tc>
          <w:tcPr>
            <w:tcW w:w="7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Section 4.2.</w:t>
            </w:r>
          </w:p>
        </w:tc>
        <w:tc>
          <w:tcPr>
            <w:tcW w:w="7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Performance; No Default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4.3.</w:t>
            </w:r>
          </w:p>
        </w:tc>
        <w:tc>
          <w:tcPr>
            <w:tcW w:w="7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Compliance Certificates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Section 4.4.</w:t>
            </w:r>
          </w:p>
        </w:tc>
        <w:tc>
          <w:tcPr>
            <w:tcW w:w="7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Opinions of Counsel</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4.5.</w:t>
            </w:r>
          </w:p>
        </w:tc>
        <w:tc>
          <w:tcPr>
            <w:tcW w:w="7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Purchase Permitted By Applicable Law, Etc</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Section 4.6.</w:t>
            </w:r>
          </w:p>
        </w:tc>
        <w:tc>
          <w:tcPr>
            <w:tcW w:w="7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Sale of Other Notes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4.7.</w:t>
            </w:r>
          </w:p>
        </w:tc>
        <w:tc>
          <w:tcPr>
            <w:tcW w:w="7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Payment of Special Counsel Fees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Section 4.8.</w:t>
            </w:r>
          </w:p>
        </w:tc>
        <w:tc>
          <w:tcPr>
            <w:tcW w:w="7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Private Placement Number</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4.9.</w:t>
            </w:r>
          </w:p>
        </w:tc>
        <w:tc>
          <w:tcPr>
            <w:tcW w:w="7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Changes in Corporate Structure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Section 4.10.</w:t>
            </w:r>
          </w:p>
        </w:tc>
        <w:tc>
          <w:tcPr>
            <w:tcW w:w="7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Funding Instructions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4.11.</w:t>
            </w:r>
          </w:p>
        </w:tc>
        <w:tc>
          <w:tcPr>
            <w:tcW w:w="7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Proceedings and Documents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Section 4.12.</w:t>
            </w:r>
          </w:p>
        </w:tc>
        <w:tc>
          <w:tcPr>
            <w:tcW w:w="7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MFL Notice</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5.</w:t>
            </w:r>
          </w:p>
        </w:tc>
        <w:tc>
          <w:tcPr>
            <w:tcW w:w="7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Section 5.1.</w:t>
            </w:r>
          </w:p>
        </w:tc>
        <w:tc>
          <w:tcPr>
            <w:tcW w:w="7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Organization; Power and Authority</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5.2.</w:t>
            </w:r>
          </w:p>
        </w:tc>
        <w:tc>
          <w:tcPr>
            <w:tcW w:w="7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Authorization, Etc</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Section 5.3.</w:t>
            </w:r>
          </w:p>
        </w:tc>
        <w:tc>
          <w:tcPr>
            <w:tcW w:w="7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Disclosure</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5.4.</w:t>
            </w:r>
          </w:p>
        </w:tc>
        <w:tc>
          <w:tcPr>
            <w:tcW w:w="7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Organization and Ownership of Shares of Subsidiaries; Affiliates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Section 5.5.</w:t>
            </w:r>
          </w:p>
        </w:tc>
        <w:tc>
          <w:tcPr>
            <w:tcW w:w="7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Financial Statements; Material Liabilities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5.6.</w:t>
            </w:r>
          </w:p>
        </w:tc>
        <w:tc>
          <w:tcPr>
            <w:tcW w:w="7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Compliance with Laws, Other Instruments, Etc</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Section 5.7.</w:t>
            </w:r>
          </w:p>
        </w:tc>
        <w:tc>
          <w:tcPr>
            <w:tcW w:w="7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Governmental Authorizations, Etc</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5.8.</w:t>
            </w:r>
          </w:p>
        </w:tc>
        <w:tc>
          <w:tcPr>
            <w:tcW w:w="7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Litigation; Observance of Agreements, Statutes and Orders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Section 5.9.</w:t>
            </w:r>
          </w:p>
        </w:tc>
        <w:tc>
          <w:tcPr>
            <w:tcW w:w="7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Taxes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5.10.</w:t>
            </w:r>
          </w:p>
        </w:tc>
        <w:tc>
          <w:tcPr>
            <w:tcW w:w="7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Title to Property; Leases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Section 5.11.</w:t>
            </w:r>
          </w:p>
        </w:tc>
        <w:tc>
          <w:tcPr>
            <w:tcW w:w="7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Licenses, Permits, Etc</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5.12.</w:t>
            </w:r>
          </w:p>
        </w:tc>
        <w:tc>
          <w:tcPr>
            <w:tcW w:w="7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Compliance with Employee Benefit Plans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Section 5.13.</w:t>
            </w:r>
          </w:p>
        </w:tc>
        <w:tc>
          <w:tcPr>
            <w:tcW w:w="7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Private Offering by the Company</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5.14.</w:t>
            </w:r>
          </w:p>
        </w:tc>
        <w:tc>
          <w:tcPr>
            <w:tcW w:w="7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Use of Proceeds; Margin Regulations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Section 5.15.</w:t>
            </w:r>
          </w:p>
        </w:tc>
        <w:tc>
          <w:tcPr>
            <w:tcW w:w="7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Existing Indebtedness; Future Liens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5.16.</w:t>
            </w:r>
          </w:p>
        </w:tc>
        <w:tc>
          <w:tcPr>
            <w:tcW w:w="6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 Assets Control Regulations, Etc</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5.17.</w:t>
            </w:r>
          </w:p>
        </w:tc>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Status under Certain Statutes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5.18.</w:t>
            </w:r>
          </w:p>
        </w:tc>
        <w:tc>
          <w:tcPr>
            <w:tcW w:w="6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Environmental Matters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5.19.</w:t>
            </w:r>
          </w:p>
        </w:tc>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Ranking of Obligations.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w:t>
            </w: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of the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6.1.</w:t>
            </w:r>
          </w:p>
        </w:tc>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 for Investment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6.2.</w:t>
            </w:r>
          </w:p>
        </w:tc>
        <w:tc>
          <w:tcPr>
            <w:tcW w:w="6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Source of Funds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7.</w:t>
            </w: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nformation as 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7.1.</w:t>
            </w:r>
          </w:p>
        </w:tc>
        <w:tc>
          <w:tcPr>
            <w:tcW w:w="6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Financial and Business Information</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7.2.</w:t>
            </w:r>
          </w:p>
        </w:tc>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Officer’s Certificate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7.3.</w:t>
            </w:r>
          </w:p>
        </w:tc>
        <w:tc>
          <w:tcPr>
            <w:tcW w:w="6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Visitation</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7.4.</w:t>
            </w:r>
          </w:p>
        </w:tc>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Electronic Delivery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8.</w:t>
            </w: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ayment and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repayment of the</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w:t>
            </w:r>
          </w:p>
        </w:tc>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Maturity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8.2.</w:t>
            </w:r>
          </w:p>
        </w:tc>
        <w:tc>
          <w:tcPr>
            <w:tcW w:w="6700" w:type="dxa"/>
            <w:vAlign w:val="bottom"/>
            <w:shd w:val="clear" w:color="auto" w:fill="CCEEFF"/>
          </w:tcPr>
          <w:p>
            <w:pPr>
              <w:ind w:left="440"/>
              <w:spacing w:after="0" w:line="207" w:lineRule="exact"/>
              <w:rPr>
                <w:sz w:val="20"/>
                <w:szCs w:val="20"/>
                <w:color w:val="auto"/>
              </w:rPr>
            </w:pPr>
            <w:r>
              <w:rPr>
                <w:rFonts w:ascii="Times New Roman" w:cs="Times New Roman" w:eastAsia="Times New Roman" w:hAnsi="Times New Roman"/>
                <w:sz w:val="18"/>
                <w:szCs w:val="18"/>
                <w:color w:val="auto"/>
              </w:rPr>
              <w:t>Optional Prepayments with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8.3.</w:t>
            </w:r>
          </w:p>
        </w:tc>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Allocation of Partial Prepayments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8.4.</w:t>
            </w:r>
          </w:p>
        </w:tc>
        <w:tc>
          <w:tcPr>
            <w:tcW w:w="6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Maturity; Surrender, Etc.</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8.5.</w:t>
            </w:r>
          </w:p>
        </w:tc>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 of Notes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8.6.</w:t>
            </w:r>
          </w:p>
        </w:tc>
        <w:tc>
          <w:tcPr>
            <w:tcW w:w="6700" w:type="dxa"/>
            <w:vAlign w:val="bottom"/>
            <w:shd w:val="clear" w:color="auto" w:fill="CCEEFF"/>
          </w:tcPr>
          <w:p>
            <w:pPr>
              <w:ind w:left="440"/>
              <w:spacing w:after="0" w:line="207" w:lineRule="exact"/>
              <w:rPr>
                <w:sz w:val="20"/>
                <w:szCs w:val="20"/>
                <w:color w:val="auto"/>
              </w:rPr>
            </w:pPr>
            <w:r>
              <w:rPr>
                <w:rFonts w:ascii="Times New Roman" w:cs="Times New Roman" w:eastAsia="Times New Roman" w:hAnsi="Times New Roman"/>
                <w:sz w:val="18"/>
                <w:szCs w:val="18"/>
                <w:color w:val="auto"/>
              </w:rPr>
              <w:t>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8.7.</w:t>
            </w:r>
          </w:p>
        </w:tc>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of Control</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8.8.</w:t>
            </w:r>
          </w:p>
        </w:tc>
        <w:tc>
          <w:tcPr>
            <w:tcW w:w="6700" w:type="dxa"/>
            <w:vAlign w:val="bottom"/>
            <w:shd w:val="clear" w:color="auto" w:fill="CCEEFF"/>
          </w:tcPr>
          <w:p>
            <w:pPr>
              <w:ind w:left="440"/>
              <w:spacing w:after="0" w:line="207" w:lineRule="exact"/>
              <w:rPr>
                <w:sz w:val="20"/>
                <w:szCs w:val="20"/>
                <w:color w:val="auto"/>
              </w:rPr>
            </w:pPr>
            <w:r>
              <w:rPr>
                <w:rFonts w:ascii="Times New Roman" w:cs="Times New Roman" w:eastAsia="Times New Roman" w:hAnsi="Times New Roman"/>
                <w:sz w:val="18"/>
                <w:szCs w:val="18"/>
                <w:color w:val="auto"/>
              </w:rPr>
              <w:t>Payments Due on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Business Days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9.</w:t>
            </w: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ffirmative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r>
              <w:rPr>
                <w:rFonts w:ascii="Times New Roman" w:cs="Times New Roman" w:eastAsia="Times New Roman" w:hAnsi="Times New Roman"/>
                <w:sz w:val="18"/>
                <w:szCs w:val="18"/>
                <w:color w:val="auto"/>
              </w:rPr>
              <w:t>.</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9.1.</w:t>
            </w:r>
          </w:p>
        </w:tc>
        <w:tc>
          <w:tcPr>
            <w:tcW w:w="6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Compliance with Laws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9.2.</w:t>
            </w:r>
          </w:p>
        </w:tc>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Insurance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9.3.</w:t>
            </w:r>
          </w:p>
        </w:tc>
        <w:tc>
          <w:tcPr>
            <w:tcW w:w="6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9.4.</w:t>
            </w:r>
          </w:p>
        </w:tc>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Payment of Taxes and Claims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9.5.</w:t>
            </w:r>
          </w:p>
        </w:tc>
        <w:tc>
          <w:tcPr>
            <w:tcW w:w="6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 Existence, Etc</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9.6.</w:t>
            </w:r>
          </w:p>
        </w:tc>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Books and Records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9.7.</w:t>
            </w:r>
          </w:p>
        </w:tc>
        <w:tc>
          <w:tcPr>
            <w:tcW w:w="6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Subsidiary Guarantors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9.8</w:t>
            </w:r>
          </w:p>
        </w:tc>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Priority of Obligations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10.</w:t>
            </w: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egative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r>
              <w:rPr>
                <w:rFonts w:ascii="Times New Roman" w:cs="Times New Roman" w:eastAsia="Times New Roman" w:hAnsi="Times New Roman"/>
                <w:sz w:val="18"/>
                <w:szCs w:val="18"/>
                <w:color w:val="auto"/>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10.1.</w:t>
            </w:r>
          </w:p>
        </w:tc>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10.2.</w:t>
            </w:r>
          </w:p>
        </w:tc>
        <w:tc>
          <w:tcPr>
            <w:tcW w:w="6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Merger, Consolidation, Etc</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10.3.</w:t>
            </w:r>
          </w:p>
        </w:tc>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 of Assets, Etc.</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10.4.</w:t>
            </w:r>
          </w:p>
        </w:tc>
        <w:tc>
          <w:tcPr>
            <w:tcW w:w="6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Line of Business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10.5.</w:t>
            </w:r>
          </w:p>
        </w:tc>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Economic Sanctions, Etc</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10.6.</w:t>
            </w:r>
          </w:p>
        </w:tc>
        <w:tc>
          <w:tcPr>
            <w:tcW w:w="6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Liens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10.7.</w:t>
            </w:r>
          </w:p>
        </w:tc>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Maximum Leverage Ratio</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10.8.</w:t>
            </w:r>
          </w:p>
        </w:tc>
        <w:tc>
          <w:tcPr>
            <w:tcW w:w="6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Priority Indebtedness.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10.9</w:t>
            </w:r>
          </w:p>
        </w:tc>
        <w:tc>
          <w:tcPr>
            <w:tcW w:w="7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Red Iron</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Section10.10.</w:t>
            </w:r>
          </w:p>
        </w:tc>
        <w:tc>
          <w:tcPr>
            <w:tcW w:w="7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Restricted Payments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10.11.</w:t>
            </w:r>
          </w:p>
        </w:tc>
        <w:tc>
          <w:tcPr>
            <w:tcW w:w="7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Most Favored Lender Status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70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vents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efault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70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emedies on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efault</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tc</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12.1.</w:t>
            </w:r>
          </w:p>
        </w:tc>
        <w:tc>
          <w:tcPr>
            <w:tcW w:w="7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Acceleration</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12.2.</w:t>
            </w:r>
          </w:p>
        </w:tc>
        <w:tc>
          <w:tcPr>
            <w:tcW w:w="7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Remedies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12.3.</w:t>
            </w:r>
          </w:p>
        </w:tc>
        <w:tc>
          <w:tcPr>
            <w:tcW w:w="7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Rescission</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12.4.</w:t>
            </w:r>
          </w:p>
        </w:tc>
        <w:tc>
          <w:tcPr>
            <w:tcW w:w="7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Waivers or Election of Remedies, Expenses, Etc</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13.</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egistration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ubstitution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13.1.</w:t>
            </w:r>
          </w:p>
        </w:tc>
        <w:tc>
          <w:tcPr>
            <w:tcW w:w="7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Registration of Notes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13.2.</w:t>
            </w:r>
          </w:p>
        </w:tc>
        <w:tc>
          <w:tcPr>
            <w:tcW w:w="7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Transfer and Exchange of Notes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13.3.</w:t>
            </w:r>
          </w:p>
        </w:tc>
        <w:tc>
          <w:tcPr>
            <w:tcW w:w="7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Replacement of Notes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14.</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ayments on</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14.1.</w:t>
            </w:r>
          </w:p>
        </w:tc>
        <w:tc>
          <w:tcPr>
            <w:tcW w:w="7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Place of Payment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14.2.</w:t>
            </w:r>
          </w:p>
        </w:tc>
        <w:tc>
          <w:tcPr>
            <w:tcW w:w="7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Payment by Wire Transfer</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14.3.</w:t>
            </w:r>
          </w:p>
        </w:tc>
        <w:tc>
          <w:tcPr>
            <w:tcW w:w="7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FATCA Information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xpenses</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tc</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15.1.</w:t>
            </w:r>
          </w:p>
        </w:tc>
        <w:tc>
          <w:tcPr>
            <w:tcW w:w="7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Transaction Expenses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15.2.</w:t>
            </w:r>
          </w:p>
        </w:tc>
        <w:tc>
          <w:tcPr>
            <w:tcW w:w="7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Certain Taxes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15.3.</w:t>
            </w:r>
          </w:p>
        </w:tc>
        <w:tc>
          <w:tcPr>
            <w:tcW w:w="7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Survival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16.</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urvival of</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ntire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17.</w:t>
            </w:r>
          </w:p>
        </w:tc>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mendment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aiver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17.1.</w:t>
            </w:r>
          </w:p>
        </w:tc>
        <w:tc>
          <w:tcPr>
            <w:tcW w:w="7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Requirements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17.2.</w:t>
            </w:r>
          </w:p>
        </w:tc>
        <w:tc>
          <w:tcPr>
            <w:tcW w:w="7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Solicitation of Holders of Notes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17.3.</w:t>
            </w:r>
          </w:p>
        </w:tc>
        <w:tc>
          <w:tcPr>
            <w:tcW w:w="7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Binding Effect, Etc</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17.4.</w:t>
            </w:r>
          </w:p>
        </w:tc>
        <w:tc>
          <w:tcPr>
            <w:tcW w:w="7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Notes Held by Company, Etc</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p>
        </w:tc>
        <w:tc>
          <w:tcPr>
            <w:tcW w:w="1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otices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Section</w:t>
            </w:r>
          </w:p>
        </w:tc>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19.</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eproduction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ocuments</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p>
        </w:tc>
        <w:tc>
          <w:tcPr>
            <w:tcW w:w="1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onfidential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nformation</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p>
        </w:tc>
        <w:tc>
          <w:tcPr>
            <w:tcW w:w="1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ubstitution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urchaser</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22.</w:t>
            </w: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Section 22.1.</w:t>
            </w:r>
          </w:p>
        </w:tc>
        <w:tc>
          <w:tcPr>
            <w:tcW w:w="6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Successors and Assigns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22.2.</w:t>
            </w: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Accounting Terms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Section 22.3.</w:t>
            </w:r>
          </w:p>
        </w:tc>
        <w:tc>
          <w:tcPr>
            <w:tcW w:w="6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Severability</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22.4.</w:t>
            </w: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Construction, Etc</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Section 22.5.</w:t>
            </w:r>
          </w:p>
        </w:tc>
        <w:tc>
          <w:tcPr>
            <w:tcW w:w="6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Counterparts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22.6.</w:t>
            </w:r>
          </w:p>
        </w:tc>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Governing Law</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Section 22.7.</w:t>
            </w:r>
          </w:p>
        </w:tc>
        <w:tc>
          <w:tcPr>
            <w:tcW w:w="6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Jurisdiction and Process; Waiver of Jury Trial</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w:t>
            </w:r>
          </w:p>
        </w:tc>
        <w:tc>
          <w:tcPr>
            <w:tcW w:w="6460" w:type="dxa"/>
            <w:vAlign w:val="bottom"/>
            <w:shd w:val="clear" w:color="auto" w:fill="CCEEFF"/>
          </w:tcPr>
          <w:p>
            <w:pPr>
              <w:spacing w:after="0"/>
              <w:rPr>
                <w:sz w:val="18"/>
                <w:szCs w:val="18"/>
                <w:color w:val="auto"/>
              </w:rPr>
            </w:pP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w:t>
            </w:r>
            <w:r>
              <w:rPr>
                <w:rFonts w:ascii="Times New Roman" w:cs="Times New Roman" w:eastAsia="Times New Roman" w:hAnsi="Times New Roman"/>
                <w:sz w:val="18"/>
                <w:szCs w:val="18"/>
                <w:color w:val="auto"/>
              </w:rPr>
              <w:t xml:space="preserve"> A</w:t>
            </w:r>
          </w:p>
        </w:tc>
        <w:tc>
          <w:tcPr>
            <w:tcW w:w="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Defined Terms</w:t>
            </w:r>
          </w:p>
        </w:tc>
      </w:tr>
      <w:tr>
        <w:trPr>
          <w:trHeight w:val="216"/>
        </w:trPr>
        <w:tc>
          <w:tcPr>
            <w:tcW w:w="1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w:t>
            </w:r>
            <w:r>
              <w:rPr>
                <w:rFonts w:ascii="Times New Roman" w:cs="Times New Roman" w:eastAsia="Times New Roman" w:hAnsi="Times New Roman"/>
                <w:sz w:val="18"/>
                <w:szCs w:val="18"/>
                <w:color w:val="auto"/>
              </w:rPr>
              <w:t xml:space="preserve"> 1</w:t>
            </w:r>
          </w:p>
        </w:tc>
        <w:tc>
          <w:tcPr>
            <w:tcW w:w="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Form of 3.97% Senior Notes due June 30, 2032</w:t>
            </w:r>
          </w:p>
        </w:tc>
      </w:tr>
      <w:tr>
        <w:trPr>
          <w:trHeight w:val="216"/>
        </w:trPr>
        <w:tc>
          <w:tcPr>
            <w:tcW w:w="1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w:t>
            </w:r>
            <w:r>
              <w:rPr>
                <w:rFonts w:ascii="Times New Roman" w:cs="Times New Roman" w:eastAsia="Times New Roman" w:hAnsi="Times New Roman"/>
                <w:sz w:val="18"/>
                <w:szCs w:val="18"/>
                <w:color w:val="auto"/>
              </w:rPr>
              <w:t xml:space="preserve"> 4.4(a)</w:t>
            </w:r>
          </w:p>
        </w:tc>
        <w:tc>
          <w:tcPr>
            <w:tcW w:w="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Form of Opinion of Special Counsel for the Company</w:t>
            </w:r>
          </w:p>
        </w:tc>
      </w:tr>
      <w:tr>
        <w:trPr>
          <w:trHeight w:val="216"/>
        </w:trPr>
        <w:tc>
          <w:tcPr>
            <w:tcW w:w="1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w:t>
            </w:r>
            <w:r>
              <w:rPr>
                <w:rFonts w:ascii="Times New Roman" w:cs="Times New Roman" w:eastAsia="Times New Roman" w:hAnsi="Times New Roman"/>
                <w:sz w:val="18"/>
                <w:szCs w:val="18"/>
                <w:color w:val="auto"/>
              </w:rPr>
              <w:t xml:space="preserve"> 4.4(b)</w:t>
            </w:r>
          </w:p>
        </w:tc>
        <w:tc>
          <w:tcPr>
            <w:tcW w:w="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Form of Opinion of Special Counsel for the Purchasers</w:t>
            </w:r>
          </w:p>
        </w:tc>
      </w:tr>
      <w:tr>
        <w:trPr>
          <w:trHeight w:val="216"/>
        </w:trPr>
        <w:tc>
          <w:tcPr>
            <w:tcW w:w="1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w:t>
            </w:r>
            <w:r>
              <w:rPr>
                <w:rFonts w:ascii="Times New Roman" w:cs="Times New Roman" w:eastAsia="Times New Roman" w:hAnsi="Times New Roman"/>
                <w:sz w:val="18"/>
                <w:szCs w:val="18"/>
                <w:color w:val="auto"/>
              </w:rPr>
              <w:t xml:space="preserve"> 5.3</w:t>
            </w:r>
          </w:p>
        </w:tc>
        <w:tc>
          <w:tcPr>
            <w:tcW w:w="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Disclosure Materials</w:t>
            </w:r>
          </w:p>
        </w:tc>
      </w:tr>
      <w:tr>
        <w:trPr>
          <w:trHeight w:val="216"/>
        </w:trPr>
        <w:tc>
          <w:tcPr>
            <w:tcW w:w="1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w:t>
            </w:r>
            <w:r>
              <w:rPr>
                <w:rFonts w:ascii="Times New Roman" w:cs="Times New Roman" w:eastAsia="Times New Roman" w:hAnsi="Times New Roman"/>
                <w:sz w:val="18"/>
                <w:szCs w:val="18"/>
                <w:color w:val="auto"/>
              </w:rPr>
              <w:t xml:space="preserve"> 5.4</w:t>
            </w:r>
          </w:p>
        </w:tc>
        <w:tc>
          <w:tcPr>
            <w:tcW w:w="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Subsidiaries of the Company and Ownership of Subsidiary Stock</w:t>
            </w:r>
          </w:p>
        </w:tc>
      </w:tr>
      <w:tr>
        <w:trPr>
          <w:trHeight w:val="216"/>
        </w:trPr>
        <w:tc>
          <w:tcPr>
            <w:tcW w:w="1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w:t>
            </w:r>
            <w:r>
              <w:rPr>
                <w:rFonts w:ascii="Times New Roman" w:cs="Times New Roman" w:eastAsia="Times New Roman" w:hAnsi="Times New Roman"/>
                <w:sz w:val="18"/>
                <w:szCs w:val="18"/>
                <w:color w:val="auto"/>
              </w:rPr>
              <w:t xml:space="preserve"> 5.5</w:t>
            </w:r>
          </w:p>
        </w:tc>
        <w:tc>
          <w:tcPr>
            <w:tcW w:w="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216"/>
        </w:trPr>
        <w:tc>
          <w:tcPr>
            <w:tcW w:w="1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w:t>
            </w:r>
            <w:r>
              <w:rPr>
                <w:rFonts w:ascii="Times New Roman" w:cs="Times New Roman" w:eastAsia="Times New Roman" w:hAnsi="Times New Roman"/>
                <w:sz w:val="18"/>
                <w:szCs w:val="18"/>
                <w:color w:val="auto"/>
              </w:rPr>
              <w:t xml:space="preserve"> 5.15</w:t>
            </w:r>
          </w:p>
        </w:tc>
        <w:tc>
          <w:tcPr>
            <w:tcW w:w="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w:t>
            </w:r>
            <w:r>
              <w:rPr>
                <w:rFonts w:ascii="Times New Roman" w:cs="Times New Roman" w:eastAsia="Times New Roman" w:hAnsi="Times New Roman"/>
                <w:sz w:val="18"/>
                <w:szCs w:val="18"/>
                <w:color w:val="auto"/>
              </w:rPr>
              <w:t xml:space="preserve"> 5.18</w:t>
            </w:r>
          </w:p>
        </w:tc>
        <w:tc>
          <w:tcPr>
            <w:tcW w:w="640" w:type="dxa"/>
            <w:vAlign w:val="bottom"/>
            <w:shd w:val="clear" w:color="auto" w:fill="CCEEFF"/>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Environmental Matters</w:t>
            </w:r>
          </w:p>
        </w:tc>
      </w:tr>
      <w:tr>
        <w:trPr>
          <w:trHeight w:val="216"/>
        </w:trPr>
        <w:tc>
          <w:tcPr>
            <w:tcW w:w="1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w:t>
            </w:r>
            <w:r>
              <w:rPr>
                <w:rFonts w:ascii="Times New Roman" w:cs="Times New Roman" w:eastAsia="Times New Roman" w:hAnsi="Times New Roman"/>
                <w:sz w:val="18"/>
                <w:szCs w:val="18"/>
                <w:color w:val="auto"/>
              </w:rPr>
              <w:t xml:space="preserve"> 10.6</w:t>
            </w:r>
          </w:p>
        </w:tc>
        <w:tc>
          <w:tcPr>
            <w:tcW w:w="640" w:type="dxa"/>
            <w:vAlign w:val="bottom"/>
            <w:shd w:val="clear" w:color="auto" w:fill="CCEEFF"/>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w:t>
            </w:r>
            <w:r>
              <w:rPr>
                <w:rFonts w:ascii="Times New Roman" w:cs="Times New Roman" w:eastAsia="Times New Roman" w:hAnsi="Times New Roman"/>
                <w:sz w:val="18"/>
                <w:szCs w:val="18"/>
                <w:color w:val="auto"/>
              </w:rPr>
              <w:t xml:space="preserve"> 14.3</w:t>
            </w:r>
          </w:p>
        </w:tc>
        <w:tc>
          <w:tcPr>
            <w:tcW w:w="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Compliance Certificate</w:t>
            </w:r>
          </w:p>
        </w:tc>
      </w:tr>
      <w:tr>
        <w:trPr>
          <w:trHeight w:val="216"/>
        </w:trPr>
        <w:tc>
          <w:tcPr>
            <w:tcW w:w="1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urchaser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chedule</w:t>
            </w:r>
          </w:p>
        </w:tc>
        <w:tc>
          <w:tcPr>
            <w:tcW w:w="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Information Relating to Purchasers</w:t>
            </w:r>
          </w:p>
        </w:tc>
      </w:tr>
      <w:tr>
        <w:trPr>
          <w:trHeight w:val="557"/>
        </w:trPr>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4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-v-</w:t>
            </w:r>
          </w:p>
        </w:tc>
      </w:tr>
      <w:tr>
        <w:trPr>
          <w:trHeight w:val="44"/>
        </w:trPr>
        <w:tc>
          <w:tcPr>
            <w:tcW w:w="1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8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oro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8111 L</w:t>
      </w:r>
      <w:r>
        <w:rPr>
          <w:rFonts w:ascii="Times New Roman" w:cs="Times New Roman" w:eastAsia="Times New Roman" w:hAnsi="Times New Roman"/>
          <w:sz w:val="12"/>
          <w:szCs w:val="12"/>
          <w:b w:val="1"/>
          <w:bCs w:val="1"/>
          <w:color w:val="auto"/>
        </w:rPr>
        <w:t>yndale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outh</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loomington</w:t>
      </w:r>
      <w:r>
        <w:rPr>
          <w:rFonts w:ascii="Times New Roman" w:cs="Times New Roman" w:eastAsia="Times New Roman" w:hAnsi="Times New Roman"/>
          <w:sz w:val="18"/>
          <w:szCs w:val="18"/>
          <w:b w:val="1"/>
          <w:bCs w:val="1"/>
          <w:color w:val="auto"/>
        </w:rPr>
        <w:t>, MN 55420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$100,000,000 3.97% Senior Notes due June 30, 2032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30,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ach of the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urchasers</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isted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7"/>
          <w:szCs w:val="17"/>
          <w:color w:val="auto"/>
        </w:rPr>
        <w:t>P</w:t>
      </w:r>
      <w:r>
        <w:rPr>
          <w:rFonts w:ascii="Times New Roman" w:cs="Times New Roman" w:eastAsia="Times New Roman" w:hAnsi="Times New Roman"/>
          <w:sz w:val="12"/>
          <w:szCs w:val="12"/>
          <w:color w:val="auto"/>
        </w:rPr>
        <w:t xml:space="preserve">urchaser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chedule </w:t>
      </w:r>
      <w:r>
        <w:rPr>
          <w:rFonts w:ascii="Times New Roman" w:cs="Times New Roman" w:eastAsia="Times New Roman" w:hAnsi="Times New Roman"/>
          <w:sz w:val="17"/>
          <w:szCs w:val="17"/>
          <w:color w:val="auto"/>
        </w:rPr>
        <w:t>H</w:t>
      </w:r>
      <w:r>
        <w:rPr>
          <w:rFonts w:ascii="Times New Roman" w:cs="Times New Roman" w:eastAsia="Times New Roman" w:hAnsi="Times New Roman"/>
          <w:sz w:val="12"/>
          <w:szCs w:val="12"/>
          <w:color w:val="auto"/>
        </w:rPr>
        <w:t>ereto</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Toro Company,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agrees with each of the Purchasers as follows:</w:t>
      </w:r>
    </w:p>
    <w:p>
      <w:pPr>
        <w:spacing w:after="0" w:line="22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w:t>
      </w:r>
      <w:r>
        <w:rPr>
          <w:sz w:val="20"/>
          <w:szCs w:val="20"/>
          <w:color w:val="auto"/>
        </w:rPr>
        <w:tab/>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uthorization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ncremental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everage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1.1. Authorization of Notes </w:t>
      </w:r>
      <w:r>
        <w:rPr>
          <w:rFonts w:ascii="Times New Roman" w:cs="Times New Roman" w:eastAsia="Times New Roman" w:hAnsi="Times New Roman"/>
          <w:sz w:val="18"/>
          <w:szCs w:val="18"/>
          <w:color w:val="auto"/>
        </w:rPr>
        <w:t>The Company will authorize the issue and sale of $100,000,000 aggregate principal amount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3.97% Senior Notes due June 30, 2032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Notes shall be substantially in the form set out in Schedule 1. Certain capitalized and other terms used in this Agreement are defined in Schedule A and, for purposes of this Agreement, the rules of construction set forth in Section 22.4 shall govern.</w:t>
      </w:r>
    </w:p>
    <w:p>
      <w:pPr>
        <w:spacing w:after="0" w:line="394" w:lineRule="exact"/>
        <w:rPr>
          <w:sz w:val="20"/>
          <w:szCs w:val="20"/>
          <w:color w:val="auto"/>
        </w:rPr>
      </w:pPr>
    </w:p>
    <w:p>
      <w:pPr>
        <w:ind w:right="180" w:firstLine="63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Section 1.2. Incremental Leverage Fee. </w:t>
      </w:r>
      <w:r>
        <w:rPr>
          <w:rFonts w:ascii="Times New Roman" w:cs="Times New Roman" w:eastAsia="Times New Roman" w:hAnsi="Times New Roman"/>
          <w:sz w:val="17"/>
          <w:szCs w:val="17"/>
          <w:color w:val="auto"/>
        </w:rPr>
        <w:t>(a) If the Leverage Ratio exceeds 3.50 to 1.00 as permitted by Section 10.7, as evidenced by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Officer’s Certificate delivered pursuant to Section 7.2(a), an incremental leverage fee shall be due on the Notes in an aggregate amount equal to 0.50% of the aggregate outstanding principal amount of the Notes per annum, which shall be due and payable on the Notes as and to the extent provided in Section</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1.2(b) below (the </w:t>
      </w:r>
      <w:r>
        <w:rPr>
          <w:rFonts w:ascii="Times New Roman" w:cs="Times New Roman" w:eastAsia="Times New Roman" w:hAnsi="Times New Roman"/>
          <w:sz w:val="18"/>
          <w:szCs w:val="18"/>
          <w:b w:val="1"/>
          <w:bCs w:val="1"/>
          <w:color w:val="auto"/>
        </w:rPr>
        <w:t>“Incremental Leverage Fee”</w:t>
      </w:r>
      <w:r>
        <w:rPr>
          <w:rFonts w:ascii="Times New Roman" w:cs="Times New Roman" w:eastAsia="Times New Roman" w:hAnsi="Times New Roman"/>
          <w:sz w:val="18"/>
          <w:szCs w:val="18"/>
          <w:color w:val="auto"/>
        </w:rPr>
        <w:t>). Such Incremental Leverage Fee shall begin to accrue on the first day of the fiscal quarter following the fiscal quarter in respect of which such Officer’s Certificate was delivered, and shall continue to accrue until the Company has provided an Officer’s Certificate pursuant to Section 7.2(a) demonstrating that, as of the last day of the fiscal quarter in respect of which such Officer’s Certificate is delivered, the Leverage Ratio is not more than 3.50 to 1.00. In the event such Officer’s Certificate evidencing that the Consolidated Leverage Ratio is not more than 3.50 to 1.00 is delivered, the Incremental Leverage Fee shall cease to accrue on and as of the last day of the fiscal quarter in respect of which such Officer’s Certificate is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5" w:lineRule="exact"/>
        <w:rPr>
          <w:sz w:val="20"/>
          <w:szCs w:val="20"/>
          <w:color w:val="auto"/>
        </w:rPr>
      </w:pPr>
    </w:p>
    <w:p>
      <w:pPr>
        <w:jc w:val="both"/>
        <w:ind w:firstLine="846"/>
        <w:spacing w:after="0" w:line="254" w:lineRule="auto"/>
        <w:tabs>
          <w:tab w:leader="none" w:pos="166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10 Business Days of the delivery of an Officer’s Certificate pursuant to Section 7.2(a) for any fiscal quarter in which the Incremental Leverage Fee accrued, the Company shall pay to each holder of a Note the amount attributable to the Incremental Leverage Fee (the </w:t>
      </w:r>
      <w:r>
        <w:rPr>
          <w:rFonts w:ascii="Times New Roman" w:cs="Times New Roman" w:eastAsia="Times New Roman" w:hAnsi="Times New Roman"/>
          <w:sz w:val="18"/>
          <w:szCs w:val="18"/>
          <w:b w:val="1"/>
          <w:bCs w:val="1"/>
          <w:color w:val="auto"/>
        </w:rPr>
        <w:t>“Incremental Leverage Fee Payment”</w:t>
      </w:r>
      <w:r>
        <w:rPr>
          <w:rFonts w:ascii="Times New Roman" w:cs="Times New Roman" w:eastAsia="Times New Roman" w:hAnsi="Times New Roman"/>
          <w:sz w:val="18"/>
          <w:szCs w:val="18"/>
          <w:color w:val="auto"/>
        </w:rPr>
        <w:t>) which shall be the product of (i) the aggregate outstanding principal amount of Notes held by such holder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predecessor(s) in interest, to the extent of the aggregate outstanding principal amount of Notes transferred by such predecessor(s) in interest to such holder) as of the first day that the Incremental Leverage Fee begins to accrue with respect to the period covered by such Officer’s Certificate, (ii) 0.50% (to reflect the Incremental Leverage Fee) and (iii) 0.25 (to reflect that the Incremental Leverage Fee is payable quarterly). The Incremental Leverage Fee Payment, if any, shall be paid by wire transfer of immediately available funds to each holder of the Notes in accordance with the terms of this Agreement. The Company, the Purchasers and each holder agree that, for purposes of the Code, the Incremental Leverage Fee Payment constitutes additional interest.</w:t>
      </w:r>
    </w:p>
    <w:p>
      <w:pPr>
        <w:spacing w:after="0" w:line="191" w:lineRule="exact"/>
        <w:rPr>
          <w:rFonts w:ascii="Times New Roman" w:cs="Times New Roman" w:eastAsia="Times New Roman" w:hAnsi="Times New Roman"/>
          <w:sz w:val="18"/>
          <w:szCs w:val="18"/>
          <w:color w:val="auto"/>
        </w:rPr>
      </w:pPr>
    </w:p>
    <w:p>
      <w:pPr>
        <w:ind w:left="1320" w:hanging="646"/>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avoidance of doubt, no Incremental Leverage Fee will be used in calculating any Make-Whole Amount.</w:t>
      </w:r>
    </w:p>
    <w:p>
      <w:pPr>
        <w:spacing w:after="0" w:line="22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w:t>
      </w:r>
      <w:r>
        <w:rPr>
          <w:sz w:val="20"/>
          <w:szCs w:val="20"/>
          <w:color w:val="auto"/>
        </w:rPr>
        <w:tab/>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ale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Subject to the terms and conditions of this Agreement, the Company will issue and sell to each Purchaser and each Purchaser will purchase from the Company, at the Closing provided for in Section 3, Notes in the principal amount specified opposite such Purchaser’s name in the Purchaser Schedule at the purchase price of 100% of the principal amount thereof. The Purchasers’ obligations hereunder are several and not joint obligations and no Purchaser shall have any liability to any Person for the performance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performance of any obligation by any other Purchaser hereunder.</w:t>
      </w:r>
    </w:p>
    <w:p>
      <w:pPr>
        <w:spacing w:after="0" w:line="17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w:t>
      </w:r>
      <w:r>
        <w:rPr>
          <w:sz w:val="20"/>
          <w:szCs w:val="20"/>
          <w:color w:val="auto"/>
        </w:rPr>
        <w:tab/>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losing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sale and purchase of the Notes to be purchased by each Purchaser shall occur at the Chapman and Cutler LLP, 320 South Canal Street, Chicago, Illinois 60606 at 10:00 a.m. Central time, at a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on a Business Day on or prior to June 30, 2022 (but in no event prior to April 30, 2022) designated by the Company by written notice to the Purchasers at least five (5) Business Days prior to the Closing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At the Closing the Company will deliver to each Purchaser the Notes to be purchased by such Purchaser in the form of a single Note (or such greater number of Notes in denominations of at least </w:t>
      </w:r>
      <w:r>
        <w:rPr>
          <w:rFonts w:ascii="Times New Roman" w:cs="Times New Roman" w:eastAsia="Times New Roman" w:hAnsi="Times New Roman"/>
          <w:sz w:val="18"/>
          <w:szCs w:val="18"/>
          <w:b w:val="1"/>
          <w:bCs w:val="1"/>
          <w:color w:val="auto"/>
        </w:rPr>
        <w:t>$100,000</w:t>
      </w:r>
      <w:r>
        <w:rPr>
          <w:rFonts w:ascii="Times New Roman" w:cs="Times New Roman" w:eastAsia="Times New Roman" w:hAnsi="Times New Roman"/>
          <w:sz w:val="18"/>
          <w:szCs w:val="18"/>
          <w:color w:val="auto"/>
        </w:rPr>
        <w:t xml:space="preserve"> as such Purchaser may request) dated the date of the Closing and registered in such Purchaser’s name (or in the name of its nominee), against delivery by such Purchaser to the Company or its order of immediately available funds in the amount of the purchase price therefor by wire transfer of immediately available funds for the account of the Company pursuant to wire instructions to be provided to the Purchasers by the Company at least five (5) Business Days prior to the Closing. If at the Closing the Company shall fail to tender such Notes to any Purchaser as provided above in this Section 3, or any of the conditions specified in Section 4 shall not have been fulfilled to such Purchaser’s satisfaction, such Purchaser shall, at its election, be relieved of all further obligations under this Agreement, without thereby waiving any rights such Purchaser may have by reason of such failure by the Company to tender such Notes or any of the conditions specified in Section 4 not having been fulfilled to such Purchaser’s satisfaction.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4.</w:t>
      </w:r>
      <w:r>
        <w:rPr>
          <w:sz w:val="20"/>
          <w:szCs w:val="20"/>
          <w:color w:val="auto"/>
        </w:rPr>
        <w:tab/>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onditions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losing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Purchaser’s obligation to purchase and pay for the Notes to be sold to such Purchaser at the Closing is subject to the fulfillment to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satisfaction, prior to or at the Closing, of the following conditions:</w:t>
      </w:r>
    </w:p>
    <w:p>
      <w:pPr>
        <w:spacing w:after="0" w:line="203" w:lineRule="exact"/>
        <w:rPr>
          <w:sz w:val="20"/>
          <w:szCs w:val="20"/>
          <w:color w:val="auto"/>
        </w:rPr>
      </w:pPr>
    </w:p>
    <w:p>
      <w:pPr>
        <w:jc w:val="both"/>
        <w:ind w:firstLine="776"/>
        <w:spacing w:after="0" w:line="286" w:lineRule="auto"/>
        <w:rPr>
          <w:sz w:val="20"/>
          <w:szCs w:val="20"/>
          <w:color w:val="auto"/>
        </w:rPr>
      </w:pPr>
      <w:r>
        <w:rPr>
          <w:rFonts w:ascii="Times New Roman" w:cs="Times New Roman" w:eastAsia="Times New Roman" w:hAnsi="Times New Roman"/>
          <w:sz w:val="18"/>
          <w:szCs w:val="18"/>
          <w:b w:val="1"/>
          <w:bCs w:val="1"/>
          <w:color w:val="auto"/>
        </w:rPr>
        <w:t>Section 4.1. Representations and Warranties</w:t>
      </w:r>
      <w:r>
        <w:rPr>
          <w:rFonts w:ascii="Times New Roman" w:cs="Times New Roman" w:eastAsia="Times New Roman" w:hAnsi="Times New Roman"/>
          <w:sz w:val="18"/>
          <w:szCs w:val="18"/>
          <w:color w:val="auto"/>
        </w:rPr>
        <w:t>. The representations and warranties of the Company in this Agreement shall be correct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made and at the Closing.</w:t>
      </w:r>
    </w:p>
    <w:p>
      <w:pPr>
        <w:spacing w:after="0" w:line="155" w:lineRule="exact"/>
        <w:rPr>
          <w:sz w:val="20"/>
          <w:szCs w:val="20"/>
          <w:color w:val="auto"/>
        </w:rPr>
      </w:pPr>
    </w:p>
    <w:p>
      <w:pPr>
        <w:jc w:val="both"/>
        <w:ind w:firstLine="645"/>
        <w:spacing w:after="0" w:line="268" w:lineRule="auto"/>
        <w:rPr>
          <w:sz w:val="20"/>
          <w:szCs w:val="20"/>
          <w:color w:val="auto"/>
        </w:rPr>
      </w:pPr>
      <w:r>
        <w:rPr>
          <w:rFonts w:ascii="Times New Roman" w:cs="Times New Roman" w:eastAsia="Times New Roman" w:hAnsi="Times New Roman"/>
          <w:sz w:val="18"/>
          <w:szCs w:val="18"/>
          <w:b w:val="1"/>
          <w:bCs w:val="1"/>
          <w:color w:val="auto"/>
        </w:rPr>
        <w:t>Section 4.2. Performance; No Default</w:t>
      </w:r>
      <w:r>
        <w:rPr>
          <w:rFonts w:ascii="Times New Roman" w:cs="Times New Roman" w:eastAsia="Times New Roman" w:hAnsi="Times New Roman"/>
          <w:sz w:val="18"/>
          <w:szCs w:val="18"/>
          <w:color w:val="auto"/>
        </w:rPr>
        <w:t>. The Company shall have performed and complied with all agreements and conditions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required to be performed or complied with by it prior to or at the Closing. Before and after giving effect to the issue and sale of the Notes (and the application of the proceeds thereof as contemplated by Section 5.14), no Default or Event of Default shall have occurred and be continuing.</w:t>
      </w:r>
    </w:p>
    <w:p>
      <w:pPr>
        <w:spacing w:after="0" w:line="171" w:lineRule="exact"/>
        <w:rPr>
          <w:sz w:val="20"/>
          <w:szCs w:val="20"/>
          <w:color w:val="auto"/>
        </w:rPr>
      </w:pPr>
    </w:p>
    <w:p>
      <w:pPr>
        <w:ind w:left="68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4.3.</w:t>
      </w:r>
      <w:r>
        <w:rPr>
          <w:sz w:val="20"/>
          <w:szCs w:val="20"/>
          <w:color w:val="auto"/>
        </w:rPr>
        <w:tab/>
      </w:r>
      <w:r>
        <w:rPr>
          <w:rFonts w:ascii="Times New Roman" w:cs="Times New Roman" w:eastAsia="Times New Roman" w:hAnsi="Times New Roman"/>
          <w:sz w:val="17"/>
          <w:szCs w:val="17"/>
          <w:b w:val="1"/>
          <w:bCs w:val="1"/>
          <w:color w:val="auto"/>
        </w:rPr>
        <w:t>Compliance Certificates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340" w:firstLine="657"/>
        <w:spacing w:after="0" w:line="284" w:lineRule="auto"/>
        <w:tabs>
          <w:tab w:leader="none" w:pos="18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The Company shall have delivered to such Purchaser an Officer’s Certificate, dated the date of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certifying that the conditions specified in Sections 4.1, 4.2 and 4.9 have been fulfilled.</w:t>
      </w:r>
    </w:p>
    <w:p>
      <w:pPr>
        <w:spacing w:after="0" w:line="158" w:lineRule="exact"/>
        <w:rPr>
          <w:rFonts w:ascii="Times New Roman" w:cs="Times New Roman" w:eastAsia="Times New Roman" w:hAnsi="Times New Roman"/>
          <w:sz w:val="18"/>
          <w:szCs w:val="18"/>
          <w:color w:val="auto"/>
        </w:rPr>
      </w:pPr>
    </w:p>
    <w:p>
      <w:pPr>
        <w:jc w:val="both"/>
        <w:ind w:firstLine="1085"/>
        <w:spacing w:after="0" w:line="267" w:lineRule="auto"/>
        <w:tabs>
          <w:tab w:leader="none" w:pos="182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Secretary’s Certificate</w:t>
      </w:r>
      <w:r>
        <w:rPr>
          <w:rFonts w:ascii="Times New Roman" w:cs="Times New Roman" w:eastAsia="Times New Roman" w:hAnsi="Times New Roman"/>
          <w:sz w:val="18"/>
          <w:szCs w:val="18"/>
          <w:color w:val="auto"/>
        </w:rPr>
        <w:t>. The Company shall have delivered to such Purchaser a certificate of its Secretary or Assistant Secretary,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dated the date of the Closing, certifying as to (i) the resolutions attached thereto and other corporate proceedings relating to the authorization, execution and delivery of the Notes and this Agreement and (ii) the Company’s organizational documents as then in effect.</w:t>
      </w:r>
    </w:p>
    <w:p>
      <w:pPr>
        <w:spacing w:after="0" w:line="171" w:lineRule="exact"/>
        <w:rPr>
          <w:sz w:val="20"/>
          <w:szCs w:val="20"/>
          <w:color w:val="auto"/>
        </w:rPr>
      </w:pPr>
    </w:p>
    <w:p>
      <w:pPr>
        <w:jc w:val="both"/>
        <w:ind w:firstLine="70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4.4. Opinions of Counsel. </w:t>
      </w:r>
      <w:r>
        <w:rPr>
          <w:rFonts w:ascii="Times New Roman" w:cs="Times New Roman" w:eastAsia="Times New Roman" w:hAnsi="Times New Roman"/>
          <w:sz w:val="18"/>
          <w:szCs w:val="18"/>
          <w:color w:val="auto"/>
        </w:rPr>
        <w:t>Such Purchaser shall have received opinions in form and substance satisfactory to such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the date of the Closing (a) from Latham &amp; Watkins LLP, counsel for the Company, covering the matters set forth in Schedule 4.4(a) and covering such other matters incident to the transactions contemplated hereby as such Purchaser or its counsel may reasonably request (and the Company hereby instructs its counsel to deliver such opinion to the Purchasers) and (b) from Chapman and Cutler LLP, the Purchasers’ special counsel in connection with such transactions, substantially in the form set forth in Schedule 4.4(b) and covering such other matters incident to such transactions as such Purchaser may reasonably request.</w:t>
      </w:r>
    </w:p>
    <w:p>
      <w:pPr>
        <w:spacing w:after="0" w:line="182" w:lineRule="exact"/>
        <w:rPr>
          <w:sz w:val="20"/>
          <w:szCs w:val="20"/>
          <w:color w:val="auto"/>
        </w:rPr>
      </w:pPr>
    </w:p>
    <w:p>
      <w:pPr>
        <w:jc w:val="both"/>
        <w:ind w:firstLine="718"/>
        <w:spacing w:after="0" w:line="259" w:lineRule="auto"/>
        <w:rPr>
          <w:sz w:val="20"/>
          <w:szCs w:val="20"/>
          <w:color w:val="auto"/>
        </w:rPr>
      </w:pPr>
      <w:r>
        <w:rPr>
          <w:rFonts w:ascii="Times New Roman" w:cs="Times New Roman" w:eastAsia="Times New Roman" w:hAnsi="Times New Roman"/>
          <w:sz w:val="18"/>
          <w:szCs w:val="18"/>
          <w:b w:val="1"/>
          <w:bCs w:val="1"/>
          <w:color w:val="auto"/>
        </w:rPr>
        <w:t>Section 4.5. Purchase Permitted By Applicable Law, Etc</w:t>
      </w:r>
      <w:r>
        <w:rPr>
          <w:rFonts w:ascii="Times New Roman" w:cs="Times New Roman" w:eastAsia="Times New Roman" w:hAnsi="Times New Roman"/>
          <w:sz w:val="18"/>
          <w:szCs w:val="18"/>
          <w:color w:val="auto"/>
        </w:rPr>
        <w:t>. On the date of the Closing such Purchaser’s purchase of Notes shall (a)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w:t>
      </w:r>
    </w:p>
    <w:p>
      <w:pPr>
        <w:jc w:val="both"/>
        <w:ind w:firstLine="8"/>
        <w:spacing w:after="0" w:line="253" w:lineRule="auto"/>
        <w:tabs>
          <w:tab w:leader="none" w:pos="2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violate any applicable law or regulation (including Regulation T, U or X of the Board of Governors of the Federal Reserve System) and (c) not subject such Purchaser to any tax, penalty or liability under or pursuant to any applicable law or regulation, which law or regulation was not in effect on the date hereof. If requested by such Purchaser at least five Business Days prior to the date of the Closing, such Purchaser shall have received an Officer’s Certificate certifying as to such matters of fact as such Purchaser may reasonably specify to enable such Purchaser to determine whether such purchase is so permitted.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672"/>
        <w:spacing w:after="0" w:line="286" w:lineRule="auto"/>
        <w:rPr>
          <w:sz w:val="20"/>
          <w:szCs w:val="20"/>
          <w:color w:val="auto"/>
        </w:rPr>
      </w:pPr>
      <w:r>
        <w:rPr>
          <w:rFonts w:ascii="Times New Roman" w:cs="Times New Roman" w:eastAsia="Times New Roman" w:hAnsi="Times New Roman"/>
          <w:sz w:val="18"/>
          <w:szCs w:val="18"/>
          <w:b w:val="1"/>
          <w:bCs w:val="1"/>
          <w:color w:val="auto"/>
        </w:rPr>
        <w:t>Section 4.6. Sale of Other Notes</w:t>
      </w:r>
      <w:r>
        <w:rPr>
          <w:rFonts w:ascii="Times New Roman" w:cs="Times New Roman" w:eastAsia="Times New Roman" w:hAnsi="Times New Roman"/>
          <w:sz w:val="18"/>
          <w:szCs w:val="18"/>
          <w:color w:val="auto"/>
        </w:rPr>
        <w:t>. Contemporaneously with the Closing the Company shall sell to each other Purchaser and each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shall purchase the Notes to be purchased by it at the Closing as specified in the Purchaser Schedule.</w:t>
      </w:r>
    </w:p>
    <w:p>
      <w:pPr>
        <w:spacing w:after="0" w:line="155" w:lineRule="exact"/>
        <w:rPr>
          <w:sz w:val="20"/>
          <w:szCs w:val="20"/>
          <w:color w:val="auto"/>
        </w:rPr>
      </w:pPr>
    </w:p>
    <w:p>
      <w:pPr>
        <w:jc w:val="both"/>
        <w:ind w:firstLine="669"/>
        <w:spacing w:after="0" w:line="268" w:lineRule="auto"/>
        <w:rPr>
          <w:sz w:val="20"/>
          <w:szCs w:val="20"/>
          <w:color w:val="auto"/>
        </w:rPr>
      </w:pPr>
      <w:r>
        <w:rPr>
          <w:rFonts w:ascii="Times New Roman" w:cs="Times New Roman" w:eastAsia="Times New Roman" w:hAnsi="Times New Roman"/>
          <w:sz w:val="18"/>
          <w:szCs w:val="18"/>
          <w:b w:val="1"/>
          <w:bCs w:val="1"/>
          <w:color w:val="auto"/>
        </w:rPr>
        <w:t>Section 4.7. Payment of Special Counsel Fees</w:t>
      </w:r>
      <w:r>
        <w:rPr>
          <w:rFonts w:ascii="Times New Roman" w:cs="Times New Roman" w:eastAsia="Times New Roman" w:hAnsi="Times New Roman"/>
          <w:sz w:val="18"/>
          <w:szCs w:val="18"/>
          <w:color w:val="auto"/>
        </w:rPr>
        <w:t>. Without limiting Section 15.1, the Company shall have paid on or before the Closing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and documented fees, charges and disbursements of the Purchasers’ special counsel referred to in Section 4.4 to the extent reflected in a statement of such counsel rendered to the Company at least one Business Day prior to the Closing.</w:t>
      </w:r>
    </w:p>
    <w:p>
      <w:pPr>
        <w:spacing w:after="0" w:line="171" w:lineRule="exact"/>
        <w:rPr>
          <w:sz w:val="20"/>
          <w:szCs w:val="20"/>
          <w:color w:val="auto"/>
        </w:rPr>
      </w:pPr>
    </w:p>
    <w:p>
      <w:pPr>
        <w:jc w:val="both"/>
        <w:ind w:firstLine="621"/>
        <w:spacing w:after="0" w:line="286" w:lineRule="auto"/>
        <w:rPr>
          <w:sz w:val="20"/>
          <w:szCs w:val="20"/>
          <w:color w:val="auto"/>
        </w:rPr>
      </w:pPr>
      <w:r>
        <w:rPr>
          <w:rFonts w:ascii="Times New Roman" w:cs="Times New Roman" w:eastAsia="Times New Roman" w:hAnsi="Times New Roman"/>
          <w:sz w:val="18"/>
          <w:szCs w:val="18"/>
          <w:b w:val="1"/>
          <w:bCs w:val="1"/>
          <w:color w:val="auto"/>
        </w:rPr>
        <w:t>Section 4.8. Private Placement Number</w:t>
      </w:r>
      <w:r>
        <w:rPr>
          <w:rFonts w:ascii="Times New Roman" w:cs="Times New Roman" w:eastAsia="Times New Roman" w:hAnsi="Times New Roman"/>
          <w:sz w:val="18"/>
          <w:szCs w:val="18"/>
          <w:color w:val="auto"/>
        </w:rPr>
        <w:t>. A Private Placement Number issued by Standard &amp; Poor’s CUSIP Service Bureau (in cooperation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SVO) shall have been obtained for the Notes.</w:t>
      </w:r>
    </w:p>
    <w:p>
      <w:pPr>
        <w:spacing w:after="0" w:line="155" w:lineRule="exact"/>
        <w:rPr>
          <w:sz w:val="20"/>
          <w:szCs w:val="20"/>
          <w:color w:val="auto"/>
        </w:rPr>
      </w:pPr>
    </w:p>
    <w:p>
      <w:pPr>
        <w:jc w:val="both"/>
        <w:ind w:firstLine="682"/>
        <w:spacing w:after="0" w:line="268" w:lineRule="auto"/>
        <w:rPr>
          <w:sz w:val="20"/>
          <w:szCs w:val="20"/>
          <w:color w:val="auto"/>
        </w:rPr>
      </w:pPr>
      <w:r>
        <w:rPr>
          <w:rFonts w:ascii="Times New Roman" w:cs="Times New Roman" w:eastAsia="Times New Roman" w:hAnsi="Times New Roman"/>
          <w:sz w:val="18"/>
          <w:szCs w:val="18"/>
          <w:b w:val="1"/>
          <w:bCs w:val="1"/>
          <w:color w:val="auto"/>
        </w:rPr>
        <w:t>Section 4.9. Changes in Corporate Structure</w:t>
      </w:r>
      <w:r>
        <w:rPr>
          <w:rFonts w:ascii="Times New Roman" w:cs="Times New Roman" w:eastAsia="Times New Roman" w:hAnsi="Times New Roman"/>
          <w:sz w:val="18"/>
          <w:szCs w:val="18"/>
          <w:color w:val="auto"/>
        </w:rPr>
        <w:t>. The Company shall not have changed its jurisdiction of incorporation or organization,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or been a party to any merger or consolidation or succeeded to all or any substantial part of the liabilities of any other entity, at any time following the date of the most recent financial statements referred to in Schedule 5.5.</w:t>
      </w:r>
    </w:p>
    <w:p>
      <w:pPr>
        <w:spacing w:after="0" w:line="171" w:lineRule="exact"/>
        <w:rPr>
          <w:sz w:val="20"/>
          <w:szCs w:val="20"/>
          <w:color w:val="auto"/>
        </w:rPr>
      </w:pPr>
    </w:p>
    <w:p>
      <w:pPr>
        <w:jc w:val="both"/>
        <w:ind w:firstLine="669"/>
        <w:spacing w:after="0" w:line="256" w:lineRule="auto"/>
        <w:rPr>
          <w:sz w:val="20"/>
          <w:szCs w:val="20"/>
          <w:color w:val="auto"/>
        </w:rPr>
      </w:pPr>
      <w:r>
        <w:rPr>
          <w:rFonts w:ascii="Times New Roman" w:cs="Times New Roman" w:eastAsia="Times New Roman" w:hAnsi="Times New Roman"/>
          <w:sz w:val="18"/>
          <w:szCs w:val="18"/>
          <w:b w:val="1"/>
          <w:bCs w:val="1"/>
          <w:color w:val="auto"/>
        </w:rPr>
        <w:t>Section 4.10. Funding Instructions</w:t>
      </w:r>
      <w:r>
        <w:rPr>
          <w:rFonts w:ascii="Times New Roman" w:cs="Times New Roman" w:eastAsia="Times New Roman" w:hAnsi="Times New Roman"/>
          <w:sz w:val="18"/>
          <w:szCs w:val="18"/>
          <w:color w:val="auto"/>
        </w:rPr>
        <w:t>. At least five (5) Business Days prior to the Closing Date, each Purchaser shall have received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signed by a Responsible Officer on letterhead of the Company confirming the information specified in Section 3 including (a) the name and address of the transferee bank, (b) such transferee bank’s ABA number/Swift Code/IBAN, and (c) the account name and number into which the purchase price for the Notes is to be deposited, which account shall be fully opened and able to receive micro deposits in accordance with this Section at least five</w:t>
      </w:r>
    </w:p>
    <w:p>
      <w:pPr>
        <w:spacing w:after="0" w:line="3" w:lineRule="exact"/>
        <w:rPr>
          <w:sz w:val="20"/>
          <w:szCs w:val="20"/>
          <w:color w:val="auto"/>
        </w:rPr>
      </w:pPr>
    </w:p>
    <w:p>
      <w:pPr>
        <w:jc w:val="both"/>
        <w:ind w:firstLine="8"/>
        <w:spacing w:after="0" w:line="253" w:lineRule="auto"/>
        <w:tabs>
          <w:tab w:leader="none" w:pos="2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Closing Date. Each Purchaser has the right, but not the obligation, upon written notice (which may be by email) to the Company, to elect to deliver a micro deposit (less than $51.00) to the account identified in the written instructions no later than two (2) Business Days prior to the Closing Date. If a Purchaser delivers a micro deposit, a Responsible Officer must verbally verify the receipt and amount of the micro deposit to such Purchaser on a telephone call initiated by such Purchaser prior to the Closing Date. The Company shall not be obligated to return the amount of the micro deposit, nor will the amount of the micro deposit be netted against the Purchaser’s purchase price of the Notes.</w:t>
      </w:r>
    </w:p>
    <w:p>
      <w:pPr>
        <w:spacing w:after="0" w:line="183" w:lineRule="exact"/>
        <w:rPr>
          <w:sz w:val="20"/>
          <w:szCs w:val="20"/>
          <w:color w:val="auto"/>
        </w:rPr>
      </w:pPr>
    </w:p>
    <w:p>
      <w:pPr>
        <w:jc w:val="both"/>
        <w:ind w:firstLine="669"/>
        <w:spacing w:after="0" w:line="262" w:lineRule="auto"/>
        <w:rPr>
          <w:sz w:val="20"/>
          <w:szCs w:val="20"/>
          <w:color w:val="auto"/>
        </w:rPr>
      </w:pPr>
      <w:r>
        <w:rPr>
          <w:rFonts w:ascii="Times New Roman" w:cs="Times New Roman" w:eastAsia="Times New Roman" w:hAnsi="Times New Roman"/>
          <w:sz w:val="18"/>
          <w:szCs w:val="18"/>
          <w:b w:val="1"/>
          <w:bCs w:val="1"/>
          <w:color w:val="auto"/>
        </w:rPr>
        <w:t>Section 4.11. Proceedings and Documents</w:t>
      </w:r>
      <w:r>
        <w:rPr>
          <w:rFonts w:ascii="Times New Roman" w:cs="Times New Roman" w:eastAsia="Times New Roman" w:hAnsi="Times New Roman"/>
          <w:sz w:val="18"/>
          <w:szCs w:val="18"/>
          <w:color w:val="auto"/>
        </w:rPr>
        <w:t>. All corporate and other proceedings in connection with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all documents and instruments incident to such transactions shall be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789"/>
        <w:spacing w:after="0" w:line="268" w:lineRule="auto"/>
        <w:rPr>
          <w:sz w:val="20"/>
          <w:szCs w:val="20"/>
          <w:color w:val="auto"/>
        </w:rPr>
      </w:pPr>
      <w:r>
        <w:rPr>
          <w:rFonts w:ascii="Times New Roman" w:cs="Times New Roman" w:eastAsia="Times New Roman" w:hAnsi="Times New Roman"/>
          <w:sz w:val="18"/>
          <w:szCs w:val="18"/>
          <w:b w:val="1"/>
          <w:bCs w:val="1"/>
          <w:color w:val="auto"/>
        </w:rPr>
        <w:t>Section 4.12. MFL Notice</w:t>
      </w:r>
      <w:r>
        <w:rPr>
          <w:rFonts w:ascii="Times New Roman" w:cs="Times New Roman" w:eastAsia="Times New Roman" w:hAnsi="Times New Roman"/>
          <w:sz w:val="18"/>
          <w:szCs w:val="18"/>
          <w:color w:val="auto"/>
        </w:rPr>
        <w:t>. The Company shall deliver, or cause to be delivered, to each Purchaser a Most Favored Lender Notice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indicating any More Favorable Covenants which shall be incorporated herein as of the date of Closing pursuant to Section 10.11 hereof, including the text of such More Favorable Covenant and applicable definitions.</w:t>
      </w:r>
    </w:p>
    <w:p>
      <w:pPr>
        <w:spacing w:after="0" w:line="17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5.</w:t>
      </w:r>
      <w:r>
        <w:rPr>
          <w:sz w:val="20"/>
          <w:szCs w:val="20"/>
          <w:color w:val="auto"/>
        </w:rPr>
        <w:tab/>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represents and warrants to each Purchaser that:</w:t>
      </w:r>
    </w:p>
    <w:p>
      <w:pPr>
        <w:spacing w:after="0" w:line="221" w:lineRule="exact"/>
        <w:rPr>
          <w:sz w:val="20"/>
          <w:szCs w:val="20"/>
          <w:color w:val="auto"/>
        </w:rPr>
      </w:pPr>
    </w:p>
    <w:p>
      <w:pPr>
        <w:jc w:val="both"/>
        <w:ind w:firstLine="694"/>
        <w:spacing w:after="0" w:line="257" w:lineRule="auto"/>
        <w:rPr>
          <w:sz w:val="20"/>
          <w:szCs w:val="20"/>
          <w:color w:val="auto"/>
        </w:rPr>
      </w:pPr>
      <w:r>
        <w:rPr>
          <w:rFonts w:ascii="Times New Roman" w:cs="Times New Roman" w:eastAsia="Times New Roman" w:hAnsi="Times New Roman"/>
          <w:sz w:val="18"/>
          <w:szCs w:val="18"/>
          <w:b w:val="1"/>
          <w:bCs w:val="1"/>
          <w:color w:val="auto"/>
        </w:rPr>
        <w:t>Section 5.1. Organization; Power and Authority</w:t>
      </w:r>
      <w:r>
        <w:rPr>
          <w:rFonts w:ascii="Times New Roman" w:cs="Times New Roman" w:eastAsia="Times New Roman" w:hAnsi="Times New Roman"/>
          <w:sz w:val="18"/>
          <w:szCs w:val="18"/>
          <w:color w:val="auto"/>
        </w:rPr>
        <w:t>. The Company is a corporation duly organized, validly existing and in good 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and the Notes and to perform the provisions hereof and thereof.</w:t>
      </w:r>
    </w:p>
    <w:p>
      <w:pPr>
        <w:spacing w:after="0" w:line="182" w:lineRule="exact"/>
        <w:rPr>
          <w:sz w:val="20"/>
          <w:szCs w:val="20"/>
          <w:color w:val="auto"/>
        </w:rPr>
      </w:pPr>
    </w:p>
    <w:p>
      <w:pPr>
        <w:jc w:val="both"/>
        <w:ind w:firstLine="657"/>
        <w:spacing w:after="0" w:line="259" w:lineRule="auto"/>
        <w:rPr>
          <w:sz w:val="20"/>
          <w:szCs w:val="20"/>
          <w:color w:val="auto"/>
        </w:rPr>
      </w:pPr>
      <w:r>
        <w:rPr>
          <w:rFonts w:ascii="Times New Roman" w:cs="Times New Roman" w:eastAsia="Times New Roman" w:hAnsi="Times New Roman"/>
          <w:sz w:val="18"/>
          <w:szCs w:val="18"/>
          <w:b w:val="1"/>
          <w:bCs w:val="1"/>
          <w:color w:val="auto"/>
        </w:rPr>
        <w:t>Section 5.2. Authorization, Etc</w:t>
      </w:r>
      <w:r>
        <w:rPr>
          <w:rFonts w:ascii="Times New Roman" w:cs="Times New Roman" w:eastAsia="Times New Roman" w:hAnsi="Times New Roman"/>
          <w:sz w:val="18"/>
          <w:szCs w:val="18"/>
          <w:color w:val="auto"/>
        </w:rPr>
        <w:t>. This Agreement and the Notes have been duly authorized by all necessary corporate action on the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this Agreement constitutes, and upon execution and delivery thereof each Note will constitute, a legal, valid and binding obligation of the Company enforceable against the Company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7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8"/>
          <w:szCs w:val="18"/>
          <w:b w:val="1"/>
          <w:bCs w:val="1"/>
          <w:color w:val="auto"/>
        </w:rPr>
        <w:t>Section 5.3. Disclosure</w:t>
      </w:r>
      <w:r>
        <w:rPr>
          <w:rFonts w:ascii="Times New Roman" w:cs="Times New Roman" w:eastAsia="Times New Roman" w:hAnsi="Times New Roman"/>
          <w:sz w:val="18"/>
          <w:szCs w:val="18"/>
          <w:color w:val="auto"/>
        </w:rPr>
        <w:t>. The Disclosure Documents fairly describe, in all material respects, the general nature of the business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and its Subsidiaries. This Agreement, the financial statements listed in Schedule 5.5 and the documents, certificates or other writings delivered to the Purchasers by or on behalf of the Company prior to March 25, 2022 in connection with the transactions contemplated hereby and identified in Schedule 5.3 (this Agreement and such documents, certificates or other writings and such financial statements delivered to each Purchaser being referred to, collectively, as the </w:t>
      </w:r>
      <w:r>
        <w:rPr>
          <w:rFonts w:ascii="Times New Roman" w:cs="Times New Roman" w:eastAsia="Times New Roman" w:hAnsi="Times New Roman"/>
          <w:sz w:val="18"/>
          <w:szCs w:val="18"/>
          <w:b w:val="1"/>
          <w:bCs w:val="1"/>
          <w:color w:val="auto"/>
        </w:rPr>
        <w:t>“Disclosure Documents”</w:t>
      </w:r>
      <w:r>
        <w:rPr>
          <w:rFonts w:ascii="Times New Roman" w:cs="Times New Roman" w:eastAsia="Times New Roman" w:hAnsi="Times New Roman"/>
          <w:sz w:val="18"/>
          <w:szCs w:val="18"/>
          <w:color w:val="auto"/>
        </w:rPr>
        <w:t xml:space="preserve">), taken as a whole, do not contain any untrue statement of a material fact or omit to state any material fact necessary to make the statements therein not misleading in light of the circumstances under which they were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projections, estimates and other forward looking information, the Company represents only that such information was prepared in good faith based upon assumptions believed to be reasonable at the time. Except as disclosed in the Disclosure Documents, since October 31, 2021, there has been no change in the financial condition, operations, business, properties of the Company or any Subsidiary except changes that could not, individually or in the aggregate, reasonably be expected to have a Material Adverse Effect. There is no fact known to the Company that could reasonably be expected to have a Material Adverse Effect that has not been set forth herein or in the Disclosure Documents.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696"/>
        <w:spacing w:after="0" w:line="262" w:lineRule="auto"/>
        <w:rPr>
          <w:sz w:val="20"/>
          <w:szCs w:val="20"/>
          <w:color w:val="auto"/>
        </w:rPr>
      </w:pPr>
      <w:r>
        <w:rPr>
          <w:rFonts w:ascii="Times New Roman" w:cs="Times New Roman" w:eastAsia="Times New Roman" w:hAnsi="Times New Roman"/>
          <w:sz w:val="18"/>
          <w:szCs w:val="18"/>
          <w:b w:val="1"/>
          <w:bCs w:val="1"/>
          <w:color w:val="auto"/>
        </w:rPr>
        <w:t>Section 5.4. Organization and Ownership of Shares of Subsidiaries; Affiliates</w:t>
      </w:r>
      <w:r>
        <w:rPr>
          <w:rFonts w:ascii="Times New Roman" w:cs="Times New Roman" w:eastAsia="Times New Roman" w:hAnsi="Times New Roman"/>
          <w:sz w:val="18"/>
          <w:szCs w:val="18"/>
          <w:color w:val="auto"/>
        </w:rPr>
        <w:t>. (a) Schedule 5.4 contains (except as noted therein)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and correct lists of (i) the Company’s Subsidiaries, showing, as to each Subsidiary, the name thereof, the jurisdiction of its organization, the percentage of shares of each class of its capital stock or similar equity interests outstanding owned by the Company and each other Subsidiary and whether such Subsidiary is a Subsidiary Guarantor and (ii) the Company’s directors and senior officers as of the date of this Agreement.</w:t>
      </w:r>
    </w:p>
    <w:p>
      <w:pPr>
        <w:spacing w:after="0" w:line="180" w:lineRule="exact"/>
        <w:rPr>
          <w:sz w:val="20"/>
          <w:szCs w:val="20"/>
          <w:color w:val="auto"/>
        </w:rPr>
      </w:pPr>
    </w:p>
    <w:p>
      <w:pPr>
        <w:jc w:val="both"/>
        <w:ind w:firstLine="733"/>
        <w:spacing w:after="0" w:line="222" w:lineRule="exact"/>
        <w:tabs>
          <w:tab w:leader="none" w:pos="13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shares of capital stock or similar equity interests of each Subsidiary shown in Schedule 5.4 as being owned by the Company and its Subsidiaries have been validly issued, are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 and are owned by the Company or another Subsidiary free and clear of any Lien that is prohibited by this Agreement.</w:t>
      </w:r>
    </w:p>
    <w:p>
      <w:pPr>
        <w:spacing w:after="0" w:line="199" w:lineRule="exact"/>
        <w:rPr>
          <w:rFonts w:ascii="Times New Roman" w:cs="Times New Roman" w:eastAsia="Times New Roman" w:hAnsi="Times New Roman"/>
          <w:sz w:val="18"/>
          <w:szCs w:val="18"/>
          <w:color w:val="auto"/>
        </w:rPr>
      </w:pPr>
    </w:p>
    <w:p>
      <w:pPr>
        <w:jc w:val="both"/>
        <w:ind w:firstLine="749"/>
        <w:spacing w:after="0" w:line="255" w:lineRule="auto"/>
        <w:tabs>
          <w:tab w:leader="none" w:pos="14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is a corporation or other legal entity duly organized, validly existing and, where applicable, in good standing under the laws of its jurisdiction of organization, and is, where applicable, duly qualified as a foreign corporation or other legal entity and, where applicable,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 except to such extent that could not, individually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780"/>
        <w:spacing w:after="0" w:line="266" w:lineRule="auto"/>
        <w:tabs>
          <w:tab w:leader="none" w:pos="148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is subject to any legal, regulatory, contractual or other restriction (other than the agreements listed on Schedule 5.4 and limitations imposed by applicable law rule or regulation) restricting the ability of such Subsidiary to pay dividends out of profits or make any other similar distributions of profits to the Company or any of its Subsidiaries that owns outstanding shares of capital stock or similar equity interests of such Subsidiary.</w:t>
      </w:r>
    </w:p>
    <w:p>
      <w:pPr>
        <w:spacing w:after="0" w:line="172" w:lineRule="exact"/>
        <w:rPr>
          <w:sz w:val="20"/>
          <w:szCs w:val="20"/>
          <w:color w:val="auto"/>
        </w:rPr>
      </w:pPr>
    </w:p>
    <w:p>
      <w:pPr>
        <w:jc w:val="both"/>
        <w:ind w:firstLine="690"/>
        <w:spacing w:after="0" w:line="220" w:lineRule="exact"/>
        <w:rPr>
          <w:sz w:val="20"/>
          <w:szCs w:val="20"/>
          <w:color w:val="auto"/>
        </w:rPr>
      </w:pPr>
      <w:r>
        <w:rPr>
          <w:rFonts w:ascii="Times New Roman" w:cs="Times New Roman" w:eastAsia="Times New Roman" w:hAnsi="Times New Roman"/>
          <w:sz w:val="18"/>
          <w:szCs w:val="18"/>
          <w:b w:val="1"/>
          <w:bCs w:val="1"/>
          <w:color w:val="auto"/>
        </w:rPr>
        <w:t>Section 5.5. Financial Statements; Material Liabilities</w:t>
      </w:r>
      <w:r>
        <w:rPr>
          <w:rFonts w:ascii="Times New Roman" w:cs="Times New Roman" w:eastAsia="Times New Roman" w:hAnsi="Times New Roman"/>
          <w:sz w:val="18"/>
          <w:szCs w:val="18"/>
          <w:color w:val="auto"/>
        </w:rPr>
        <w:t>. The Company has delivered to each Purchaser copies of the 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and its Subsidiaries listed on Schedule 5.5 (it being understood the filing of such financial statements with the EDGAR filing system on the Securities and Exchange Commission website constitutes delivery). All of such financial statements (including in each case the related schedules and notes) fairly present in all material respects the consolidated financial position of the Company and its Subsidiaries as of the respective dates specified in such Schedule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adjustments). The Company and its Subsidiaries do not have any Material liabilities that are not disclosed in the Disclosure Documents.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815"/>
        <w:spacing w:after="0" w:line="219" w:lineRule="exact"/>
        <w:rPr>
          <w:sz w:val="20"/>
          <w:szCs w:val="20"/>
          <w:color w:val="auto"/>
        </w:rPr>
      </w:pPr>
      <w:r>
        <w:rPr>
          <w:rFonts w:ascii="Times New Roman" w:cs="Times New Roman" w:eastAsia="Times New Roman" w:hAnsi="Times New Roman"/>
          <w:sz w:val="18"/>
          <w:szCs w:val="18"/>
          <w:b w:val="1"/>
          <w:bCs w:val="1"/>
          <w:color w:val="auto"/>
        </w:rPr>
        <w:t>Section 5.6. Compliance with Laws, Other Instruments, Etc</w:t>
      </w:r>
      <w:r>
        <w:rPr>
          <w:rFonts w:ascii="Times New Roman" w:cs="Times New Roman" w:eastAsia="Times New Roman" w:hAnsi="Times New Roman"/>
          <w:sz w:val="18"/>
          <w:szCs w:val="18"/>
          <w:color w:val="auto"/>
        </w:rPr>
        <w:t>. The execution, delivery and performance by the Company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Notes will not (i) contravene, result in any breach of, or constitute a default under, or result in the creation of any Lien in respect of any property of the Company or any Subsidiary under, any indenture, mortgage, deed of trust, loan, purchase or credit agreement, lease, corporate charter, regulations or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shareholders agreement or any other agreement or instrument to which the Company or any Subsidiary is bound or by which the Company or any Subsidiary or any of their respective properties may be bound or affected, except as would not be Material, (ii) conflict with or result in a breach of any of the terms, conditions or provisions of any order, judgment, decree or ruling of any court, arbitrator or Governmental Authority applicable to the Company or any Subsidiary or (iii) violate any provision of any statute or other rule or regulation of any Governmental Authority applicable to the Company or any Subsidiary.</w:t>
      </w:r>
    </w:p>
    <w:p>
      <w:pPr>
        <w:spacing w:after="0" w:line="198"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8"/>
          <w:szCs w:val="18"/>
          <w:b w:val="1"/>
          <w:bCs w:val="1"/>
          <w:color w:val="auto"/>
        </w:rPr>
        <w:t>Section 5.7. Governmental Authorizations, Etc</w:t>
      </w:r>
      <w:r>
        <w:rPr>
          <w:rFonts w:ascii="Times New Roman" w:cs="Times New Roman" w:eastAsia="Times New Roman" w:hAnsi="Times New Roman"/>
          <w:sz w:val="18"/>
          <w:szCs w:val="18"/>
          <w:color w:val="auto"/>
        </w:rPr>
        <w:t>. No consent, approval or authorization of, or registration, filing or declaration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Authority is required in connection with the execution, delivery or performance by the Company of this Agreement or the Notes, except for any Form 8-K filing that is required by the Company upon execution of this Agreement or other filings with the SEC to comply with the Company’s disclosure obligations under the Exchange Act.</w:t>
      </w:r>
    </w:p>
    <w:p>
      <w:pPr>
        <w:spacing w:after="0" w:line="176"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8"/>
          <w:szCs w:val="18"/>
          <w:b w:val="1"/>
          <w:bCs w:val="1"/>
          <w:color w:val="auto"/>
        </w:rPr>
        <w:t>Section 5.8. Litigation; Observance of Agreements, Statutes and Orders</w:t>
      </w:r>
      <w:r>
        <w:rPr>
          <w:rFonts w:ascii="Times New Roman" w:cs="Times New Roman" w:eastAsia="Times New Roman" w:hAnsi="Times New Roman"/>
          <w:sz w:val="18"/>
          <w:szCs w:val="18"/>
          <w:color w:val="auto"/>
        </w:rPr>
        <w:t>. (a) There are no actions, suits, investigations or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pending or, to the best knowledge of the Company, threatened in writing against or affecting the Company or any Subsidiary or any property of the Company or any Subsidiary in any court or before any arbitrator of any kind or before or by any Governmental Authority that could, individually or in the aggregate, reasonably be expected to have a Material Adverse Effect.</w:t>
      </w:r>
    </w:p>
    <w:p>
      <w:pPr>
        <w:spacing w:after="0" w:line="180" w:lineRule="exact"/>
        <w:rPr>
          <w:sz w:val="20"/>
          <w:szCs w:val="20"/>
          <w:color w:val="auto"/>
        </w:rPr>
      </w:pPr>
    </w:p>
    <w:p>
      <w:pPr>
        <w:jc w:val="both"/>
        <w:ind w:firstLine="837"/>
        <w:spacing w:after="0" w:line="258" w:lineRule="auto"/>
        <w:tabs>
          <w:tab w:leader="none" w:pos="15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(i) in default under any agreement or instrument to which it is a party or by which it is bound, (ii) in violation of any order, judgment, decree or ruling of any court, any arbitrator of any kind or any Governmental Authority or (iii) in violation of any applicable law, ordinance, rule or regulation of any Governmental Authority (including Environmental Laws, the USA PATRIOT Act or any of the other laws and regulations that are referred to in Section 5.16), which default or violation could, individually or in the aggregate, reasonably be expected to have a Material Adverse Effect.</w:t>
      </w:r>
    </w:p>
    <w:p>
      <w:pPr>
        <w:spacing w:after="0" w:line="179" w:lineRule="exact"/>
        <w:rPr>
          <w:sz w:val="20"/>
          <w:szCs w:val="20"/>
          <w:color w:val="auto"/>
        </w:rPr>
      </w:pPr>
    </w:p>
    <w:p>
      <w:pPr>
        <w:jc w:val="both"/>
        <w:ind w:firstLine="657"/>
        <w:spacing w:after="0" w:line="254" w:lineRule="auto"/>
        <w:rPr>
          <w:sz w:val="20"/>
          <w:szCs w:val="20"/>
          <w:color w:val="auto"/>
        </w:rPr>
      </w:pPr>
      <w:r>
        <w:rPr>
          <w:rFonts w:ascii="Times New Roman" w:cs="Times New Roman" w:eastAsia="Times New Roman" w:hAnsi="Times New Roman"/>
          <w:sz w:val="18"/>
          <w:szCs w:val="18"/>
          <w:b w:val="1"/>
          <w:bCs w:val="1"/>
          <w:color w:val="auto"/>
        </w:rPr>
        <w:t>Section 5.9. Taxes</w:t>
      </w:r>
      <w:r>
        <w:rPr>
          <w:rFonts w:ascii="Times New Roman" w:cs="Times New Roman" w:eastAsia="Times New Roman" w:hAnsi="Times New Roman"/>
          <w:sz w:val="18"/>
          <w:szCs w:val="18"/>
          <w:color w:val="auto"/>
        </w:rPr>
        <w:t>. The Company and its Subsidiaries have filed all tax returns that are required to have been filed in any jurisdiction,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paid all 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(i) the amount of which, individually or in the aggregate, is not Material or (ii) the amount, applicability or validity of which is currently being contested in good faith by appropriate proceedings and with respect to which the Company or a Subsidiary, as the case may be, has established adequate reserves in accordance with GAAP. The Company knows of no basis for any other tax or assessment that could, individually or in the aggregate, reasonably be expected to have a Material Adverse Effect. The charges, accruals and reserves on the books of the Company and its Subsidiaries in respect of U.S. federal, state or other taxes for all fiscal periods are adequate. The U.S. federal income tax liabilities of the Company and its Subsidiaries have been finally determined (whether by reason of completed audits or the statute of limitations having run) for all fiscal years up to and including the fiscal year ended October 31, 2018.</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672"/>
        <w:spacing w:after="0" w:line="259" w:lineRule="auto"/>
        <w:rPr>
          <w:sz w:val="20"/>
          <w:szCs w:val="20"/>
          <w:color w:val="auto"/>
        </w:rPr>
      </w:pPr>
      <w:r>
        <w:rPr>
          <w:rFonts w:ascii="Times New Roman" w:cs="Times New Roman" w:eastAsia="Times New Roman" w:hAnsi="Times New Roman"/>
          <w:sz w:val="18"/>
          <w:szCs w:val="18"/>
          <w:b w:val="1"/>
          <w:bCs w:val="1"/>
          <w:color w:val="auto"/>
        </w:rPr>
        <w:t>Section 5.10. Title to Property; Leases</w:t>
      </w:r>
      <w:r>
        <w:rPr>
          <w:rFonts w:ascii="Times New Roman" w:cs="Times New Roman" w:eastAsia="Times New Roman" w:hAnsi="Times New Roman"/>
          <w:sz w:val="18"/>
          <w:szCs w:val="18"/>
          <w:color w:val="auto"/>
        </w:rPr>
        <w:t>. The Company and its Subsidiaries have good and sufficient title to their respective properties,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all such properties reflected in the most recent audited balance sheet referred to in Section 5.5 or purported to have been acquired by the Company or any Subsidiary after such date (except as sold or otherwise disposed of in the ordinary course of business), except for those defects in title that could not, individually or in the aggregate, reasonably be expected have a Material Adverse Effect, in each case free and clear of Liens prohibited by this Agreement. All leases that individually or in the aggregate are Material are valid and subsisting and are in full force and effect in all material respects.</w:t>
      </w:r>
    </w:p>
    <w:p>
      <w:pPr>
        <w:spacing w:after="0" w:line="179" w:lineRule="exact"/>
        <w:rPr>
          <w:sz w:val="20"/>
          <w:szCs w:val="20"/>
          <w:color w:val="auto"/>
        </w:rPr>
      </w:pPr>
    </w:p>
    <w:p>
      <w:pPr>
        <w:jc w:val="both"/>
        <w:ind w:firstLine="767"/>
        <w:spacing w:after="0" w:line="259" w:lineRule="auto"/>
        <w:rPr>
          <w:sz w:val="20"/>
          <w:szCs w:val="20"/>
          <w:color w:val="auto"/>
        </w:rPr>
      </w:pPr>
      <w:r>
        <w:rPr>
          <w:rFonts w:ascii="Times New Roman" w:cs="Times New Roman" w:eastAsia="Times New Roman" w:hAnsi="Times New Roman"/>
          <w:sz w:val="18"/>
          <w:szCs w:val="18"/>
          <w:b w:val="1"/>
          <w:bCs w:val="1"/>
          <w:color w:val="auto"/>
        </w:rPr>
        <w:t>Section 5.11. Licenses, Permits, Etc</w:t>
      </w:r>
      <w:r>
        <w:rPr>
          <w:rFonts w:ascii="Times New Roman" w:cs="Times New Roman" w:eastAsia="Times New Roman" w:hAnsi="Times New Roman"/>
          <w:sz w:val="18"/>
          <w:szCs w:val="18"/>
          <w:color w:val="auto"/>
        </w:rPr>
        <w:t>. (a) The Company and its Subsidiaries own, license, possess or otherwise have the right to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licenses, permits, franchises, authorizations, patents, copyrights, proprietary software, service marks, trademarks and trade names, or rights thereto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that individually or in the aggregate are Material. Except as could not, individually or in the aggregate, reasonably be expected to have a Material Adverse Effect, the Company’s and its Subsidiaries’ ownership, license, possession or other right to use Intellectual Property is without known conflict with the rights of others.</w:t>
      </w:r>
    </w:p>
    <w:p>
      <w:pPr>
        <w:spacing w:after="0" w:line="183" w:lineRule="exact"/>
        <w:rPr>
          <w:sz w:val="20"/>
          <w:szCs w:val="20"/>
          <w:color w:val="auto"/>
        </w:rPr>
      </w:pPr>
    </w:p>
    <w:p>
      <w:pPr>
        <w:jc w:val="both"/>
        <w:ind w:firstLine="904"/>
        <w:spacing w:after="0" w:line="266" w:lineRule="auto"/>
        <w:tabs>
          <w:tab w:leader="none" w:pos="172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product or service of the Company or any of its Subsidiaries infringes in any material respect any license, permit, franchise, authorization, patent, copyright, proprietary software, service mark, trademark, trade name or other right owned by any other Person that could, individually or in the aggregate, reasonably be expected have a Material Adverse Effect.</w:t>
      </w:r>
    </w:p>
    <w:p>
      <w:pPr>
        <w:spacing w:after="0" w:line="175" w:lineRule="exact"/>
        <w:rPr>
          <w:rFonts w:ascii="Times New Roman" w:cs="Times New Roman" w:eastAsia="Times New Roman" w:hAnsi="Times New Roman"/>
          <w:sz w:val="18"/>
          <w:szCs w:val="18"/>
          <w:color w:val="auto"/>
        </w:rPr>
      </w:pPr>
    </w:p>
    <w:p>
      <w:pPr>
        <w:jc w:val="both"/>
        <w:ind w:firstLine="771"/>
        <w:spacing w:after="0" w:line="266" w:lineRule="auto"/>
        <w:tabs>
          <w:tab w:leader="none" w:pos="1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violation by any Person of any right of the Company or any of its Subsidiaries with respect to any license, permit, franchise, authorization, patent, copyright, proprietary software, service mark, trademark, trade name or other right owned or used by the Company or any of its Subsidiaries that could, individually or in the aggregate, reasonably be expected have a Material Adverse Effect.</w:t>
      </w:r>
    </w:p>
    <w:p>
      <w:pPr>
        <w:spacing w:after="0" w:line="172" w:lineRule="exact"/>
        <w:rPr>
          <w:sz w:val="20"/>
          <w:szCs w:val="20"/>
          <w:color w:val="auto"/>
        </w:rPr>
      </w:pPr>
    </w:p>
    <w:p>
      <w:pPr>
        <w:jc w:val="both"/>
        <w:ind w:firstLine="752"/>
        <w:spacing w:after="0" w:line="254" w:lineRule="auto"/>
        <w:rPr>
          <w:sz w:val="20"/>
          <w:szCs w:val="20"/>
          <w:color w:val="auto"/>
        </w:rPr>
      </w:pPr>
      <w:r>
        <w:rPr>
          <w:rFonts w:ascii="Times New Roman" w:cs="Times New Roman" w:eastAsia="Times New Roman" w:hAnsi="Times New Roman"/>
          <w:sz w:val="18"/>
          <w:szCs w:val="18"/>
          <w:b w:val="1"/>
          <w:bCs w:val="1"/>
          <w:color w:val="auto"/>
        </w:rPr>
        <w:t>Section 5.12. Compliance with Employee Benefit Plans</w:t>
      </w:r>
      <w:r>
        <w:rPr>
          <w:rFonts w:ascii="Times New Roman" w:cs="Times New Roman" w:eastAsia="Times New Roman" w:hAnsi="Times New Roman"/>
          <w:sz w:val="18"/>
          <w:szCs w:val="18"/>
          <w:color w:val="auto"/>
        </w:rPr>
        <w:t>. (a) The Company and each ERISA Affiliate have operated and administered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Plan in compliance with all applicable laws except for such instances of noncompliance as have not resulted in and could not, individually or in the aggregate, reasonably be expected to result in a Material Adverse Effect. Except for such liabilities and Liens as could not, individually or in the aggregate,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could, individually or in the aggregate,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section 430(k) of the Code or to any such penalty or excise tax provisions under the Code or federal law or section 4068 of ERISA or by the granting of a security interest in connection with the amendment of a Plan.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5" w:lineRule="exact"/>
        <w:rPr>
          <w:sz w:val="20"/>
          <w:szCs w:val="20"/>
          <w:color w:val="auto"/>
        </w:rPr>
      </w:pPr>
    </w:p>
    <w:p>
      <w:pPr>
        <w:jc w:val="both"/>
        <w:ind w:firstLine="775"/>
        <w:spacing w:after="0" w:line="219" w:lineRule="exact"/>
        <w:tabs>
          <w:tab w:leader="none" w:pos="143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individually or in the aggregate, reasonably be expected to result in a Material Adverse Effect, (i) the present value of the aggregate benefit liabilities under each of the Plans (other than Multiemployer Plans), determined as of the end of each such Plan’s most recently ended plan year on the basis of the actuarial assumptions specified for funding purposes in such Plan’s most recent actuarial valuation report, did not exceed the aggregate current value of the assets of such Plan allocable to such benefit liabilities and (ii) the present value of the accrued benefit liabilities (whether or not vested) under each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Plan that is funded, determined as of the end of the Company’s most recently ended fiscal year on the basis of reasonable actuarial assumptions, did not exceed the current value of the assets of such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U.S. Plan allocable to such benefit liabilities. The term </w:t>
      </w:r>
      <w:r>
        <w:rPr>
          <w:rFonts w:ascii="Times New Roman" w:cs="Times New Roman" w:eastAsia="Times New Roman" w:hAnsi="Times New Roman"/>
          <w:sz w:val="18"/>
          <w:szCs w:val="18"/>
          <w:b w:val="1"/>
          <w:bCs w:val="1"/>
          <w:color w:val="auto"/>
        </w:rPr>
        <w:t xml:space="preserve">“benefit liabilities” </w:t>
      </w:r>
      <w:r>
        <w:rPr>
          <w:rFonts w:ascii="Times New Roman" w:cs="Times New Roman" w:eastAsia="Times New Roman" w:hAnsi="Times New Roman"/>
          <w:sz w:val="18"/>
          <w:szCs w:val="18"/>
          <w:color w:val="auto"/>
        </w:rPr>
        <w:t>has the meaning specified in section 4001 of ERISA and the terms</w:t>
      </w:r>
      <w:r>
        <w:rPr>
          <w:rFonts w:ascii="Times New Roman" w:cs="Times New Roman" w:eastAsia="Times New Roman" w:hAnsi="Times New Roman"/>
          <w:sz w:val="18"/>
          <w:szCs w:val="18"/>
          <w:b w:val="1"/>
          <w:bCs w:val="1"/>
          <w:color w:val="auto"/>
        </w:rPr>
        <w:t xml:space="preserve"> “current value”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“present value” </w:t>
      </w:r>
      <w:r>
        <w:rPr>
          <w:rFonts w:ascii="Times New Roman" w:cs="Times New Roman" w:eastAsia="Times New Roman" w:hAnsi="Times New Roman"/>
          <w:sz w:val="18"/>
          <w:szCs w:val="18"/>
          <w:color w:val="auto"/>
        </w:rPr>
        <w:t>have the meaning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section 3 of ERISA.</w:t>
      </w:r>
    </w:p>
    <w:p>
      <w:pPr>
        <w:spacing w:after="0" w:line="198" w:lineRule="exact"/>
        <w:rPr>
          <w:rFonts w:ascii="Times New Roman" w:cs="Times New Roman" w:eastAsia="Times New Roman" w:hAnsi="Times New Roman"/>
          <w:sz w:val="18"/>
          <w:szCs w:val="18"/>
          <w:color w:val="auto"/>
        </w:rPr>
      </w:pPr>
    </w:p>
    <w:p>
      <w:pPr>
        <w:jc w:val="both"/>
        <w:ind w:firstLine="809"/>
        <w:spacing w:after="0" w:line="266" w:lineRule="auto"/>
        <w:tabs>
          <w:tab w:leader="none" w:pos="14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individually or in the aggregate reasonably be expected to result in a Material Adverse Effect, the Company and its ERISA Affiliates have not incurred (i) withdrawal liabilities (and are not subject to contingent withdrawal liabilities) under section 4201 or 4204 of ERISA in respect of Multiemployer Plans or (ii) any obligation in connection with the termination of or withdrawal from any Non-U.S. Plan.</w:t>
      </w:r>
    </w:p>
    <w:p>
      <w:pPr>
        <w:spacing w:after="0" w:line="175" w:lineRule="exact"/>
        <w:rPr>
          <w:rFonts w:ascii="Times New Roman" w:cs="Times New Roman" w:eastAsia="Times New Roman" w:hAnsi="Times New Roman"/>
          <w:sz w:val="18"/>
          <w:szCs w:val="18"/>
          <w:color w:val="auto"/>
        </w:rPr>
      </w:pPr>
    </w:p>
    <w:p>
      <w:pPr>
        <w:jc w:val="both"/>
        <w:ind w:firstLine="837"/>
        <w:spacing w:after="0" w:line="220" w:lineRule="exact"/>
        <w:tabs>
          <w:tab w:leader="none" w:pos="1547" w:val="left"/>
        </w:tabs>
        <w:numPr>
          <w:ilvl w:val="3"/>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do not have any postretirement benefit obligation (determined as of the last day of the Company’s most recently ended fiscal year in accordance with Financial Accounting Standards Board Accounting Standards Codification Topic 715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60, without regard to liabilities attributable to continuation coverage mandated by section 4980B of the Code) of the Company and its Subsidiaries, except as could not, individually or in the aggregate, reasonably be expected to result in a Material Adverse Effect.</w:t>
      </w:r>
    </w:p>
    <w:p>
      <w:pPr>
        <w:spacing w:after="0" w:line="200" w:lineRule="exact"/>
        <w:rPr>
          <w:rFonts w:ascii="Times New Roman" w:cs="Times New Roman" w:eastAsia="Times New Roman" w:hAnsi="Times New Roman"/>
          <w:sz w:val="18"/>
          <w:szCs w:val="18"/>
          <w:color w:val="auto"/>
        </w:rPr>
      </w:pPr>
    </w:p>
    <w:p>
      <w:pPr>
        <w:jc w:val="both"/>
        <w:ind w:firstLine="810"/>
        <w:spacing w:after="0" w:line="220" w:lineRule="exact"/>
        <w:tabs>
          <w:tab w:leader="none" w:pos="1487"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issuance and sale of the Notes hereunder will not involve any transaction that is subject to the prohibitions of section 406 of ERISA or in connection with which a tax could be imposed pursuant to section 4975(c)(1)(A)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 of the Code. The representation by the Company to each Purchaser in the first sentence of this Section 5.12(e) is made in reliance upon and subject to the accuracy of such Purchaser’s representation in Section 6.2 as to the sources of the funds to be used to pay the purchase price of the Notes to be purchased by such Purchaser.</w:t>
      </w:r>
    </w:p>
    <w:p>
      <w:pPr>
        <w:spacing w:after="0" w:line="172" w:lineRule="exact"/>
        <w:rPr>
          <w:rFonts w:ascii="Times New Roman" w:cs="Times New Roman" w:eastAsia="Times New Roman" w:hAnsi="Times New Roman"/>
          <w:sz w:val="18"/>
          <w:szCs w:val="18"/>
          <w:color w:val="auto"/>
        </w:rPr>
      </w:pPr>
    </w:p>
    <w:p>
      <w:pPr>
        <w:jc w:val="both"/>
        <w:ind w:firstLine="801"/>
        <w:spacing w:after="0" w:line="228" w:lineRule="exact"/>
        <w:tabs>
          <w:tab w:leader="none" w:pos="1487"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Plans have been established, operated, administered and maintained in compliance with all laws, regulations and orders applicable thereto, except where failure so to comply could not be reasonably expected to have a Material Adverse Effect. All premiums, contributions and any other amounts required by applicable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Plan documents or applicable laws to be paid or accrued by the Company and its Subsidiaries have been paid or accrued as required, except where failure so to pay or accrue could not be reasonably expected to have a Material Adverse Effect.</w:t>
      </w:r>
    </w:p>
    <w:p>
      <w:pPr>
        <w:spacing w:after="0" w:line="194"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8"/>
          <w:szCs w:val="18"/>
          <w:b w:val="1"/>
          <w:bCs w:val="1"/>
          <w:color w:val="auto"/>
        </w:rPr>
        <w:t>Section 5.13. Private Offering by the Company</w:t>
      </w:r>
      <w:r>
        <w:rPr>
          <w:rFonts w:ascii="Times New Roman" w:cs="Times New Roman" w:eastAsia="Times New Roman" w:hAnsi="Times New Roman"/>
          <w:sz w:val="18"/>
          <w:szCs w:val="18"/>
          <w:color w:val="auto"/>
        </w:rPr>
        <w:t>. Neither the Company nor anyone acting on its behalf has offered the Notes or any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for sale to, or solicited any offer to buy the Notes or any similar Securities from, or otherwise approached or negotiated in respect thereof with, any Person other than the Purchasers and not more than five (5) other Institutional Investors, each of which has been offered the Notes at a private sale for investment. Neither the Company nor anyone acting on its behalf has taken, or will take, any action that would subject the issuance or sale of the Notes to the registration requirements of section 5 of the Securities Act or to the registration requirements of any Securities or blue sky laws of any applicable jurisdiction.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660"/>
        <w:spacing w:after="0" w:line="255" w:lineRule="auto"/>
        <w:rPr>
          <w:sz w:val="20"/>
          <w:szCs w:val="20"/>
          <w:color w:val="auto"/>
        </w:rPr>
      </w:pPr>
      <w:r>
        <w:rPr>
          <w:rFonts w:ascii="Times New Roman" w:cs="Times New Roman" w:eastAsia="Times New Roman" w:hAnsi="Times New Roman"/>
          <w:sz w:val="18"/>
          <w:szCs w:val="18"/>
          <w:b w:val="1"/>
          <w:bCs w:val="1"/>
          <w:color w:val="auto"/>
        </w:rPr>
        <w:t>Section 5.14. Use of Proceeds; Margin Regulations</w:t>
      </w:r>
      <w:r>
        <w:rPr>
          <w:rFonts w:ascii="Times New Roman" w:cs="Times New Roman" w:eastAsia="Times New Roman" w:hAnsi="Times New Roman"/>
          <w:sz w:val="18"/>
          <w:szCs w:val="18"/>
          <w:color w:val="auto"/>
        </w:rPr>
        <w:t>. The Company will apply the proceeds of the sale of the Notes hereunder to repay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indebtedness originally incurred under the 2021 Credit Agreement and for general corporate purposes.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3% of the value of the consolidated assets of the Company and its Subsidiaries and the Company does not have any present intention that margin stock will constitute more than 3% of the value of such assets. As used in this Section, the terms </w:t>
      </w:r>
      <w:r>
        <w:rPr>
          <w:rFonts w:ascii="Times New Roman" w:cs="Times New Roman" w:eastAsia="Times New Roman" w:hAnsi="Times New Roman"/>
          <w:sz w:val="18"/>
          <w:szCs w:val="18"/>
          <w:b w:val="1"/>
          <w:bCs w:val="1"/>
          <w:color w:val="auto"/>
        </w:rPr>
        <w:t xml:space="preserve">“margin stock”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“purpose of buying or carrying” </w:t>
      </w:r>
      <w:r>
        <w:rPr>
          <w:rFonts w:ascii="Times New Roman" w:cs="Times New Roman" w:eastAsia="Times New Roman" w:hAnsi="Times New Roman"/>
          <w:sz w:val="18"/>
          <w:szCs w:val="18"/>
          <w:color w:val="auto"/>
        </w:rPr>
        <w:t>shall have the meanings assigned to them in said Regulation U.</w:t>
      </w:r>
    </w:p>
    <w:p>
      <w:pPr>
        <w:spacing w:after="0" w:line="185"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5.15. Existing Indebtedness; Future Liens. </w:t>
      </w:r>
      <w:r>
        <w:rPr>
          <w:rFonts w:ascii="Times New Roman" w:cs="Times New Roman" w:eastAsia="Times New Roman" w:hAnsi="Times New Roman"/>
          <w:sz w:val="18"/>
          <w:szCs w:val="18"/>
          <w:color w:val="auto"/>
        </w:rPr>
        <w:t>(a) Except as described therein, Schedule 5.15 sets forth a complete and correct list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outstanding Indebtedness (other than (i) intercompany Indebtedness and (ii) Indebtedness with an aggregate principal amount of less than $5,000,000) of the Company and its Subsidiaries as of June 15, 2022 (including descriptions of the obligors and obligees (or the agent, trustee or other entity acting in a similar capacity on behalf of the obligees), principal amounts outstanding, any collateral therefor and any Guaranty thereof), since which date there has been no Material change in the amounts, interest rates, sinking funds, installment payments or maturities of the Indebtedness of the Company or its Subsidiaries. Neither the Company nor any Subsidiary is in default and no waiver of default is currently in effect, in the payment of any principal or interest on any Indebtedness of the Company or such Subsidiary and no event or condition exists with respect to any Indebtedness of the Company or any Subsidiary that would permit (or that with notice or the lapse of time, or both, would permit) one or more Persons to cause such Indebtedness to become due and payable before its stated maturity or before its regularly scheduled dates of payment.</w:t>
      </w:r>
    </w:p>
    <w:p>
      <w:pPr>
        <w:spacing w:after="0" w:line="192" w:lineRule="exact"/>
        <w:rPr>
          <w:sz w:val="20"/>
          <w:szCs w:val="20"/>
          <w:color w:val="auto"/>
        </w:rPr>
      </w:pPr>
    </w:p>
    <w:p>
      <w:pPr>
        <w:jc w:val="both"/>
        <w:ind w:firstLine="854"/>
        <w:spacing w:after="0" w:line="261" w:lineRule="auto"/>
        <w:tabs>
          <w:tab w:leader="none" w:pos="15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5.15, neither the Company nor any Subsidiary has agreed or consented to cause or permit any of its property, whether now owned or hereafter acquired, to be subject to a Lien that secures Indebtedness for borrowed money or to cause or permit in the future (upon the happening of a contingency or otherwise) any of its property, whether now owned or hereafter acquired, to be subject to a Lien that secures Indebtedness for borrowed money.</w:t>
      </w:r>
    </w:p>
    <w:p>
      <w:pPr>
        <w:spacing w:after="0" w:line="179" w:lineRule="exact"/>
        <w:rPr>
          <w:rFonts w:ascii="Times New Roman" w:cs="Times New Roman" w:eastAsia="Times New Roman" w:hAnsi="Times New Roman"/>
          <w:sz w:val="18"/>
          <w:szCs w:val="18"/>
          <w:color w:val="auto"/>
        </w:rPr>
      </w:pPr>
    </w:p>
    <w:p>
      <w:pPr>
        <w:jc w:val="both"/>
        <w:ind w:firstLine="849"/>
        <w:spacing w:after="0" w:line="261" w:lineRule="auto"/>
        <w:tabs>
          <w:tab w:leader="none" w:pos="15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a party to, or otherwise subject to any provision contained in, any instrument evidencing Indebtedness of the Company or such Subsidiary, any agreement relating thereto or any other agreement (including its charter or any other organizational document) which limits the amount of, or otherwise imposes restrictions on the incurring of, Indebtedness of the Company, except as disclosed in Schedule 5.15.</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621"/>
        <w:spacing w:after="0" w:line="268" w:lineRule="auto"/>
        <w:rPr>
          <w:sz w:val="20"/>
          <w:szCs w:val="20"/>
          <w:color w:val="auto"/>
        </w:rPr>
      </w:pPr>
      <w:r>
        <w:rPr>
          <w:rFonts w:ascii="Times New Roman" w:cs="Times New Roman" w:eastAsia="Times New Roman" w:hAnsi="Times New Roman"/>
          <w:sz w:val="18"/>
          <w:szCs w:val="18"/>
          <w:b w:val="1"/>
          <w:bCs w:val="1"/>
          <w:color w:val="auto"/>
        </w:rPr>
        <w:t>Section 5.16. Foreign Assets Control Regulations, Etc</w:t>
      </w:r>
      <w:r>
        <w:rPr>
          <w:rFonts w:ascii="Times New Roman" w:cs="Times New Roman" w:eastAsia="Times New Roman" w:hAnsi="Times New Roman"/>
          <w:sz w:val="18"/>
          <w:szCs w:val="18"/>
          <w:color w:val="auto"/>
        </w:rPr>
        <w:t>. (a) Neither the Company nor any Controlled Entity (i) is a Blocked Person, (ii)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notified that its name appears or may in the future appear on a State Sanctions List or (iii) is a target of sanctions that have been imposed by the United Nations or the European Union.</w:t>
      </w:r>
    </w:p>
    <w:p>
      <w:pPr>
        <w:spacing w:after="0" w:line="175" w:lineRule="exact"/>
        <w:rPr>
          <w:sz w:val="20"/>
          <w:szCs w:val="20"/>
          <w:color w:val="auto"/>
        </w:rPr>
      </w:pPr>
    </w:p>
    <w:p>
      <w:pPr>
        <w:jc w:val="both"/>
        <w:ind w:firstLine="853"/>
        <w:spacing w:after="0" w:line="226" w:lineRule="exact"/>
        <w:tabs>
          <w:tab w:leader="none" w:pos="1578"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Controlled Entity (i) has violated, been found in violation of, or been charged or convicted under, any applicable U.S. Economic Sanctions Laws,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Money Laundering Laws or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Corruption Laws or (ii) to the Company’s knowledge, is under investigation by any Governmental Authority for possible violation of any U.S. Economic Sanctions Laws,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Money Laundering Laws or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Corruption Laws.</w:t>
      </w:r>
    </w:p>
    <w:p>
      <w:pPr>
        <w:spacing w:after="0" w:line="179" w:lineRule="exact"/>
        <w:rPr>
          <w:rFonts w:ascii="Times New Roman" w:cs="Times New Roman" w:eastAsia="Times New Roman" w:hAnsi="Times New Roman"/>
          <w:sz w:val="18"/>
          <w:szCs w:val="18"/>
          <w:color w:val="auto"/>
        </w:rPr>
      </w:pPr>
    </w:p>
    <w:p>
      <w:pPr>
        <w:ind w:left="1420" w:hanging="656"/>
        <w:spacing w:after="0"/>
        <w:tabs>
          <w:tab w:leader="none" w:pos="142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 of the proceeds from the sale of the Notes hereunder:</w:t>
      </w:r>
    </w:p>
    <w:p>
      <w:pPr>
        <w:spacing w:after="0" w:line="225" w:lineRule="exact"/>
        <w:rPr>
          <w:rFonts w:ascii="Times New Roman" w:cs="Times New Roman" w:eastAsia="Times New Roman" w:hAnsi="Times New Roman"/>
          <w:sz w:val="18"/>
          <w:szCs w:val="18"/>
          <w:color w:val="auto"/>
        </w:rPr>
      </w:pPr>
    </w:p>
    <w:p>
      <w:pPr>
        <w:jc w:val="both"/>
        <w:ind w:left="660" w:firstLine="999"/>
        <w:spacing w:after="0" w:line="261" w:lineRule="auto"/>
        <w:tabs>
          <w:tab w:leader="none" w:pos="2324" w:val="left"/>
        </w:tabs>
        <w:numPr>
          <w:ilvl w:val="4"/>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or will constitute funds obtained on behalf of any Blocked Person or will otherwise be used by the Company or any Controlled Entity, directly or indirectly, (A) in connection with any investment in, or any transactions or dealings with, any Blocked Person,</w:t>
      </w:r>
    </w:p>
    <w:p>
      <w:pPr>
        <w:ind w:left="660" w:hanging="4"/>
        <w:spacing w:after="0" w:line="260" w:lineRule="auto"/>
        <w:tabs>
          <w:tab w:leader="none" w:pos="9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purpose that would cause any Purchaser to be in violation of any U.S. Economic Sanctions Laws or (C) otherwise in violation of any U.S. Economic Sanctions Laws;</w:t>
      </w:r>
    </w:p>
    <w:p>
      <w:pPr>
        <w:spacing w:after="0" w:line="152" w:lineRule="exact"/>
        <w:rPr>
          <w:rFonts w:ascii="Times New Roman" w:cs="Times New Roman" w:eastAsia="Times New Roman" w:hAnsi="Times New Roman"/>
          <w:sz w:val="18"/>
          <w:szCs w:val="18"/>
          <w:color w:val="auto"/>
        </w:rPr>
      </w:pPr>
    </w:p>
    <w:p>
      <w:pPr>
        <w:ind w:left="2360" w:hanging="687"/>
        <w:spacing w:after="0" w:line="207" w:lineRule="exact"/>
        <w:tabs>
          <w:tab w:leader="none" w:pos="2360" w:val="left"/>
        </w:tabs>
        <w:numPr>
          <w:ilvl w:val="5"/>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used, directly or indirectly, in violation of, or cause any Purchaser to be in violation of, any applicable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Money</w:t>
      </w:r>
    </w:p>
    <w:p>
      <w:pPr>
        <w:spacing w:after="0" w:line="5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Laundering Laws; or</w:t>
      </w:r>
    </w:p>
    <w:p>
      <w:pPr>
        <w:spacing w:after="0" w:line="205" w:lineRule="exact"/>
        <w:rPr>
          <w:rFonts w:ascii="Times New Roman" w:cs="Times New Roman" w:eastAsia="Times New Roman" w:hAnsi="Times New Roman"/>
          <w:sz w:val="18"/>
          <w:szCs w:val="18"/>
          <w:color w:val="auto"/>
        </w:rPr>
      </w:pPr>
    </w:p>
    <w:p>
      <w:pPr>
        <w:jc w:val="both"/>
        <w:ind w:left="660" w:firstLine="1261"/>
        <w:spacing w:after="0" w:line="229" w:lineRule="exact"/>
        <w:tabs>
          <w:tab w:leader="none" w:pos="2895" w:val="left"/>
        </w:tabs>
        <w:numPr>
          <w:ilvl w:val="6"/>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Corruption Laws.</w:t>
      </w:r>
    </w:p>
    <w:p>
      <w:pPr>
        <w:spacing w:after="0" w:line="178" w:lineRule="exact"/>
        <w:rPr>
          <w:rFonts w:ascii="Times New Roman" w:cs="Times New Roman" w:eastAsia="Times New Roman" w:hAnsi="Times New Roman"/>
          <w:sz w:val="18"/>
          <w:szCs w:val="18"/>
          <w:color w:val="auto"/>
        </w:rPr>
      </w:pPr>
    </w:p>
    <w:p>
      <w:pPr>
        <w:jc w:val="both"/>
        <w:ind w:right="20" w:firstLine="734"/>
        <w:spacing w:after="0" w:line="229" w:lineRule="exact"/>
        <w:tabs>
          <w:tab w:leader="none" w:pos="13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Money Laundering Laws and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Corruption Laws.</w:t>
      </w:r>
    </w:p>
    <w:p>
      <w:pPr>
        <w:spacing w:after="0" w:line="174" w:lineRule="exact"/>
        <w:rPr>
          <w:sz w:val="20"/>
          <w:szCs w:val="20"/>
          <w:color w:val="auto"/>
        </w:rPr>
      </w:pPr>
    </w:p>
    <w:p>
      <w:pPr>
        <w:jc w:val="both"/>
        <w:ind w:firstLine="708"/>
        <w:spacing w:after="0" w:line="286" w:lineRule="auto"/>
        <w:rPr>
          <w:sz w:val="20"/>
          <w:szCs w:val="20"/>
          <w:color w:val="auto"/>
        </w:rPr>
      </w:pPr>
      <w:r>
        <w:rPr>
          <w:rFonts w:ascii="Times New Roman" w:cs="Times New Roman" w:eastAsia="Times New Roman" w:hAnsi="Times New Roman"/>
          <w:sz w:val="18"/>
          <w:szCs w:val="18"/>
          <w:b w:val="1"/>
          <w:bCs w:val="1"/>
          <w:color w:val="auto"/>
        </w:rPr>
        <w:t>Section 5.17. Status under Certain Statutes</w:t>
      </w:r>
      <w:r>
        <w:rPr>
          <w:rFonts w:ascii="Times New Roman" w:cs="Times New Roman" w:eastAsia="Times New Roman" w:hAnsi="Times New Roman"/>
          <w:sz w:val="18"/>
          <w:szCs w:val="18"/>
          <w:color w:val="auto"/>
        </w:rPr>
        <w:t>. Neither the Company nor any Subsidiary is subject to regulation under the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Act of 1940, the Public Utility Holding Company Act of 2005, the ICC Termination Act of 1995, or the Federal Power Act.</w:t>
      </w:r>
    </w:p>
    <w:p>
      <w:pPr>
        <w:spacing w:after="0" w:line="155" w:lineRule="exact"/>
        <w:rPr>
          <w:sz w:val="20"/>
          <w:szCs w:val="20"/>
          <w:color w:val="auto"/>
        </w:rPr>
      </w:pPr>
    </w:p>
    <w:p>
      <w:pPr>
        <w:jc w:val="both"/>
        <w:ind w:firstLine="645"/>
        <w:spacing w:after="0" w:line="262" w:lineRule="auto"/>
        <w:rPr>
          <w:sz w:val="20"/>
          <w:szCs w:val="20"/>
          <w:color w:val="auto"/>
        </w:rPr>
      </w:pPr>
      <w:r>
        <w:rPr>
          <w:rFonts w:ascii="Times New Roman" w:cs="Times New Roman" w:eastAsia="Times New Roman" w:hAnsi="Times New Roman"/>
          <w:sz w:val="18"/>
          <w:szCs w:val="18"/>
          <w:b w:val="1"/>
          <w:bCs w:val="1"/>
          <w:color w:val="auto"/>
        </w:rPr>
        <w:t>Section 5.18. Environmental Matters</w:t>
      </w:r>
      <w:r>
        <w:rPr>
          <w:rFonts w:ascii="Times New Roman" w:cs="Times New Roman" w:eastAsia="Times New Roman" w:hAnsi="Times New Roman"/>
          <w:sz w:val="18"/>
          <w:szCs w:val="18"/>
          <w:color w:val="auto"/>
        </w:rPr>
        <w:t>. The Company and its Subsidiaries conduct in the ordinary course of business a review of the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existing Environmental Laws and claims alleging potential liability or responsibility for violation of any Environmental Law on their respective businesses, operations and properties, and as a result thereof the Company has reasonably concluded that, except as specifically disclosed in Schedule 5.18, such Environmental Laws and claims would not, individually or in the aggregate, reasonably be expected to have a Material Adverse Effect.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5.19. Ranking of Obligations. </w:t>
      </w:r>
      <w:r>
        <w:rPr>
          <w:rFonts w:ascii="Times New Roman" w:cs="Times New Roman" w:eastAsia="Times New Roman" w:hAnsi="Times New Roman"/>
          <w:sz w:val="18"/>
          <w:szCs w:val="18"/>
          <w:color w:val="auto"/>
        </w:rPr>
        <w:t>The Company’s payment obligations under this Agreement and the Notes will, upon issuance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Notes,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without preference or priority, with all other unsecured and unsubordinated Indebtedness of the Company.</w:t>
      </w:r>
    </w:p>
    <w:p>
      <w:pPr>
        <w:spacing w:after="0" w:line="15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6.</w:t>
      </w:r>
      <w:r>
        <w:rPr>
          <w:sz w:val="20"/>
          <w:szCs w:val="20"/>
          <w:color w:val="auto"/>
        </w:rPr>
        <w:tab/>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epresentations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767"/>
        <w:spacing w:after="0" w:line="256" w:lineRule="auto"/>
        <w:rPr>
          <w:sz w:val="20"/>
          <w:szCs w:val="20"/>
          <w:color w:val="auto"/>
        </w:rPr>
      </w:pPr>
      <w:r>
        <w:rPr>
          <w:rFonts w:ascii="Times New Roman" w:cs="Times New Roman" w:eastAsia="Times New Roman" w:hAnsi="Times New Roman"/>
          <w:sz w:val="18"/>
          <w:szCs w:val="18"/>
          <w:b w:val="1"/>
          <w:bCs w:val="1"/>
          <w:color w:val="auto"/>
        </w:rPr>
        <w:t>Section 6.1. Purchase for Investment</w:t>
      </w:r>
      <w:r>
        <w:rPr>
          <w:rFonts w:ascii="Times New Roman" w:cs="Times New Roman" w:eastAsia="Times New Roman" w:hAnsi="Times New Roman"/>
          <w:sz w:val="18"/>
          <w:szCs w:val="18"/>
          <w:color w:val="auto"/>
        </w:rPr>
        <w:t>. Each Purchaser severally represents that it is an institutional “accredited investor”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meaning of Rule 501 of the Securities Act and is purchasing the Notes for its own account or for one or more separate accounts maintained by such Purchaser or for the account of one or more pension or trust funds and not with a view to the distribution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disposition of such Purchaser’s or their property shall at all times be within such Purchaser’s or their control. Each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Notes.</w:t>
      </w:r>
    </w:p>
    <w:p>
      <w:pPr>
        <w:spacing w:after="0" w:line="200" w:lineRule="exact"/>
        <w:rPr>
          <w:sz w:val="20"/>
          <w:szCs w:val="20"/>
          <w:color w:val="auto"/>
        </w:rPr>
      </w:pPr>
    </w:p>
    <w:p>
      <w:pPr>
        <w:spacing w:after="0" w:line="203" w:lineRule="exact"/>
        <w:rPr>
          <w:sz w:val="20"/>
          <w:szCs w:val="20"/>
          <w:color w:val="auto"/>
        </w:rPr>
      </w:pPr>
    </w:p>
    <w:p>
      <w:pPr>
        <w:jc w:val="both"/>
        <w:ind w:firstLine="633"/>
        <w:spacing w:after="0" w:line="286" w:lineRule="auto"/>
        <w:rPr>
          <w:sz w:val="20"/>
          <w:szCs w:val="20"/>
          <w:color w:val="auto"/>
        </w:rPr>
      </w:pPr>
      <w:r>
        <w:rPr>
          <w:rFonts w:ascii="Times New Roman" w:cs="Times New Roman" w:eastAsia="Times New Roman" w:hAnsi="Times New Roman"/>
          <w:sz w:val="18"/>
          <w:szCs w:val="18"/>
          <w:b w:val="1"/>
          <w:bCs w:val="1"/>
          <w:color w:val="auto"/>
        </w:rPr>
        <w:t>Section 6.2. Source of Funds</w:t>
      </w:r>
      <w:r>
        <w:rPr>
          <w:rFonts w:ascii="Times New Roman" w:cs="Times New Roman" w:eastAsia="Times New Roman" w:hAnsi="Times New Roman"/>
          <w:sz w:val="18"/>
          <w:szCs w:val="18"/>
          <w:color w:val="auto"/>
        </w:rPr>
        <w:t>. Each Purchaser severally represents that at least one of the following statements is an accurate representation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to each source of funds (a </w:t>
      </w:r>
      <w:r>
        <w:rPr>
          <w:rFonts w:ascii="Times New Roman" w:cs="Times New Roman" w:eastAsia="Times New Roman" w:hAnsi="Times New Roman"/>
          <w:sz w:val="18"/>
          <w:szCs w:val="18"/>
          <w:b w:val="1"/>
          <w:bCs w:val="1"/>
          <w:color w:val="auto"/>
        </w:rPr>
        <w:t>“Source”</w:t>
      </w:r>
      <w:r>
        <w:rPr>
          <w:rFonts w:ascii="Times New Roman" w:cs="Times New Roman" w:eastAsia="Times New Roman" w:hAnsi="Times New Roman"/>
          <w:sz w:val="18"/>
          <w:szCs w:val="18"/>
          <w:color w:val="auto"/>
        </w:rPr>
        <w:t>) to be used by such Purchaser to pay the purchase price of the Notes to be purchased by such Purchaser hereunder:</w:t>
      </w:r>
    </w:p>
    <w:p>
      <w:pPr>
        <w:spacing w:after="0" w:line="159" w:lineRule="exact"/>
        <w:rPr>
          <w:sz w:val="20"/>
          <w:szCs w:val="20"/>
          <w:color w:val="auto"/>
        </w:rPr>
      </w:pPr>
    </w:p>
    <w:p>
      <w:pPr>
        <w:jc w:val="both"/>
        <w:ind w:left="660" w:firstLine="800"/>
        <w:spacing w:after="0" w:line="219" w:lineRule="exact"/>
        <w:tabs>
          <w:tab w:leader="none" w:pos="225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is an “insurance company general account” (as the term is defined in the United States Department of Labor’s Prohibited Transaction Exemption (</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95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60) in respect of which the reserves and liabilities (as defined by the annual statement for life insurance companies approved by the NAIC (the </w:t>
      </w:r>
      <w:r>
        <w:rPr>
          <w:rFonts w:ascii="Times New Roman" w:cs="Times New Roman" w:eastAsia="Times New Roman" w:hAnsi="Times New Roman"/>
          <w:sz w:val="18"/>
          <w:szCs w:val="18"/>
          <w:b w:val="1"/>
          <w:bCs w:val="1"/>
          <w:color w:val="auto"/>
        </w:rPr>
        <w:t>“NAIC Annual Statement”</w:t>
      </w:r>
      <w:r>
        <w:rPr>
          <w:rFonts w:ascii="Times New Roman" w:cs="Times New Roman" w:eastAsia="Times New Roman" w:hAnsi="Times New Roman"/>
          <w:sz w:val="18"/>
          <w:szCs w:val="18"/>
          <w:color w:val="auto"/>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200" w:lineRule="exact"/>
        <w:rPr>
          <w:rFonts w:ascii="Times New Roman" w:cs="Times New Roman" w:eastAsia="Times New Roman" w:hAnsi="Times New Roman"/>
          <w:sz w:val="18"/>
          <w:szCs w:val="18"/>
          <w:color w:val="auto"/>
        </w:rPr>
      </w:pPr>
    </w:p>
    <w:p>
      <w:pPr>
        <w:jc w:val="both"/>
        <w:ind w:left="660" w:firstLine="815"/>
        <w:spacing w:after="0" w:line="261" w:lineRule="auto"/>
        <w:tabs>
          <w:tab w:leader="none" w:pos="223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50" w:lineRule="exact"/>
        <w:rPr>
          <w:rFonts w:ascii="Times New Roman" w:cs="Times New Roman" w:eastAsia="Times New Roman" w:hAnsi="Times New Roman"/>
          <w:sz w:val="18"/>
          <w:szCs w:val="18"/>
          <w:color w:val="auto"/>
        </w:rPr>
      </w:pPr>
    </w:p>
    <w:p>
      <w:pPr>
        <w:jc w:val="both"/>
        <w:ind w:left="660" w:right="20" w:firstLine="718"/>
        <w:spacing w:after="0" w:line="228" w:lineRule="exact"/>
        <w:tabs>
          <w:tab w:leader="none" w:pos="204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is either (i) an insurance company pooled separate account, within the meaning of PTE 90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or (ii) a bank collective investment fund, within the meaning of the PTE 91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56" w:lineRule="exact"/>
        <w:rPr>
          <w:sz w:val="20"/>
          <w:szCs w:val="20"/>
          <w:color w:val="auto"/>
        </w:rPr>
      </w:pPr>
    </w:p>
    <w:p>
      <w:pPr>
        <w:jc w:val="both"/>
        <w:ind w:left="660" w:firstLine="640"/>
        <w:spacing w:after="0" w:line="220" w:lineRule="exact"/>
        <w:tabs>
          <w:tab w:leader="none" w:pos="19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constitutes assets of an “investment fund” (within the meaning of Part VI of PTE 84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14 (the </w:t>
      </w:r>
      <w:r>
        <w:rPr>
          <w:rFonts w:ascii="Times New Roman" w:cs="Times New Roman" w:eastAsia="Times New Roman" w:hAnsi="Times New Roman"/>
          <w:sz w:val="18"/>
          <w:szCs w:val="18"/>
          <w:b w:val="1"/>
          <w:bCs w:val="1"/>
          <w:color w:val="auto"/>
        </w:rPr>
        <w:t>“QPAM Exemption”</w:t>
      </w:r>
      <w:r>
        <w:rPr>
          <w:rFonts w:ascii="Times New Roman" w:cs="Times New Roman" w:eastAsia="Times New Roman" w:hAnsi="Times New Roman"/>
          <w:sz w:val="18"/>
          <w:szCs w:val="18"/>
          <w:color w:val="auto"/>
        </w:rPr>
        <w:t>))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(d);or</w:t>
      </w:r>
    </w:p>
    <w:p>
      <w:pPr>
        <w:spacing w:after="0" w:line="172" w:lineRule="exact"/>
        <w:rPr>
          <w:rFonts w:ascii="Times New Roman" w:cs="Times New Roman" w:eastAsia="Times New Roman" w:hAnsi="Times New Roman"/>
          <w:sz w:val="18"/>
          <w:szCs w:val="18"/>
          <w:color w:val="auto"/>
        </w:rPr>
      </w:pPr>
    </w:p>
    <w:p>
      <w:pPr>
        <w:jc w:val="both"/>
        <w:ind w:left="660" w:firstLine="793"/>
        <w:spacing w:after="0" w:line="240" w:lineRule="exact"/>
        <w:tabs>
          <w:tab w:leader="none" w:pos="2238"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constitutes assets of a “plan(s)” (within the meaning of Part IV(h) of PTE 96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23 (the </w:t>
      </w:r>
      <w:r>
        <w:rPr>
          <w:rFonts w:ascii="Times New Roman" w:cs="Times New Roman" w:eastAsia="Times New Roman" w:hAnsi="Times New Roman"/>
          <w:sz w:val="18"/>
          <w:szCs w:val="18"/>
          <w:b w:val="1"/>
          <w:bCs w:val="1"/>
          <w:color w:val="auto"/>
        </w:rPr>
        <w:t>“INHAM Exemption”</w:t>
      </w:r>
      <w:r>
        <w:rPr>
          <w:rFonts w:ascii="Times New Roman" w:cs="Times New Roman" w:eastAsia="Times New Roman" w:hAnsi="Times New Roman"/>
          <w:sz w:val="18"/>
          <w:szCs w:val="18"/>
          <w:color w:val="auto"/>
        </w:rPr>
        <w:t>)) managed by an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house asset manager” or “INHAM” (within the meaning of Part IV(a) of the INHAM Exemption), the conditions of Part I(a),</w:t>
      </w:r>
    </w:p>
    <w:p>
      <w:pPr>
        <w:spacing w:after="0" w:line="1"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(h) of the INHAM Exemption are satisfied, neither the INHAM nor a person controlling or controlled by the INHAM (applying the definition of “control” in Part IV(d)(3) of the INHAM Exemption) owns a 10% or more interest in the Company and (i) the identity of such INHAM and (ii) the name(s) of the employee benefit plan(s) whose assets constitute the Source have been disclosed to the Company in writing pursuant to this clause (e); or</w:t>
      </w:r>
    </w:p>
    <w:p>
      <w:pPr>
        <w:spacing w:after="0" w:line="187" w:lineRule="exact"/>
        <w:rPr>
          <w:rFonts w:ascii="Times New Roman" w:cs="Times New Roman" w:eastAsia="Times New Roman" w:hAnsi="Times New Roman"/>
          <w:sz w:val="18"/>
          <w:szCs w:val="18"/>
          <w:color w:val="auto"/>
        </w:rPr>
      </w:pPr>
    </w:p>
    <w:p>
      <w:pPr>
        <w:ind w:left="660" w:firstLine="722"/>
        <w:spacing w:after="0" w:line="282" w:lineRule="auto"/>
        <w:tabs>
          <w:tab w:leader="none" w:pos="2029"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is a governmental plan (as defined in Section 3 of ERISA) which is not subject to the provisions of Title I of ERISA or Section 4975 of the Code; or</w:t>
      </w:r>
    </w:p>
    <w:p>
      <w:pPr>
        <w:spacing w:after="0" w:line="161" w:lineRule="exact"/>
        <w:rPr>
          <w:rFonts w:ascii="Times New Roman" w:cs="Times New Roman" w:eastAsia="Times New Roman" w:hAnsi="Times New Roman"/>
          <w:sz w:val="18"/>
          <w:szCs w:val="18"/>
          <w:color w:val="auto"/>
        </w:rPr>
      </w:pPr>
    </w:p>
    <w:p>
      <w:pPr>
        <w:ind w:left="660" w:right="20" w:firstLine="826"/>
        <w:spacing w:after="0" w:line="282" w:lineRule="auto"/>
        <w:tabs>
          <w:tab w:leader="none" w:pos="2259" w:val="left"/>
        </w:tabs>
        <w:numPr>
          <w:ilvl w:val="4"/>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162" w:lineRule="exact"/>
        <w:rPr>
          <w:sz w:val="20"/>
          <w:szCs w:val="20"/>
          <w:color w:val="auto"/>
        </w:rPr>
      </w:pPr>
    </w:p>
    <w:p>
      <w:pPr>
        <w:ind w:left="2020" w:hanging="653"/>
        <w:spacing w:after="0"/>
        <w:tabs>
          <w:tab w:leader="none" w:pos="2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 does not include assets of any employee benefit plan, other than a plan exempt from the coverage of ERISA.</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As used in this Section 6.2, the terms </w:t>
      </w:r>
      <w:r>
        <w:rPr>
          <w:rFonts w:ascii="Times New Roman" w:cs="Times New Roman" w:eastAsia="Times New Roman" w:hAnsi="Times New Roman"/>
          <w:sz w:val="18"/>
          <w:szCs w:val="18"/>
          <w:b w:val="1"/>
          <w:bCs w:val="1"/>
          <w:color w:val="auto"/>
        </w:rPr>
        <w:t>“employee benefit plan,” “governmental plan,”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“separate account”</w:t>
      </w:r>
      <w:r>
        <w:rPr>
          <w:rFonts w:ascii="Times New Roman" w:cs="Times New Roman" w:eastAsia="Times New Roman" w:hAnsi="Times New Roman"/>
          <w:sz w:val="18"/>
          <w:szCs w:val="18"/>
          <w:color w:val="auto"/>
        </w:rPr>
        <w:t xml:space="preserve"> shall have the respective meanings assigned to such terms in section 3 of ERISA.</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7.</w:t>
      </w:r>
      <w:r>
        <w:rPr>
          <w:sz w:val="20"/>
          <w:szCs w:val="20"/>
          <w:color w:val="auto"/>
        </w:rPr>
        <w:tab/>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nformation as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p>
    <w:p>
      <w:pPr>
        <w:spacing w:after="0" w:line="225" w:lineRule="exact"/>
        <w:rPr>
          <w:sz w:val="20"/>
          <w:szCs w:val="20"/>
          <w:color w:val="auto"/>
        </w:rPr>
      </w:pPr>
    </w:p>
    <w:p>
      <w:pPr>
        <w:ind w:left="68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7.1.</w:t>
      </w:r>
      <w:r>
        <w:rPr>
          <w:sz w:val="20"/>
          <w:szCs w:val="20"/>
          <w:color w:val="auto"/>
        </w:rPr>
        <w:tab/>
      </w:r>
      <w:r>
        <w:rPr>
          <w:rFonts w:ascii="Times New Roman" w:cs="Times New Roman" w:eastAsia="Times New Roman" w:hAnsi="Times New Roman"/>
          <w:sz w:val="18"/>
          <w:szCs w:val="18"/>
          <w:b w:val="1"/>
          <w:bCs w:val="1"/>
          <w:color w:val="auto"/>
        </w:rPr>
        <w:t>Financial and Business Information</w:t>
      </w:r>
      <w:r>
        <w:rPr>
          <w:rFonts w:ascii="Times New Roman" w:cs="Times New Roman" w:eastAsia="Times New Roman" w:hAnsi="Times New Roman"/>
          <w:sz w:val="18"/>
          <w:szCs w:val="18"/>
          <w:color w:val="auto"/>
        </w:rPr>
        <w:t>. The Company shall deliver to each holder of a Note that is an Institutional Investor:</w:t>
      </w:r>
    </w:p>
    <w:p>
      <w:pPr>
        <w:spacing w:after="0" w:line="227" w:lineRule="exact"/>
        <w:rPr>
          <w:sz w:val="20"/>
          <w:szCs w:val="20"/>
          <w:color w:val="auto"/>
        </w:rPr>
      </w:pPr>
    </w:p>
    <w:p>
      <w:pPr>
        <w:jc w:val="both"/>
        <w:ind w:left="660" w:firstLine="302"/>
        <w:spacing w:after="0" w:line="220" w:lineRule="exact"/>
        <w:tabs>
          <w:tab w:leader="none" w:pos="16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Quarterly Statements </w:t>
      </w:r>
      <w:r>
        <w:rPr>
          <w:rFonts w:ascii="Times New Roman" w:cs="Times New Roman" w:eastAsia="Times New Roman" w:hAnsi="Times New Roman"/>
          <w:sz w:val="18"/>
          <w:szCs w:val="18"/>
          <w:color w:val="auto"/>
        </w:rPr>
        <w:t>— within 60 days (or such shorter period as is the earlier of (x) 15 days greater than the period applicable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of the Company’s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Q (the </w:t>
      </w:r>
      <w:r>
        <w:rPr>
          <w:rFonts w:ascii="Times New Roman" w:cs="Times New Roman" w:eastAsia="Times New Roman" w:hAnsi="Times New Roman"/>
          <w:sz w:val="18"/>
          <w:szCs w:val="18"/>
          <w:b w:val="1"/>
          <w:bCs w:val="1"/>
          <w:color w:val="auto"/>
        </w:rPr>
        <w:t>“Form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8"/>
          <w:szCs w:val="18"/>
          <w:color w:val="auto"/>
        </w:rPr>
        <w:t>) with the SEC regardless of whether the Company is subject to the filing requirements thereof and (y) the date by which such financial statements are required to be delivered under any Material Credit Facility or the date on which such corresponding financial statements are delivered under any Material Credit Facility if such delivery occurs earlier than such required delivery date) after the end of each quarterly fiscal period in each fiscal year of the Company (other than the last quarterly fiscal period of each such fiscal year), duplicate copies of,</w:t>
      </w:r>
    </w:p>
    <w:p>
      <w:pPr>
        <w:spacing w:after="0" w:line="199" w:lineRule="exact"/>
        <w:rPr>
          <w:rFonts w:ascii="Times New Roman" w:cs="Times New Roman" w:eastAsia="Times New Roman" w:hAnsi="Times New Roman"/>
          <w:sz w:val="18"/>
          <w:szCs w:val="18"/>
          <w:color w:val="auto"/>
        </w:rPr>
      </w:pPr>
    </w:p>
    <w:p>
      <w:pPr>
        <w:ind w:left="2280" w:hanging="625"/>
        <w:spacing w:after="0"/>
        <w:tabs>
          <w:tab w:leader="none" w:pos="2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consolidated balance sheet of the Company and its Subsidiaries as at the end of such quarter, and</w:t>
      </w:r>
    </w:p>
    <w:p>
      <w:pPr>
        <w:spacing w:after="0" w:line="225" w:lineRule="exact"/>
        <w:rPr>
          <w:rFonts w:ascii="Times New Roman" w:cs="Times New Roman" w:eastAsia="Times New Roman" w:hAnsi="Times New Roman"/>
          <w:sz w:val="18"/>
          <w:szCs w:val="18"/>
          <w:color w:val="auto"/>
        </w:rPr>
      </w:pPr>
    </w:p>
    <w:p>
      <w:pPr>
        <w:ind w:left="1300" w:firstLine="355"/>
        <w:spacing w:after="0" w:line="282" w:lineRule="auto"/>
        <w:tabs>
          <w:tab w:leader="none" w:pos="232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162" w:lineRule="exact"/>
        <w:rPr>
          <w:sz w:val="20"/>
          <w:szCs w:val="20"/>
          <w:color w:val="auto"/>
        </w:rPr>
      </w:pPr>
    </w:p>
    <w:p>
      <w:pPr>
        <w:jc w:val="both"/>
        <w:ind w:left="660"/>
        <w:spacing w:after="0" w:line="219" w:lineRule="exact"/>
        <w:rPr>
          <w:sz w:val="20"/>
          <w:szCs w:val="20"/>
          <w:color w:val="auto"/>
        </w:rPr>
      </w:pPr>
      <w:r>
        <w:rPr>
          <w:rFonts w:ascii="Times New Roman" w:cs="Times New Roman" w:eastAsia="Times New Roman" w:hAnsi="Times New Roman"/>
          <w:sz w:val="18"/>
          <w:szCs w:val="18"/>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end adjustments;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delivery within the time period specified above of copies of the Company’s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prepared in compliance with the requirements therefor and filed with the SEC shall be deemed to satisfy the requirements of this Section 7.1(a);</w:t>
      </w:r>
    </w:p>
    <w:p>
      <w:pPr>
        <w:spacing w:after="0" w:line="201" w:lineRule="exact"/>
        <w:rPr>
          <w:sz w:val="20"/>
          <w:szCs w:val="20"/>
          <w:color w:val="auto"/>
        </w:rPr>
      </w:pPr>
    </w:p>
    <w:p>
      <w:pPr>
        <w:jc w:val="both"/>
        <w:ind w:left="660" w:firstLine="261"/>
        <w:spacing w:after="0" w:line="220" w:lineRule="exact"/>
        <w:tabs>
          <w:tab w:leader="none" w:pos="162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Statements </w:t>
      </w:r>
      <w:r>
        <w:rPr>
          <w:rFonts w:ascii="Times New Roman" w:cs="Times New Roman" w:eastAsia="Times New Roman" w:hAnsi="Times New Roman"/>
          <w:sz w:val="18"/>
          <w:szCs w:val="18"/>
          <w:color w:val="auto"/>
        </w:rPr>
        <w:t>— within 120 days (or such shorter period as is the earlier of (x) 15 days greater than the period applicable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of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K (the </w:t>
      </w:r>
      <w:r>
        <w:rPr>
          <w:rFonts w:ascii="Times New Roman" w:cs="Times New Roman" w:eastAsia="Times New Roman" w:hAnsi="Times New Roman"/>
          <w:sz w:val="18"/>
          <w:szCs w:val="18"/>
          <w:b w:val="1"/>
          <w:bCs w:val="1"/>
          <w:color w:val="auto"/>
        </w:rPr>
        <w:t>“Form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8"/>
          <w:szCs w:val="18"/>
          <w:color w:val="auto"/>
        </w:rPr>
        <w:t>) with the SEC regardless of whether the Company is subject to the filing requirements thereof and (y) the date by which such financial statements are required to be delivered under any Material Credit Facility or the date on which such corresponding financial statements are delivered under any Material Credit Facility if such delivery occurs earlier than such required delivery date) after the end of each fiscal year of the Company, duplicate copies of</w:t>
      </w:r>
    </w:p>
    <w:p>
      <w:pPr>
        <w:spacing w:after="0" w:line="198" w:lineRule="exact"/>
        <w:rPr>
          <w:rFonts w:ascii="Times New Roman" w:cs="Times New Roman" w:eastAsia="Times New Roman" w:hAnsi="Times New Roman"/>
          <w:sz w:val="18"/>
          <w:szCs w:val="18"/>
          <w:color w:val="auto"/>
        </w:rPr>
      </w:pPr>
    </w:p>
    <w:p>
      <w:pPr>
        <w:ind w:left="2320" w:hanging="620"/>
        <w:spacing w:after="0"/>
        <w:tabs>
          <w:tab w:leader="none" w:pos="23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consolidated balance sheet of the Company and its Subsidiaries as at the end of such year,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5" w:lineRule="exact"/>
        <w:rPr>
          <w:sz w:val="20"/>
          <w:szCs w:val="20"/>
          <w:color w:val="auto"/>
        </w:rPr>
      </w:pPr>
    </w:p>
    <w:p>
      <w:pPr>
        <w:ind w:left="2340" w:hanging="681"/>
        <w:spacing w:after="0"/>
        <w:tabs>
          <w:tab w:leader="none" w:pos="2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changes in shareholders’ equity and cash flows of the Company and its Subsidiaries for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year,</w:t>
      </w:r>
    </w:p>
    <w:p>
      <w:pPr>
        <w:spacing w:after="0" w:line="207" w:lineRule="exact"/>
        <w:rPr>
          <w:sz w:val="20"/>
          <w:szCs w:val="20"/>
          <w:color w:val="auto"/>
        </w:rPr>
      </w:pPr>
    </w:p>
    <w:p>
      <w:pPr>
        <w:jc w:val="both"/>
        <w:ind w:left="660"/>
        <w:spacing w:after="0" w:line="218" w:lineRule="exact"/>
        <w:rPr>
          <w:sz w:val="20"/>
          <w:szCs w:val="20"/>
          <w:color w:val="auto"/>
        </w:rPr>
      </w:pPr>
      <w:r>
        <w:rPr>
          <w:rFonts w:ascii="Times New Roman" w:cs="Times New Roman" w:eastAsia="Times New Roman" w:hAnsi="Times New Roman"/>
          <w:sz w:val="18"/>
          <w:szCs w:val="18"/>
          <w:color w:val="auto"/>
        </w:rPr>
        <w:t xml:space="preserve">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delivery within the time period specified above of the Company’s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such fiscal year prepared in accordance with the requirements therefor and filed with the SEC, shall be deemed to satisfy the requirements of this Section 7.1(b);</w:t>
      </w:r>
    </w:p>
    <w:p>
      <w:pPr>
        <w:spacing w:after="0" w:line="202" w:lineRule="exact"/>
        <w:rPr>
          <w:sz w:val="20"/>
          <w:szCs w:val="20"/>
          <w:color w:val="auto"/>
        </w:rPr>
      </w:pPr>
    </w:p>
    <w:p>
      <w:pPr>
        <w:jc w:val="both"/>
        <w:ind w:left="660" w:firstLine="212"/>
        <w:spacing w:after="0" w:line="256" w:lineRule="auto"/>
        <w:tabs>
          <w:tab w:leader="none" w:pos="16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 and Other Reports </w:t>
      </w:r>
      <w:r>
        <w:rPr>
          <w:rFonts w:ascii="Times New Roman" w:cs="Times New Roman" w:eastAsia="Times New Roman" w:hAnsi="Times New Roman"/>
          <w:sz w:val="18"/>
          <w:szCs w:val="18"/>
          <w:color w:val="auto"/>
        </w:rPr>
        <w:t>— promptly upon their becoming available, one copy of (i) each financial statement, report, notice,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or similar document sent by the Company or any Subsidiary (x) to its creditors under any Material Credit Facility (excluding information sent to such creditors in the ordinary course of administration of a credit facility, such as information or notices relating to pricing and borrowing availability, notices of borrowing, and quarterly and annual certifications demonstrating compliance) or (y) to its public Securities holders generally, and (ii) each regular or periodic report, each registration statement (without exhibits except as expressly requested by such holder), and each prospectus and all amendments thereto filed by the Company or any Subsidiary with the SEC and of all press releases made available generally by the Company or any Subsidiary to the public concerning developments that are Material;</w:t>
      </w:r>
    </w:p>
    <w:p>
      <w:pPr>
        <w:spacing w:after="0" w:line="182" w:lineRule="exact"/>
        <w:rPr>
          <w:rFonts w:ascii="Times New Roman" w:cs="Times New Roman" w:eastAsia="Times New Roman" w:hAnsi="Times New Roman"/>
          <w:sz w:val="18"/>
          <w:szCs w:val="18"/>
          <w:color w:val="auto"/>
        </w:rPr>
      </w:pPr>
    </w:p>
    <w:p>
      <w:pPr>
        <w:jc w:val="both"/>
        <w:ind w:left="660" w:firstLine="212"/>
        <w:spacing w:after="0" w:line="258" w:lineRule="auto"/>
        <w:tabs>
          <w:tab w:leader="none" w:pos="15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of Default or Event of Default </w:t>
      </w:r>
      <w:r>
        <w:rPr>
          <w:rFonts w:ascii="Times New Roman" w:cs="Times New Roman" w:eastAsia="Times New Roman" w:hAnsi="Times New Roman"/>
          <w:sz w:val="18"/>
          <w:szCs w:val="18"/>
          <w:color w:val="auto"/>
        </w:rPr>
        <w:t>— promptly, and in any event within 5 days after a Responsible Officer becoming aware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existence of any Default or Event of Default or that any Person has given any notice or taken any action with respect to a claimed default hereunder or that any Person has given any notice or taken any action with respect to a claimed default of the type referred to in Section 11(f), a written notice specifying the nature and period of existence thereof and what action the Company is taking or proposes to take with respect thereto;</w:t>
      </w:r>
    </w:p>
    <w:p>
      <w:pPr>
        <w:spacing w:after="0" w:line="183" w:lineRule="exact"/>
        <w:rPr>
          <w:rFonts w:ascii="Times New Roman" w:cs="Times New Roman" w:eastAsia="Times New Roman" w:hAnsi="Times New Roman"/>
          <w:sz w:val="18"/>
          <w:szCs w:val="18"/>
          <w:color w:val="auto"/>
        </w:rPr>
      </w:pPr>
    </w:p>
    <w:p>
      <w:pPr>
        <w:jc w:val="both"/>
        <w:ind w:left="660" w:firstLine="212"/>
        <w:spacing w:after="0" w:line="267" w:lineRule="auto"/>
        <w:tabs>
          <w:tab w:leader="none" w:pos="16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Employee Benefits Matters </w:t>
      </w:r>
      <w:r>
        <w:rPr>
          <w:rFonts w:ascii="Times New Roman" w:cs="Times New Roman" w:eastAsia="Times New Roman" w:hAnsi="Times New Roman"/>
          <w:sz w:val="18"/>
          <w:szCs w:val="18"/>
          <w:color w:val="auto"/>
        </w:rPr>
        <w:t>— promptly, and in any event within 5 days after a Responsible Officer becoming aware of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 written notice setting forth the nature thereof and the action, if any, that the Company or an ERISA Affiliate proposes to take with respect thereto:</w:t>
      </w:r>
    </w:p>
    <w:p>
      <w:pPr>
        <w:spacing w:after="0" w:line="175" w:lineRule="exact"/>
        <w:rPr>
          <w:rFonts w:ascii="Times New Roman" w:cs="Times New Roman" w:eastAsia="Times New Roman" w:hAnsi="Times New Roman"/>
          <w:sz w:val="18"/>
          <w:szCs w:val="18"/>
          <w:color w:val="auto"/>
        </w:rPr>
      </w:pPr>
    </w:p>
    <w:p>
      <w:pPr>
        <w:ind w:left="1300" w:right="20" w:firstLine="376"/>
        <w:spacing w:after="0" w:line="282" w:lineRule="auto"/>
        <w:tabs>
          <w:tab w:leader="none" w:pos="236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Plan, any reportable event, as defined in section 4043(c) of ERISA and the regulations thereunder, for which notice thereof has not been waived pursuant to such regulations as in effect on the date hereof;</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5" w:lineRule="exact"/>
        <w:rPr>
          <w:sz w:val="20"/>
          <w:szCs w:val="20"/>
          <w:color w:val="auto"/>
        </w:rPr>
      </w:pPr>
    </w:p>
    <w:p>
      <w:pPr>
        <w:jc w:val="both"/>
        <w:ind w:left="1300" w:firstLine="387"/>
        <w:spacing w:after="0" w:line="266" w:lineRule="auto"/>
        <w:tabs>
          <w:tab w:leader="none" w:pos="2458"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by the PBGC of,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w:t>
      </w:r>
    </w:p>
    <w:p>
      <w:pPr>
        <w:spacing w:after="0" w:line="175" w:lineRule="exact"/>
        <w:rPr>
          <w:rFonts w:ascii="Times New Roman" w:cs="Times New Roman" w:eastAsia="Times New Roman" w:hAnsi="Times New Roman"/>
          <w:sz w:val="18"/>
          <w:szCs w:val="18"/>
          <w:color w:val="auto"/>
        </w:rPr>
      </w:pPr>
    </w:p>
    <w:p>
      <w:pPr>
        <w:jc w:val="both"/>
        <w:ind w:left="1300" w:firstLine="402"/>
        <w:spacing w:after="0" w:line="258" w:lineRule="auto"/>
        <w:tabs>
          <w:tab w:leader="none" w:pos="2574"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could reasonably be expected to have a Material Adverse Effect; or</w:t>
      </w:r>
    </w:p>
    <w:p>
      <w:pPr>
        <w:spacing w:after="0" w:line="183" w:lineRule="exact"/>
        <w:rPr>
          <w:rFonts w:ascii="Times New Roman" w:cs="Times New Roman" w:eastAsia="Times New Roman" w:hAnsi="Times New Roman"/>
          <w:sz w:val="18"/>
          <w:szCs w:val="18"/>
          <w:color w:val="auto"/>
        </w:rPr>
      </w:pPr>
    </w:p>
    <w:p>
      <w:pPr>
        <w:ind w:left="1300" w:firstLine="330"/>
        <w:spacing w:after="0" w:line="235" w:lineRule="exact"/>
        <w:tabs>
          <w:tab w:leader="none" w:pos="243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notice of the imposition of a Material financial penalty (which for this purpose shall mean any tax, penalty or other liability, whether by way of indemnity or otherwise) with respect to one or more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Plans;</w:t>
      </w:r>
    </w:p>
    <w:p>
      <w:pPr>
        <w:spacing w:after="0" w:line="176" w:lineRule="exact"/>
        <w:rPr>
          <w:rFonts w:ascii="Times New Roman" w:cs="Times New Roman" w:eastAsia="Times New Roman" w:hAnsi="Times New Roman"/>
          <w:sz w:val="18"/>
          <w:szCs w:val="18"/>
          <w:color w:val="auto"/>
        </w:rPr>
      </w:pPr>
    </w:p>
    <w:p>
      <w:pPr>
        <w:jc w:val="both"/>
        <w:ind w:left="660" w:firstLine="212"/>
        <w:spacing w:after="0" w:line="267" w:lineRule="auto"/>
        <w:tabs>
          <w:tab w:leader="none" w:pos="1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from Governmental Authority </w:t>
      </w:r>
      <w:r>
        <w:rPr>
          <w:rFonts w:ascii="Times New Roman" w:cs="Times New Roman" w:eastAsia="Times New Roman" w:hAnsi="Times New Roman"/>
          <w:sz w:val="18"/>
          <w:szCs w:val="18"/>
          <w:color w:val="auto"/>
        </w:rPr>
        <w:t>— promptly, and in any event within 30 days of receipt thereof, copies of any notice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any Subsidiary from any Governmental Authority relating to any order, ruling, statute or other law or regulation that could reasonably be expected to have a Material Adverse Effect;</w:t>
      </w:r>
    </w:p>
    <w:p>
      <w:pPr>
        <w:spacing w:after="0" w:line="173" w:lineRule="exact"/>
        <w:rPr>
          <w:rFonts w:ascii="Times New Roman" w:cs="Times New Roman" w:eastAsia="Times New Roman" w:hAnsi="Times New Roman"/>
          <w:sz w:val="18"/>
          <w:szCs w:val="18"/>
          <w:color w:val="auto"/>
        </w:rPr>
      </w:pPr>
    </w:p>
    <w:p>
      <w:pPr>
        <w:jc w:val="both"/>
        <w:ind w:left="660" w:firstLine="212"/>
        <w:spacing w:after="0" w:line="261" w:lineRule="auto"/>
        <w:tabs>
          <w:tab w:leader="none" w:pos="177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Resignation or Replacement of Auditors </w:t>
      </w:r>
      <w:r>
        <w:rPr>
          <w:rFonts w:ascii="Times New Roman" w:cs="Times New Roman" w:eastAsia="Times New Roman" w:hAnsi="Times New Roman"/>
          <w:sz w:val="18"/>
          <w:szCs w:val="18"/>
          <w:color w:val="auto"/>
        </w:rPr>
        <w:t>— within 10 days following the date on which the Company’s auditors resign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elects to change auditors, as the case may be, notification thereof, together with such further information as the Required Holders may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filing by the Company of a current report on Form 8-K with the SEC regarding such resignation or change shall be deemed to constitute notification pursuant to this clause (g); and</w:t>
      </w:r>
    </w:p>
    <w:p>
      <w:pPr>
        <w:spacing w:after="0" w:line="179" w:lineRule="exact"/>
        <w:rPr>
          <w:rFonts w:ascii="Times New Roman" w:cs="Times New Roman" w:eastAsia="Times New Roman" w:hAnsi="Times New Roman"/>
          <w:sz w:val="18"/>
          <w:szCs w:val="18"/>
          <w:color w:val="auto"/>
        </w:rPr>
      </w:pPr>
    </w:p>
    <w:p>
      <w:pPr>
        <w:jc w:val="both"/>
        <w:ind w:left="660" w:firstLine="212"/>
        <w:spacing w:after="0" w:line="221" w:lineRule="exact"/>
        <w:tabs>
          <w:tab w:leader="none" w:pos="16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Requested Information </w:t>
      </w:r>
      <w:r>
        <w:rPr>
          <w:rFonts w:ascii="Times New Roman" w:cs="Times New Roman" w:eastAsia="Times New Roman" w:hAnsi="Times New Roman"/>
          <w:sz w:val="18"/>
          <w:szCs w:val="18"/>
          <w:color w:val="auto"/>
        </w:rPr>
        <w:t>— with reasonable promptness, such other data and information relating to the business, operations, affairs,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condition, assets or properties of the Company or any of its Subsidiaries (including actual copies of the Company’s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relating to the ability of the Company to perform its obligations hereunder and under the Notes as from time to time may be reasonably requested by any such holder of a Note.</w:t>
      </w:r>
    </w:p>
    <w:p>
      <w:pPr>
        <w:spacing w:after="0" w:line="195" w:lineRule="exact"/>
        <w:rPr>
          <w:sz w:val="20"/>
          <w:szCs w:val="20"/>
          <w:color w:val="auto"/>
        </w:rPr>
      </w:pPr>
    </w:p>
    <w:p>
      <w:pPr>
        <w:ind w:left="72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7.2.</w:t>
      </w:r>
      <w:r>
        <w:rPr>
          <w:sz w:val="20"/>
          <w:szCs w:val="20"/>
          <w:color w:val="auto"/>
        </w:rPr>
        <w:tab/>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Each set of financial statements delivered to a holder of a Note pursuant to Section 7.1(a) or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7.1(b) shall be accompanied by a certificate of a Senior Financial Officer: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3" w:lineRule="exact"/>
        <w:rPr>
          <w:sz w:val="20"/>
          <w:szCs w:val="20"/>
          <w:color w:val="auto"/>
        </w:rPr>
      </w:pPr>
    </w:p>
    <w:p>
      <w:pPr>
        <w:jc w:val="both"/>
        <w:ind w:firstLine="1522"/>
        <w:spacing w:after="0" w:line="255" w:lineRule="auto"/>
        <w:tabs>
          <w:tab w:leader="none" w:pos="227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Covenant Compliance </w:t>
      </w:r>
      <w:r>
        <w:rPr>
          <w:rFonts w:ascii="Times New Roman" w:cs="Times New Roman" w:eastAsia="Times New Roman" w:hAnsi="Times New Roman"/>
          <w:sz w:val="18"/>
          <w:szCs w:val="18"/>
          <w:color w:val="auto"/>
        </w:rPr>
        <w:t>— setting forth the information from such financial statements that is required in order to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 Company was in compliance with the requirements of Section 10 during the quarterly or annual period covered by the financial statements then being furnished (including with respect to each such provision that involves mathematical calculations, the information from such financial statements that is required to perform such calculations) and detailed calculations of the maximum or minimum amount, ratio or percentage, as the case may be, permissible under the terms of such Section, and the calculation of the amount, ratio or percentage then in existence. In the event that the Company or any Subsidiary has made an election to measure any financial liability using fair value (which election is being disregarded for purposes of determining compliance with this Agreement pursuant to Section 22.2) as to the period covered by any such financial statement, such Senior Financial Officer’s certificate as to such period shall include a reconciliation from GAAP with respect to such election;</w:t>
      </w:r>
    </w:p>
    <w:p>
      <w:pPr>
        <w:spacing w:after="0" w:line="184" w:lineRule="exact"/>
        <w:rPr>
          <w:rFonts w:ascii="Times New Roman" w:cs="Times New Roman" w:eastAsia="Times New Roman" w:hAnsi="Times New Roman"/>
          <w:sz w:val="18"/>
          <w:szCs w:val="18"/>
          <w:color w:val="auto"/>
        </w:rPr>
      </w:pPr>
    </w:p>
    <w:p>
      <w:pPr>
        <w:jc w:val="both"/>
        <w:ind w:left="660" w:firstLine="841"/>
        <w:spacing w:after="0" w:line="256" w:lineRule="auto"/>
        <w:tabs>
          <w:tab w:leader="none" w:pos="22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Event of Default </w:t>
      </w:r>
      <w:r>
        <w:rPr>
          <w:rFonts w:ascii="Times New Roman" w:cs="Times New Roman" w:eastAsia="Times New Roman" w:hAnsi="Times New Roman"/>
          <w:sz w:val="18"/>
          <w:szCs w:val="18"/>
          <w:color w:val="auto"/>
        </w:rPr>
        <w:t>— certifying that such Senior Financial Officer has reviewed the relevant terms hereof and has made,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any such event or condition resulting from the failure of the Company or any Subsidiary to comply with any Environmental Law), specifying the nature and period of existence thereof and what action the Company shall have taken or proposes to take with respect thereto; and</w:t>
      </w:r>
    </w:p>
    <w:p>
      <w:pPr>
        <w:spacing w:after="0" w:line="182" w:lineRule="exact"/>
        <w:rPr>
          <w:rFonts w:ascii="Times New Roman" w:cs="Times New Roman" w:eastAsia="Times New Roman" w:hAnsi="Times New Roman"/>
          <w:sz w:val="18"/>
          <w:szCs w:val="18"/>
          <w:color w:val="auto"/>
        </w:rPr>
      </w:pPr>
    </w:p>
    <w:p>
      <w:pPr>
        <w:jc w:val="both"/>
        <w:ind w:left="660" w:firstLine="980"/>
        <w:spacing w:after="0" w:line="267" w:lineRule="auto"/>
        <w:tabs>
          <w:tab w:leader="none" w:pos="248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Subsidiary Guarantors </w:t>
      </w:r>
      <w:r>
        <w:rPr>
          <w:rFonts w:ascii="Times New Roman" w:cs="Times New Roman" w:eastAsia="Times New Roman" w:hAnsi="Times New Roman"/>
          <w:sz w:val="18"/>
          <w:szCs w:val="18"/>
          <w:color w:val="auto"/>
        </w:rPr>
        <w:t>– setting forth a list of all Subsidiaries that are Subsidiary Guarantors and certifying that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that is required to be a Subsidiary Guarantor pursuant to Section 9.7 is a Subsidiary Guarantor, in each case, as of the date of such certificate of Senior Financial Officer.</w:t>
      </w:r>
    </w:p>
    <w:p>
      <w:pPr>
        <w:spacing w:after="0" w:line="171" w:lineRule="exact"/>
        <w:rPr>
          <w:sz w:val="20"/>
          <w:szCs w:val="20"/>
          <w:color w:val="auto"/>
        </w:rPr>
      </w:pPr>
    </w:p>
    <w:p>
      <w:pPr>
        <w:ind w:left="62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7.3.</w:t>
      </w:r>
      <w:r>
        <w:rPr>
          <w:sz w:val="20"/>
          <w:szCs w:val="20"/>
          <w:color w:val="auto"/>
        </w:rPr>
        <w:tab/>
      </w:r>
      <w:r>
        <w:rPr>
          <w:rFonts w:ascii="Times New Roman" w:cs="Times New Roman" w:eastAsia="Times New Roman" w:hAnsi="Times New Roman"/>
          <w:sz w:val="18"/>
          <w:szCs w:val="18"/>
          <w:b w:val="1"/>
          <w:bCs w:val="1"/>
          <w:color w:val="auto"/>
        </w:rPr>
        <w:t>Visitation</w:t>
      </w:r>
      <w:r>
        <w:rPr>
          <w:rFonts w:ascii="Times New Roman" w:cs="Times New Roman" w:eastAsia="Times New Roman" w:hAnsi="Times New Roman"/>
          <w:sz w:val="18"/>
          <w:szCs w:val="18"/>
          <w:color w:val="auto"/>
        </w:rPr>
        <w:t>. The Company shall permit the representatives of each holder of a Note that is an Institutional Investor:</w:t>
      </w:r>
    </w:p>
    <w:p>
      <w:pPr>
        <w:spacing w:after="0" w:line="227" w:lineRule="exact"/>
        <w:rPr>
          <w:sz w:val="20"/>
          <w:szCs w:val="20"/>
          <w:color w:val="auto"/>
        </w:rPr>
      </w:pPr>
    </w:p>
    <w:p>
      <w:pPr>
        <w:jc w:val="both"/>
        <w:ind w:left="660" w:firstLine="756"/>
        <w:spacing w:after="0" w:line="258" w:lineRule="auto"/>
        <w:tabs>
          <w:tab w:leader="none" w:pos="211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Default </w:t>
      </w:r>
      <w:r>
        <w:rPr>
          <w:rFonts w:ascii="Times New Roman" w:cs="Times New Roman" w:eastAsia="Times New Roman" w:hAnsi="Times New Roman"/>
          <w:sz w:val="18"/>
          <w:szCs w:val="18"/>
          <w:color w:val="auto"/>
        </w:rPr>
        <w:t>— if no Default or Event of Default then exists, at the expense of such holder and upon reasonable prior notice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and as often as may be reasonably requested in writing; and</w:t>
      </w:r>
    </w:p>
    <w:p>
      <w:pPr>
        <w:spacing w:after="0" w:line="183" w:lineRule="exact"/>
        <w:rPr>
          <w:rFonts w:ascii="Times New Roman" w:cs="Times New Roman" w:eastAsia="Times New Roman" w:hAnsi="Times New Roman"/>
          <w:sz w:val="18"/>
          <w:szCs w:val="18"/>
          <w:color w:val="auto"/>
        </w:rPr>
      </w:pPr>
    </w:p>
    <w:p>
      <w:pPr>
        <w:jc w:val="both"/>
        <w:ind w:left="660" w:firstLine="696"/>
        <w:spacing w:after="0" w:line="257" w:lineRule="auto"/>
        <w:tabs>
          <w:tab w:leader="none" w:pos="205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Default </w:t>
      </w:r>
      <w:r>
        <w:rPr>
          <w:rFonts w:ascii="Times New Roman" w:cs="Times New Roman" w:eastAsia="Times New Roman" w:hAnsi="Times New Roman"/>
          <w:sz w:val="18"/>
          <w:szCs w:val="18"/>
          <w:color w:val="auto"/>
        </w:rPr>
        <w:t>— if a Default or Event of Default then exists, at the expense of the Company to visit and inspect any of the offices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receive written notice of such meeting and representatives of the Company shall be entitled to be present at any such meeting)), all at such times and as often as may be reasonably requested in writing.</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803"/>
        <w:spacing w:after="0" w:line="262" w:lineRule="auto"/>
        <w:rPr>
          <w:sz w:val="20"/>
          <w:szCs w:val="20"/>
          <w:color w:val="auto"/>
        </w:rPr>
      </w:pPr>
      <w:r>
        <w:rPr>
          <w:rFonts w:ascii="Times New Roman" w:cs="Times New Roman" w:eastAsia="Times New Roman" w:hAnsi="Times New Roman"/>
          <w:sz w:val="18"/>
          <w:szCs w:val="18"/>
          <w:b w:val="1"/>
          <w:bCs w:val="1"/>
          <w:color w:val="auto"/>
        </w:rPr>
        <w:t>Section 7.4. Electronic Delivery</w:t>
      </w:r>
      <w:r>
        <w:rPr>
          <w:rFonts w:ascii="Times New Roman" w:cs="Times New Roman" w:eastAsia="Times New Roman" w:hAnsi="Times New Roman"/>
          <w:sz w:val="18"/>
          <w:szCs w:val="18"/>
          <w:color w:val="auto"/>
        </w:rPr>
        <w:t>. Financial statements, opinions of independent certified public accountants, other information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Certificates that are required to be delivered by the Company pursuant to Sections 7.1(a), (b) or (c) and Section 7.2 shall (in addition to the delivery methods specified in the provisos to Sections 7.1(a) and (b), in the case of such clauses) be deemed to have been delivered if the Company satisfies any of the following requirements with respect thereto:</w:t>
      </w:r>
    </w:p>
    <w:p>
      <w:pPr>
        <w:spacing w:after="0" w:line="180" w:lineRule="exact"/>
        <w:rPr>
          <w:sz w:val="20"/>
          <w:szCs w:val="20"/>
          <w:color w:val="auto"/>
        </w:rPr>
      </w:pPr>
    </w:p>
    <w:p>
      <w:pPr>
        <w:jc w:val="both"/>
        <w:ind w:left="660" w:firstLine="817"/>
        <w:spacing w:after="0" w:line="222" w:lineRule="exact"/>
        <w:tabs>
          <w:tab w:leader="none" w:pos="22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financial statements satisfying the requirements of Section 7.1(a) or (b) and related Officer’s Certificate satisfying the requirements of Section 7.2 and any other information required under Section 7.1(c) are delivered to each holder of a Note by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mail at the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mail address set forth in such holder’s Purchaser Schedule or as communicated from time to time in a separate writing delivered to the Company;</w:t>
      </w:r>
    </w:p>
    <w:p>
      <w:pPr>
        <w:spacing w:after="0" w:line="199" w:lineRule="exact"/>
        <w:rPr>
          <w:rFonts w:ascii="Times New Roman" w:cs="Times New Roman" w:eastAsia="Times New Roman" w:hAnsi="Times New Roman"/>
          <w:sz w:val="18"/>
          <w:szCs w:val="18"/>
          <w:color w:val="auto"/>
        </w:rPr>
      </w:pPr>
    </w:p>
    <w:p>
      <w:pPr>
        <w:jc w:val="both"/>
        <w:ind w:left="660" w:firstLine="871"/>
        <w:spacing w:after="0" w:line="220" w:lineRule="exact"/>
        <w:tabs>
          <w:tab w:leader="none" w:pos="2345"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Officer’s Certificate satisfying the requirements of Section 7.2, the Company shall have (i) made such Officer’s Certificate available on its home page on the internet, which is located at http://www.toro.com as of the date of this Agreement, (ii) delivered such Officer’s Certificate to each holder of a Note by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mail at the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mail address set forth in such holder’s Purchaser Schedule or as communicated from time to time in a separate writing delivered to the Company, or (iii) posted such Officer’s Certificate on IntraLinks or on any other similar website to which each holder of Notes has free access;</w:t>
      </w:r>
    </w:p>
    <w:p>
      <w:pPr>
        <w:spacing w:after="0" w:line="200" w:lineRule="exact"/>
        <w:rPr>
          <w:rFonts w:ascii="Times New Roman" w:cs="Times New Roman" w:eastAsia="Times New Roman" w:hAnsi="Times New Roman"/>
          <w:sz w:val="18"/>
          <w:szCs w:val="18"/>
          <w:color w:val="auto"/>
        </w:rPr>
      </w:pPr>
    </w:p>
    <w:p>
      <w:pPr>
        <w:jc w:val="both"/>
        <w:ind w:left="660" w:firstLine="826"/>
        <w:spacing w:after="0" w:line="266" w:lineRule="auto"/>
        <w:tabs>
          <w:tab w:leader="none" w:pos="224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financial statements satisfying the requirements of Section 7.1(a) or Section 7.1(b) and related Officer’s Certificate(s) satisfying the requirements of Section 7.2 and any other information required under Section 7.1(c) are timely emailed to each holder of Notes posted by or on behalf of the Company on IntraLinks or on any other similar website to which each holder of Notes has free access; or</w:t>
      </w:r>
    </w:p>
    <w:p>
      <w:pPr>
        <w:spacing w:after="0" w:line="175" w:lineRule="exact"/>
        <w:rPr>
          <w:rFonts w:ascii="Times New Roman" w:cs="Times New Roman" w:eastAsia="Times New Roman" w:hAnsi="Times New Roman"/>
          <w:sz w:val="18"/>
          <w:szCs w:val="18"/>
          <w:color w:val="auto"/>
        </w:rPr>
      </w:pPr>
    </w:p>
    <w:p>
      <w:pPr>
        <w:jc w:val="both"/>
        <w:ind w:left="660" w:firstLine="834"/>
        <w:spacing w:after="0" w:line="266" w:lineRule="auto"/>
        <w:tabs>
          <w:tab w:leader="none" w:pos="22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timely filed any of the items referred to in Section 7.1(c) with the SEC on EDGAR or shall have emailed such items to each holder of Notes or made such items available on its home page on the internet or on IntraLinks or on any other similar website to which each holder of Notes has free access;</w:t>
      </w:r>
    </w:p>
    <w:p>
      <w:pPr>
        <w:spacing w:after="0" w:line="174"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in no case shall access to such financial statements, other information and Officer’s Certificates be conditioned upon any waiver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agreement or consent (other than confidentiality provisions consistent with Section 20 of this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except in the case of any delivery made by filing with the SEC on EDGAR or by email to the holders of the Notes, the Company shall have given each holder of a Note prior or concurrent written notice, which may be by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mail or in accordance with Section 18, of such posting or filing in connection with each delivery,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upon request of any holder to receive paper copies of such forms, financial statements, other information and Officer’s Certificates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them by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mail, the Company will promptly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mail them or deliver such paper copies, as the case may be, to such holder.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ind w:left="860"/>
        <w:spacing w:after="0"/>
        <w:tabs>
          <w:tab w:leader="none" w:pos="2480" w:val="left"/>
        </w:tabs>
        <w:rPr>
          <w:sz w:val="20"/>
          <w:szCs w:val="20"/>
          <w:color w:val="auto"/>
        </w:rPr>
      </w:pPr>
      <w:r>
        <w:rPr>
          <w:rFonts w:ascii="Times New Roman" w:cs="Times New Roman" w:eastAsia="Times New Roman" w:hAnsi="Times New Roman"/>
          <w:sz w:val="18"/>
          <w:szCs w:val="18"/>
          <w:b w:val="1"/>
          <w:bCs w:val="1"/>
          <w:color w:val="auto"/>
        </w:rPr>
        <w:t>Section 8.</w:t>
      </w:r>
      <w:r>
        <w:rPr>
          <w:sz w:val="20"/>
          <w:szCs w:val="20"/>
          <w:color w:val="auto"/>
        </w:rPr>
        <w:tab/>
      </w:r>
      <w:r>
        <w:rPr>
          <w:rFonts w:ascii="Times New Roman" w:cs="Times New Roman" w:eastAsia="Times New Roman" w:hAnsi="Times New Roman"/>
          <w:sz w:val="17"/>
          <w:szCs w:val="17"/>
          <w:b w:val="1"/>
          <w:bCs w:val="1"/>
          <w:color w:val="auto"/>
        </w:rPr>
        <w:t>Payment and Prepayment of the Notes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Section 8.1.</w:t>
      </w:r>
      <w:r>
        <w:rPr>
          <w:sz w:val="20"/>
          <w:szCs w:val="20"/>
          <w:color w:val="auto"/>
        </w:rPr>
        <w:tab/>
      </w: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(a) As provided therein, the entire unpaid principal balance of each Note shall be due and payable on due June 30,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2032.</w:t>
      </w:r>
    </w:p>
    <w:p>
      <w:pPr>
        <w:spacing w:after="0" w:line="178" w:lineRule="exact"/>
        <w:rPr>
          <w:sz w:val="20"/>
          <w:szCs w:val="20"/>
          <w:color w:val="auto"/>
        </w:rPr>
      </w:pPr>
    </w:p>
    <w:p>
      <w:pPr>
        <w:jc w:val="both"/>
        <w:ind w:firstLine="672"/>
        <w:spacing w:after="0" w:line="221" w:lineRule="exact"/>
        <w:rPr>
          <w:sz w:val="20"/>
          <w:szCs w:val="20"/>
          <w:color w:val="auto"/>
        </w:rPr>
      </w:pPr>
      <w:r>
        <w:rPr>
          <w:rFonts w:ascii="Times New Roman" w:cs="Times New Roman" w:eastAsia="Times New Roman" w:hAnsi="Times New Roman"/>
          <w:sz w:val="18"/>
          <w:szCs w:val="18"/>
          <w:b w:val="1"/>
          <w:bCs w:val="1"/>
          <w:color w:val="auto"/>
        </w:rPr>
        <w:t>Section 8.2. Optional Prepayments with Make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Whole Amount</w:t>
      </w:r>
      <w:r>
        <w:rPr>
          <w:rFonts w:ascii="Times New Roman" w:cs="Times New Roman" w:eastAsia="Times New Roman" w:hAnsi="Times New Roman"/>
          <w:sz w:val="18"/>
          <w:szCs w:val="18"/>
          <w:color w:val="auto"/>
        </w:rPr>
        <w:t>. (a) The Company may, at its option, upon notice as provided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prepay at any time all, or from time to time any part of, the Notes, in an amount not less than 10% of the aggregate principal amount of the Notes then outstanding in the case of a partial prepayment, at 100% of the principal amount so prepaid, and the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 determined for the prepayment date with respect to such principal amount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give each holder of the Notes written notice of each optional prepayment under this Section 8.2 not less than 5 Business Days and not more than 60 days prior to the date fixed for such prepayment unless the Company and the Required Holders agree to another time period pursuant to Section 17. Each such notice shall specify such date (which shall be a Business Day), the aggregate principal amount of the Notes to be prepaid on such date, the principal amount of each Note held by such holder to be prepaid (determined in accordance with Section 8.3), and the interest to be paid on the prepayment date with respect to such principal amount being prepaid, and shall be accompanied by a certificate of a Senior Financial Officer as to the estimated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 due in connection with such prepayment (calculated as if the date of such notice were the date of the prepayment), setting forth the details of such computation. Two Business Days prior to such prepayment, the Company shall deliver to each holder of Notes a certificate of a Senior Financial Officer specifying the calculation of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 as of the specified prepayment date.</w:t>
      </w:r>
    </w:p>
    <w:p>
      <w:pPr>
        <w:spacing w:after="0" w:line="379" w:lineRule="exact"/>
        <w:rPr>
          <w:sz w:val="20"/>
          <w:szCs w:val="20"/>
          <w:color w:val="auto"/>
        </w:rPr>
      </w:pPr>
    </w:p>
    <w:p>
      <w:pPr>
        <w:jc w:val="both"/>
        <w:ind w:firstLine="674"/>
        <w:spacing w:after="0" w:line="221" w:lineRule="exact"/>
        <w:tabs>
          <w:tab w:leader="none" w:pos="13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Prepayment Without Make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Whole Amount of the Notes. </w:t>
      </w:r>
      <w:r>
        <w:rPr>
          <w:rFonts w:ascii="Times New Roman" w:cs="Times New Roman" w:eastAsia="Times New Roman" w:hAnsi="Times New Roman"/>
          <w:sz w:val="18"/>
          <w:szCs w:val="18"/>
          <w:color w:val="auto"/>
        </w:rPr>
        <w:t>At any time on or after March 31, 2032 (the period from such date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stated maturity of the Notes being referred to as the </w:t>
      </w:r>
      <w:r>
        <w:rPr>
          <w:rFonts w:ascii="Times New Roman" w:cs="Times New Roman" w:eastAsia="Times New Roman" w:hAnsi="Times New Roman"/>
          <w:sz w:val="18"/>
          <w:szCs w:val="18"/>
          <w:b w:val="1"/>
          <w:bCs w:val="1"/>
          <w:color w:val="auto"/>
        </w:rPr>
        <w:t>“90-Day Period”</w:t>
      </w:r>
      <w:r>
        <w:rPr>
          <w:rFonts w:ascii="Times New Roman" w:cs="Times New Roman" w:eastAsia="Times New Roman" w:hAnsi="Times New Roman"/>
          <w:sz w:val="18"/>
          <w:szCs w:val="18"/>
          <w:color w:val="auto"/>
        </w:rPr>
        <w:t>), the Company may, at its option, upon notice as provided below, prepay all of the Notes at 100% of the principal amount so prepaid without the payment of any Make-Whole Amount. The Company will give each holder of the Notes written notice of each optional prepayment under this Section 8.2(b) not less than 20 days and not more than 60 days prior to the prepayment date specified in such notice. The Company may provide in such notice that repayment of the Notes and the performance of the Company’s obligations with respect to such prepayment may be performed by a paying agent or any other Person acting in a similar capacity. Each such notice shall specify such date (which shall be a Business Day during the 90-Day Period), the aggregate principal amount of the Notes to be prepaid on such date, the principal amount of each Note held by such holder to be prepaid (determined in accordance with Section 8.3), and the interest to be paid on the prepayment date with respect to such principal amount being prepaid.</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Any notice of prepayment pursuant to Section 8.2(b) delivered in connection with a refinancing, the proceeds of which are to be used to make such prepayment, may be made, if expressly so stated in such notice, to be contingent upon the consummation of such refinancing and may be revoked by the Company in the event such financing is not or will not be consummated;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revocation is in writing delivered to the holders of the Notes prior to the scheduled date of prepayment.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666"/>
        <w:spacing w:after="0" w:line="268" w:lineRule="auto"/>
        <w:rPr>
          <w:sz w:val="20"/>
          <w:szCs w:val="20"/>
          <w:color w:val="auto"/>
        </w:rPr>
      </w:pPr>
      <w:r>
        <w:rPr>
          <w:rFonts w:ascii="Times New Roman" w:cs="Times New Roman" w:eastAsia="Times New Roman" w:hAnsi="Times New Roman"/>
          <w:sz w:val="18"/>
          <w:szCs w:val="18"/>
          <w:b w:val="1"/>
          <w:bCs w:val="1"/>
          <w:color w:val="auto"/>
        </w:rPr>
        <w:t>Section 8.3. Allocation of Partial Prepayments</w:t>
      </w:r>
      <w:r>
        <w:rPr>
          <w:rFonts w:ascii="Times New Roman" w:cs="Times New Roman" w:eastAsia="Times New Roman" w:hAnsi="Times New Roman"/>
          <w:sz w:val="18"/>
          <w:szCs w:val="18"/>
          <w:color w:val="auto"/>
        </w:rPr>
        <w:t>. Except to the extent prohibited in Section 8.2(a), in the case of each partial prepayment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Notes pursuant to the provisions of Section 8.2, the principal amount of the Notes to be prepaid shall be allocated among all of the Notes at the time outstanding in proportion, as nearly as practicable, to the respective unpaid principal amounts thereof not theretofore called for prepayment.</w:t>
      </w:r>
    </w:p>
    <w:p>
      <w:pPr>
        <w:spacing w:after="0" w:line="171" w:lineRule="exact"/>
        <w:rPr>
          <w:sz w:val="20"/>
          <w:szCs w:val="20"/>
          <w:color w:val="auto"/>
        </w:rPr>
      </w:pPr>
    </w:p>
    <w:p>
      <w:pPr>
        <w:jc w:val="both"/>
        <w:ind w:firstLine="636"/>
        <w:spacing w:after="0" w:line="220" w:lineRule="exact"/>
        <w:rPr>
          <w:sz w:val="20"/>
          <w:szCs w:val="20"/>
          <w:color w:val="auto"/>
        </w:rPr>
      </w:pPr>
      <w:r>
        <w:rPr>
          <w:rFonts w:ascii="Times New Roman" w:cs="Times New Roman" w:eastAsia="Times New Roman" w:hAnsi="Times New Roman"/>
          <w:sz w:val="18"/>
          <w:szCs w:val="18"/>
          <w:b w:val="1"/>
          <w:bCs w:val="1"/>
          <w:color w:val="auto"/>
        </w:rPr>
        <w:t>Section 8.4. Maturity; Surrender, Etc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case of each optional prepayment of Notes pursuant to this Section 8, the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each Note to be prepaid shall mature and become due and payable on the date fixed for such prepayment, together with interest on such principal amount accrued to such date and the applicable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 if any. From and after such date, unless the Company shall fail to pay such principal amount when so due and payable, together with the interest and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 if any, as aforesaid, interest on such principal amount shall cease to accrue. Any Note paid or prepaid in full shall be surrendered to the Company and cancelled and shall not be reissued, and no Note shall be issued in lieu of any prepaid principal amount of any Note.</w:t>
      </w:r>
    </w:p>
    <w:p>
      <w:pPr>
        <w:spacing w:after="0" w:line="198"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b w:val="1"/>
          <w:bCs w:val="1"/>
          <w:color w:val="auto"/>
        </w:rPr>
        <w:t>Section 8.5. Purchase of Notes</w:t>
      </w:r>
      <w:r>
        <w:rPr>
          <w:rFonts w:ascii="Times New Roman" w:cs="Times New Roman" w:eastAsia="Times New Roman" w:hAnsi="Times New Roman"/>
          <w:sz w:val="18"/>
          <w:szCs w:val="18"/>
          <w:color w:val="auto"/>
        </w:rPr>
        <w:t>. The Company will not and will not permit any Affiliate to purchase, redeem, prepay or otherwise acquire,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any of the outstanding Notes except (a) upon the payment or prepayment of the Notes in accordance with this Agreement and the Notes or (b) pursuant to an offer to purchase made by the Company, any Subsidiary or an Affiliate pro rata to the holders of all Notes at the time outstanding upon the same terms and conditions. Any such offer shall provide each holder with sufficient information to enable it to make an informed decision with respect to such offer, and shall remain open for at least 10 Business Days. If the holders of more than 35% of the principal amount of the Notes then outstanding accept such offer, the Company shall promptly notify the remaining holders of the Notes of such fact and the expiration date for the acceptance by holders of Notes of such offer shall be extended by the number of days necessary to give each such remaining holder at least 5 Business Days from its receipt of such notice to accept such offer. The Company will promptly cancel all Notes acquired by it, any Subsidiary or any Affiliate pursuant to any payment, prepayment or purchase of Notes pursuant to this Agreement and no Notes may be issued in substitution or exchange for any such Notes.</w:t>
      </w:r>
    </w:p>
    <w:p>
      <w:pPr>
        <w:spacing w:after="0" w:line="161" w:lineRule="exact"/>
        <w:rPr>
          <w:sz w:val="20"/>
          <w:szCs w:val="20"/>
          <w:color w:val="auto"/>
        </w:rPr>
      </w:pPr>
    </w:p>
    <w:p>
      <w:pPr>
        <w:ind w:left="680"/>
        <w:spacing w:after="0" w:line="207" w:lineRule="exact"/>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8.6.</w:t>
      </w:r>
      <w:r>
        <w:rPr>
          <w:sz w:val="20"/>
          <w:szCs w:val="20"/>
          <w:color w:val="auto"/>
        </w:rPr>
        <w:tab/>
      </w:r>
      <w:r>
        <w:rPr>
          <w:rFonts w:ascii="Times New Roman" w:cs="Times New Roman" w:eastAsia="Times New Roman" w:hAnsi="Times New Roman"/>
          <w:sz w:val="18"/>
          <w:szCs w:val="18"/>
          <w:b w:val="1"/>
          <w:bCs w:val="1"/>
          <w:color w:val="auto"/>
        </w:rPr>
        <w:t>Make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Whole Amount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The term </w:t>
      </w:r>
      <w:r>
        <w:rPr>
          <w:rFonts w:ascii="Times New Roman" w:cs="Times New Roman" w:eastAsia="Times New Roman" w:hAnsi="Times New Roman"/>
          <w:sz w:val="18"/>
          <w:szCs w:val="18"/>
          <w:b w:val="1"/>
          <w:bCs w:val="1"/>
          <w:color w:val="auto"/>
        </w:rPr>
        <w:t>“Make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Whole Amount”</w:t>
      </w:r>
      <w:r>
        <w:rPr>
          <w:rFonts w:ascii="Times New Roman" w:cs="Times New Roman" w:eastAsia="Times New Roman" w:hAnsi="Times New Roman"/>
          <w:sz w:val="18"/>
          <w:szCs w:val="18"/>
          <w:color w:val="auto"/>
        </w:rPr>
        <w:t xml:space="preserve"> means, with respect to any Note, an amount equal to the excess, if any, of the Discounted Value of the Remaining Scheduled Payments with respect to the Called Principal of such Note over the amount of such Called Principal,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 may in no event be less than zero. For the purposes of determining the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 the following terms have the following meanings:</w:t>
      </w:r>
    </w:p>
    <w:p>
      <w:pPr>
        <w:spacing w:after="0" w:line="17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“Called Principal” </w:t>
      </w:r>
      <w:r>
        <w:rPr>
          <w:rFonts w:ascii="Times New Roman" w:cs="Times New Roman" w:eastAsia="Times New Roman" w:hAnsi="Times New Roman"/>
          <w:sz w:val="18"/>
          <w:szCs w:val="18"/>
          <w:color w:val="auto"/>
        </w:rPr>
        <w:t>means, with respect to any Note, the principal of such Note that is to be prepaid pursuant to Section 8.2 or has become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declared to be immediately due and payable pursuant to Section 12.1, as the context requires.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“Discounted Value” </w:t>
      </w:r>
      <w:r>
        <w:rPr>
          <w:rFonts w:ascii="Times New Roman" w:cs="Times New Roman" w:eastAsia="Times New Roman" w:hAnsi="Times New Roman"/>
          <w:sz w:val="18"/>
          <w:szCs w:val="18"/>
          <w:color w:val="auto"/>
        </w:rPr>
        <w:t>means, with respect to the Called Principal of any Note, the amount obtained by discounting all Remaining Scheduled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w:t>
      </w:r>
    </w:p>
    <w:p>
      <w:pPr>
        <w:spacing w:after="0" w:line="176"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b w:val="1"/>
          <w:bCs w:val="1"/>
          <w:color w:val="auto"/>
        </w:rPr>
        <w:t xml:space="preserve">“Reinvestment Yield” </w:t>
      </w:r>
      <w:r>
        <w:rPr>
          <w:rFonts w:ascii="Times New Roman" w:cs="Times New Roman" w:eastAsia="Times New Roman" w:hAnsi="Times New Roman"/>
          <w:sz w:val="18"/>
          <w:szCs w:val="18"/>
          <w:color w:val="auto"/>
        </w:rPr>
        <w:t>means, with respect to the Called Principal of any Note, the sum of (a) 0.50% plus (b) the yield to maturity implied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run U.S. Treasury securities </w:t>
      </w:r>
      <w:r>
        <w:rPr>
          <w:rFonts w:ascii="Times New Roman" w:cs="Times New Roman" w:eastAsia="Times New Roman" w:hAnsi="Times New Roman"/>
          <w:sz w:val="18"/>
          <w:szCs w:val="18"/>
          <w:b w:val="1"/>
          <w:bCs w:val="1"/>
          <w:color w:val="auto"/>
        </w:rPr>
        <w:t>(“Reported”)</w:t>
      </w:r>
      <w:r>
        <w:rPr>
          <w:rFonts w:ascii="Times New Roman" w:cs="Times New Roman" w:eastAsia="Times New Roman" w:hAnsi="Times New Roman"/>
          <w:sz w:val="18"/>
          <w:szCs w:val="18"/>
          <w:color w:val="auto"/>
        </w:rPr>
        <w:t xml:space="preserve">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such yields are not Reported or the yields Reported as of such time are not ascertainable (including by way of interpolation), then </w:t>
      </w:r>
      <w:r>
        <w:rPr>
          <w:rFonts w:ascii="Times New Roman" w:cs="Times New Roman" w:eastAsia="Times New Roman" w:hAnsi="Times New Roman"/>
          <w:sz w:val="18"/>
          <w:szCs w:val="18"/>
          <w:b w:val="1"/>
          <w:bCs w:val="1"/>
          <w:color w:val="auto"/>
        </w:rPr>
        <w:t xml:space="preserve">“Reinvestment Yield” </w:t>
      </w:r>
      <w:r>
        <w:rPr>
          <w:rFonts w:ascii="Times New Roman" w:cs="Times New Roman" w:eastAsia="Times New Roman" w:hAnsi="Times New Roman"/>
          <w:sz w:val="18"/>
          <w:szCs w:val="18"/>
          <w:color w:val="auto"/>
        </w:rPr>
        <w:t>means, with respect to the Called Principal of any Note, the sum of (x) 0.50% plus (y) the yield to maturity implied by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 .</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“Remaining Average Life” </w:t>
      </w:r>
      <w:r>
        <w:rPr>
          <w:rFonts w:ascii="Times New Roman" w:cs="Times New Roman" w:eastAsia="Times New Roman" w:hAnsi="Times New Roman"/>
          <w:sz w:val="18"/>
          <w:szCs w:val="18"/>
          <w:color w:val="auto"/>
        </w:rPr>
        <w:t>means, with respect to any Called Principal, the number of years obtained by dividing (i) such Called Principal into</w:t>
      </w:r>
    </w:p>
    <w:p>
      <w:pPr>
        <w:spacing w:after="0" w:line="31" w:lineRule="exact"/>
        <w:rPr>
          <w:sz w:val="20"/>
          <w:szCs w:val="20"/>
          <w:color w:val="auto"/>
        </w:rPr>
      </w:pPr>
    </w:p>
    <w:p>
      <w:pPr>
        <w:jc w:val="both"/>
        <w:ind w:firstLine="8"/>
        <w:spacing w:after="0" w:line="216" w:lineRule="exact"/>
        <w:tabs>
          <w:tab w:leader="none" w:pos="29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(a) the principal component of each Remaining Scheduled Payment with respect to such Called Principal by (b) the number of years, computed on the basis of a 360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year comprised of twelve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months and calculated to two decimal places, that will elapse between the Settlement Date with respect to such Called Principal and the scheduled due date of such Remaining Scheduled Payment.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“Remaining Scheduled Payments” </w:t>
      </w:r>
      <w:r>
        <w:rPr>
          <w:rFonts w:ascii="Times New Roman" w:cs="Times New Roman" w:eastAsia="Times New Roman" w:hAnsi="Times New Roman"/>
          <w:sz w:val="18"/>
          <w:szCs w:val="18"/>
          <w:color w:val="auto"/>
        </w:rPr>
        <w:t>means, with respect to the Called Principal of any Note, all payments of such Called Principal and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thereon that would be due after the Settlement Date with respect to such Called Principal if no payment of such Called Principal were made prior to its scheduled due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Settlement Date is not a date on which interest payments are due to be made under the Notes, then the amount of the next succeeding scheduled interest payment will be reduced by the amount of interest accrued to such Settlement Date and required to be paid on such Settlement Date pursuant to Section 8.2 or Section 12.1.</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“Settlement Date” </w:t>
      </w:r>
      <w:r>
        <w:rPr>
          <w:rFonts w:ascii="Times New Roman" w:cs="Times New Roman" w:eastAsia="Times New Roman" w:hAnsi="Times New Roman"/>
          <w:sz w:val="18"/>
          <w:szCs w:val="18"/>
          <w:color w:val="auto"/>
        </w:rPr>
        <w:t>means, with respect to the Called Principal of any Note, the date on which such Called Principal is to be prepaid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8.2 or has become or is declared to be immediately due and payable pursuant to Section 12.1, as the context requires.</w:t>
      </w:r>
    </w:p>
    <w:p>
      <w:pPr>
        <w:spacing w:after="0" w:line="155" w:lineRule="exact"/>
        <w:rPr>
          <w:sz w:val="20"/>
          <w:szCs w:val="20"/>
          <w:color w:val="auto"/>
        </w:rPr>
      </w:pPr>
    </w:p>
    <w:p>
      <w:pPr>
        <w:jc w:val="both"/>
        <w:ind w:firstLine="603"/>
        <w:spacing w:after="0" w:line="262" w:lineRule="auto"/>
        <w:rPr>
          <w:sz w:val="20"/>
          <w:szCs w:val="20"/>
          <w:color w:val="auto"/>
        </w:rPr>
      </w:pPr>
      <w:r>
        <w:rPr>
          <w:rFonts w:ascii="Times New Roman" w:cs="Times New Roman" w:eastAsia="Times New Roman" w:hAnsi="Times New Roman"/>
          <w:sz w:val="18"/>
          <w:szCs w:val="18"/>
          <w:b w:val="1"/>
          <w:bCs w:val="1"/>
          <w:color w:val="auto"/>
        </w:rPr>
        <w:t>Section 8.7. Change of Control</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Notice of Change of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within ten (10) Business Days after any Responsible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has knowledge of the occurrence of any Change of Control, give written notice of such Change of Control to each holder of Notes. In the case that a Change of Control has occurred, such notice shall contain and constitute an offer to prepay Notes as described in subparagraph (b) of this Section 8.7 and shall be accompanied by the certificate described in subparagraph (e) of this Section 8.7.</w:t>
      </w:r>
    </w:p>
    <w:p>
      <w:pPr>
        <w:spacing w:after="0" w:line="178" w:lineRule="exact"/>
        <w:rPr>
          <w:sz w:val="20"/>
          <w:szCs w:val="20"/>
          <w:color w:val="auto"/>
        </w:rPr>
      </w:pPr>
    </w:p>
    <w:p>
      <w:pPr>
        <w:jc w:val="both"/>
        <w:ind w:firstLine="823"/>
        <w:spacing w:after="0" w:line="258" w:lineRule="auto"/>
        <w:tabs>
          <w:tab w:leader="none" w:pos="152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 to Prepay Notes</w:t>
      </w:r>
      <w:r>
        <w:rPr>
          <w:rFonts w:ascii="Times New Roman" w:cs="Times New Roman" w:eastAsia="Times New Roman" w:hAnsi="Times New Roman"/>
          <w:sz w:val="18"/>
          <w:szCs w:val="18"/>
          <w:color w:val="auto"/>
        </w:rPr>
        <w:t>. The offer to prepay Notes contemplated by subparagraph (a) of this Section 8.7 shall be an offer to prepay,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and subject to this Section 8.7, all, but not less than all, the Notes held by each holder (in this case only, “holder” in respect of any Note registered in the name of a nominee for a disclosed beneficial owner shall mean such beneficial owner) on a date specified in such offer (the “</w:t>
      </w:r>
      <w:r>
        <w:rPr>
          <w:rFonts w:ascii="Times New Roman" w:cs="Times New Roman" w:eastAsia="Times New Roman" w:hAnsi="Times New Roman"/>
          <w:sz w:val="18"/>
          <w:szCs w:val="18"/>
          <w:b w:val="1"/>
          <w:bCs w:val="1"/>
          <w:color w:val="auto"/>
        </w:rPr>
        <w:t>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Prepayment Date</w:t>
      </w:r>
      <w:r>
        <w:rPr>
          <w:rFonts w:ascii="Times New Roman" w:cs="Times New Roman" w:eastAsia="Times New Roman" w:hAnsi="Times New Roman"/>
          <w:sz w:val="18"/>
          <w:szCs w:val="18"/>
          <w:color w:val="auto"/>
        </w:rPr>
        <w:t>”) that is not less than 10 days and not more than 60 days after the date of such offer (if the Proposed Prepayment Date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in such offer, the Proposed Prepayment Date shall be the 20th day after the date of such offer).</w:t>
      </w:r>
    </w:p>
    <w:p>
      <w:pPr>
        <w:spacing w:after="0" w:line="183" w:lineRule="exact"/>
        <w:rPr>
          <w:rFonts w:ascii="Times New Roman" w:cs="Times New Roman" w:eastAsia="Times New Roman" w:hAnsi="Times New Roman"/>
          <w:sz w:val="18"/>
          <w:szCs w:val="18"/>
          <w:color w:val="auto"/>
        </w:rPr>
      </w:pPr>
    </w:p>
    <w:p>
      <w:pPr>
        <w:jc w:val="both"/>
        <w:ind w:firstLine="824"/>
        <w:spacing w:after="0" w:line="267" w:lineRule="auto"/>
        <w:tabs>
          <w:tab w:leader="none" w:pos="147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Acceptance; Rejection</w:t>
      </w:r>
      <w:r>
        <w:rPr>
          <w:rFonts w:ascii="Times New Roman" w:cs="Times New Roman" w:eastAsia="Times New Roman" w:hAnsi="Times New Roman"/>
          <w:sz w:val="18"/>
          <w:szCs w:val="18"/>
          <w:color w:val="auto"/>
        </w:rPr>
        <w:t>. A holder of Notes may accept the offer to prepay made pursuant to this Section 8.7 by causing a notice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or rejection to be delivered to the Company at least five (5) Business Days prior to the Proposed Prepayment Date. A failure by a holder of Notes to respond to an offer to prepay made pursuant to this Section 8.7 shall be deemed to constitute a rejection of such offer by such holder.</w:t>
      </w:r>
    </w:p>
    <w:p>
      <w:pPr>
        <w:spacing w:after="0" w:line="173" w:lineRule="exact"/>
        <w:rPr>
          <w:rFonts w:ascii="Times New Roman" w:cs="Times New Roman" w:eastAsia="Times New Roman" w:hAnsi="Times New Roman"/>
          <w:sz w:val="18"/>
          <w:szCs w:val="18"/>
          <w:color w:val="auto"/>
        </w:rPr>
      </w:pPr>
    </w:p>
    <w:p>
      <w:pPr>
        <w:jc w:val="both"/>
        <w:ind w:firstLine="938"/>
        <w:spacing w:after="0" w:line="267" w:lineRule="auto"/>
        <w:tabs>
          <w:tab w:leader="none" w:pos="16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Prepayment. </w:t>
      </w:r>
      <w:r>
        <w:rPr>
          <w:rFonts w:ascii="Times New Roman" w:cs="Times New Roman" w:eastAsia="Times New Roman" w:hAnsi="Times New Roman"/>
          <w:sz w:val="18"/>
          <w:szCs w:val="18"/>
          <w:color w:val="auto"/>
        </w:rPr>
        <w:t>Prepayment of the Notes to be prepaid pursuant to this Section 8.7 shall be at 100% of the principal amount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at par (without any make-whole, premium penalty, or Make-Whole Amount whatsoever or however described), together with interest on such Notes accrued to the date of prepayment. The prepayment shall be made on the Proposed Prepayment Date.</w:t>
      </w:r>
    </w:p>
    <w:p>
      <w:pPr>
        <w:spacing w:after="0" w:line="173" w:lineRule="exact"/>
        <w:rPr>
          <w:sz w:val="20"/>
          <w:szCs w:val="20"/>
          <w:color w:val="auto"/>
        </w:rPr>
      </w:pPr>
    </w:p>
    <w:p>
      <w:pPr>
        <w:jc w:val="both"/>
        <w:ind w:firstLine="830"/>
        <w:spacing w:after="0" w:line="258" w:lineRule="auto"/>
        <w:tabs>
          <w:tab w:leader="none" w:pos="152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Each offer to prepay the Notes pursuant to this Section 8.7 shall be accompanied by a certificate, executed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Financial Officer of the Company and dated the date of such offer, specifying: (i) the Proposed Prepayment Date; (ii) that such offer is made pursuant to this Section 8.7; (iii) the principal amount of each Note offered to be prepaid; (iv) the interest that would be due on each Note offered to be prepaid, accrued to the Proposed Prepayment Date; (v) that the conditions of this Section 8.7 have been fulfilled; and (vi) in reasonable detail, the nature and date of the Change of Control.</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56" w:lineRule="exact"/>
        <w:rPr>
          <w:sz w:val="20"/>
          <w:szCs w:val="20"/>
          <w:color w:val="auto"/>
        </w:rPr>
      </w:pPr>
    </w:p>
    <w:p>
      <w:pPr>
        <w:jc w:val="both"/>
        <w:ind w:firstLine="666"/>
        <w:spacing w:after="0" w:line="224" w:lineRule="exact"/>
        <w:rPr>
          <w:sz w:val="20"/>
          <w:szCs w:val="20"/>
          <w:color w:val="auto"/>
        </w:rPr>
      </w:pPr>
      <w:r>
        <w:rPr>
          <w:rFonts w:ascii="Times New Roman" w:cs="Times New Roman" w:eastAsia="Times New Roman" w:hAnsi="Times New Roman"/>
          <w:sz w:val="18"/>
          <w:szCs w:val="18"/>
          <w:b w:val="1"/>
          <w:bCs w:val="1"/>
          <w:color w:val="auto"/>
        </w:rPr>
        <w:t>Section 8.8. Payments Due on Non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Business Days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Anything in this Agreement or the Notes to the contrary notwithstanding, (x)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clause (y), any payment of interest on any Note that is due on a date that is not a Business Day shall be made on the next succeeding Business Day without including the additional days elapsed in the computation of the interest payable on such next succeeding Business Day; and (y) any payment of principal of or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 on any Note (including principal due on the Maturity Date of such Note) that is due on a date that is not a Business Day shall be made on the next succeeding Business Day and shall include the additional days elapsed in the computation of interest payable on such next succeeding Business Day.</w:t>
      </w:r>
    </w:p>
    <w:p>
      <w:pPr>
        <w:spacing w:after="0" w:line="19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9.</w:t>
      </w:r>
      <w:r>
        <w:rPr>
          <w:sz w:val="20"/>
          <w:szCs w:val="20"/>
          <w:color w:val="auto"/>
        </w:rPr>
        <w:tab/>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ffirmative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ovenants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covenants that so long as any of the Notes are outstanding:</w:t>
      </w:r>
    </w:p>
    <w:p>
      <w:pPr>
        <w:spacing w:after="0" w:line="221" w:lineRule="exact"/>
        <w:rPr>
          <w:sz w:val="20"/>
          <w:szCs w:val="20"/>
          <w:color w:val="auto"/>
        </w:rPr>
      </w:pPr>
    </w:p>
    <w:p>
      <w:pPr>
        <w:jc w:val="both"/>
        <w:ind w:firstLine="624"/>
        <w:spacing w:after="0" w:line="220" w:lineRule="exact"/>
        <w:rPr>
          <w:sz w:val="20"/>
          <w:szCs w:val="20"/>
          <w:color w:val="auto"/>
        </w:rPr>
      </w:pPr>
      <w:r>
        <w:rPr>
          <w:rFonts w:ascii="Times New Roman" w:cs="Times New Roman" w:eastAsia="Times New Roman" w:hAnsi="Times New Roman"/>
          <w:sz w:val="18"/>
          <w:szCs w:val="18"/>
          <w:b w:val="1"/>
          <w:bCs w:val="1"/>
          <w:color w:val="auto"/>
        </w:rPr>
        <w:t>Section 9.1. Compliance with Laws</w:t>
      </w:r>
      <w:r>
        <w:rPr>
          <w:rFonts w:ascii="Times New Roman" w:cs="Times New Roman" w:eastAsia="Times New Roman" w:hAnsi="Times New Roman"/>
          <w:sz w:val="18"/>
          <w:szCs w:val="18"/>
          <w:color w:val="auto"/>
        </w:rPr>
        <w:t>. Without limiting Section 10.5, the Company will, and will cause each of its Subsidiaries to, comply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all laws, ordinances or governmental rules or regulations to which each of them is subject (including ERISA, Environmental Laws, the USA PATRIOT Act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195" w:lineRule="exact"/>
        <w:rPr>
          <w:sz w:val="20"/>
          <w:szCs w:val="20"/>
          <w:color w:val="auto"/>
        </w:rPr>
      </w:pPr>
    </w:p>
    <w:p>
      <w:pPr>
        <w:jc w:val="both"/>
        <w:ind w:firstLine="754"/>
        <w:spacing w:after="0" w:line="221" w:lineRule="exact"/>
        <w:rPr>
          <w:sz w:val="20"/>
          <w:szCs w:val="20"/>
          <w:color w:val="auto"/>
        </w:rPr>
      </w:pPr>
      <w:r>
        <w:rPr>
          <w:rFonts w:ascii="Times New Roman" w:cs="Times New Roman" w:eastAsia="Times New Roman" w:hAnsi="Times New Roman"/>
          <w:sz w:val="18"/>
          <w:szCs w:val="18"/>
          <w:b w:val="1"/>
          <w:bCs w:val="1"/>
          <w:color w:val="auto"/>
        </w:rPr>
        <w:t>Section 9.2. Insurance</w:t>
      </w:r>
      <w:r>
        <w:rPr>
          <w:rFonts w:ascii="Times New Roman" w:cs="Times New Roman" w:eastAsia="Times New Roman" w:hAnsi="Times New Roman"/>
          <w:sz w:val="18"/>
          <w:szCs w:val="18"/>
          <w:color w:val="auto"/>
        </w:rPr>
        <w:t>. The Company will, and will cause each of its Subsidiaries to, maintain, with financially sound and reputable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insurers, insurance with respect to their respective properties and businesses against such casualties and contingencies, of such types, on such terms and in such amounts (including deductibles,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insurance and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insurance, if adequate reserves are maintained with respect thereto) as is customary in the case of entities of established reputations engaged in the same or a similar business and similarly situated.</w:t>
      </w:r>
    </w:p>
    <w:p>
      <w:pPr>
        <w:spacing w:after="0" w:line="197" w:lineRule="exact"/>
        <w:rPr>
          <w:sz w:val="20"/>
          <w:szCs w:val="20"/>
          <w:color w:val="auto"/>
        </w:rPr>
      </w:pPr>
    </w:p>
    <w:p>
      <w:pPr>
        <w:jc w:val="both"/>
        <w:ind w:firstLine="669"/>
        <w:spacing w:after="0" w:line="257" w:lineRule="auto"/>
        <w:rPr>
          <w:sz w:val="20"/>
          <w:szCs w:val="20"/>
          <w:color w:val="auto"/>
        </w:rPr>
      </w:pPr>
      <w:r>
        <w:rPr>
          <w:rFonts w:ascii="Times New Roman" w:cs="Times New Roman" w:eastAsia="Times New Roman" w:hAnsi="Times New Roman"/>
          <w:sz w:val="18"/>
          <w:szCs w:val="18"/>
          <w:b w:val="1"/>
          <w:bCs w:val="1"/>
          <w:color w:val="auto"/>
        </w:rPr>
        <w:t>Section 9.3. Maintenance of Properties</w:t>
      </w:r>
      <w:r>
        <w:rPr>
          <w:rFonts w:ascii="Times New Roman" w:cs="Times New Roman" w:eastAsia="Times New Roman" w:hAnsi="Times New Roman"/>
          <w:sz w:val="18"/>
          <w:szCs w:val="18"/>
          <w:color w:val="auto"/>
        </w:rPr>
        <w:t>. The Company will, and will cause each of its Subsidiaries to, maintain and keep,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maintained and kept, their respective properties in good repair, working order and condition (other than ordinary wear and tear) to the extent necessary, so that the business carried on in connection therewith may be properly conducted at all times,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Section 9.3 shall not prevent the Company or any Subsidiary from discontinuing the operation and the maintenance of any of its properties if such discontinuance is desirable in the conduct of its business and the Company has concluded that such discontinuance could not, individually or in the aggregate, reasonably be expected to have a Material Adverse Effect.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633"/>
        <w:spacing w:after="0" w:line="254" w:lineRule="auto"/>
        <w:rPr>
          <w:sz w:val="20"/>
          <w:szCs w:val="20"/>
          <w:color w:val="auto"/>
        </w:rPr>
      </w:pPr>
      <w:r>
        <w:rPr>
          <w:rFonts w:ascii="Times New Roman" w:cs="Times New Roman" w:eastAsia="Times New Roman" w:hAnsi="Times New Roman"/>
          <w:sz w:val="18"/>
          <w:szCs w:val="18"/>
          <w:b w:val="1"/>
          <w:bCs w:val="1"/>
          <w:color w:val="auto"/>
        </w:rPr>
        <w:t>Section 9.4. Payment of Taxes and Claims</w:t>
      </w:r>
      <w:r>
        <w:rPr>
          <w:rFonts w:ascii="Times New Roman" w:cs="Times New Roman" w:eastAsia="Times New Roman" w:hAnsi="Times New Roman"/>
          <w:sz w:val="18"/>
          <w:szCs w:val="18"/>
          <w:color w:val="auto"/>
        </w:rPr>
        <w:t>. The Company will, and will cause each of its Subsidiaries to, file all tax returns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filed in any jurisdiction and to pay and discharge all taxes shown to be due and payable on such returns and all other taxes, assessments, governmental charges, or levies imposed on them or any of their properties, assets, income or franchises, to the extent the same have become due and payable and before they have become delinquent and all claims for which sums have become due and payable that have or might become a Lien on properties or assets of the Company or any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the Company nor any Subsidiary need pay any such tax, assessment, charge, levy or claim if (i)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(ii) the nonpayment of all such taxes, assessments, charges, levies and claims could not, individually or in the aggregate, reasonably be expected to have a Material Adverse Effect.</w:t>
      </w:r>
    </w:p>
    <w:p>
      <w:pPr>
        <w:spacing w:after="0" w:line="188" w:lineRule="exact"/>
        <w:rPr>
          <w:sz w:val="20"/>
          <w:szCs w:val="20"/>
          <w:color w:val="auto"/>
        </w:rPr>
      </w:pPr>
    </w:p>
    <w:p>
      <w:pPr>
        <w:jc w:val="both"/>
        <w:ind w:firstLine="612"/>
        <w:spacing w:after="0" w:line="220" w:lineRule="exact"/>
        <w:rPr>
          <w:sz w:val="20"/>
          <w:szCs w:val="20"/>
          <w:color w:val="auto"/>
        </w:rPr>
      </w:pPr>
      <w:r>
        <w:rPr>
          <w:rFonts w:ascii="Times New Roman" w:cs="Times New Roman" w:eastAsia="Times New Roman" w:hAnsi="Times New Roman"/>
          <w:sz w:val="18"/>
          <w:szCs w:val="18"/>
          <w:b w:val="1"/>
          <w:bCs w:val="1"/>
          <w:color w:val="auto"/>
        </w:rPr>
        <w:t>Section 9.5. Corporate Existence, Etc</w:t>
      </w:r>
      <w:r>
        <w:rPr>
          <w:rFonts w:ascii="Times New Roman" w:cs="Times New Roman" w:eastAsia="Times New Roman" w:hAnsi="Times New Roman"/>
          <w:sz w:val="18"/>
          <w:szCs w:val="18"/>
          <w:color w:val="auto"/>
        </w:rPr>
        <w:t>. Subject to Section 10.2, the Company will at all times preserve and keep its corporate existence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force and effect. Subject to Sections 10.2 and 10.3, the Company will at all times preserve and keep in full force and effect the corporate existence of each of its Subsidiaries (unless merged into the Company or a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Subsidiary) and all rights and franchises of the Company and its Subsidiaries unless, in the good faith judgment of the Company, the termination of or failure to preserve and keep in full force and effect such corporate existence, right or franchise could not, individually or in the aggregate, have a Material Adverse Effect.</w:t>
      </w:r>
    </w:p>
    <w:p>
      <w:pPr>
        <w:spacing w:after="0" w:line="196" w:lineRule="exact"/>
        <w:rPr>
          <w:sz w:val="20"/>
          <w:szCs w:val="20"/>
          <w:color w:val="auto"/>
        </w:rPr>
      </w:pPr>
    </w:p>
    <w:p>
      <w:pPr>
        <w:jc w:val="both"/>
        <w:ind w:firstLine="754"/>
        <w:spacing w:after="0" w:line="257" w:lineRule="auto"/>
        <w:rPr>
          <w:sz w:val="20"/>
          <w:szCs w:val="20"/>
          <w:color w:val="auto"/>
        </w:rPr>
      </w:pPr>
      <w:r>
        <w:rPr>
          <w:rFonts w:ascii="Times New Roman" w:cs="Times New Roman" w:eastAsia="Times New Roman" w:hAnsi="Times New Roman"/>
          <w:sz w:val="18"/>
          <w:szCs w:val="18"/>
          <w:b w:val="1"/>
          <w:bCs w:val="1"/>
          <w:color w:val="auto"/>
        </w:rPr>
        <w:t>Section 9.6. Books and Records</w:t>
      </w:r>
      <w:r>
        <w:rPr>
          <w:rFonts w:ascii="Times New Roman" w:cs="Times New Roman" w:eastAsia="Times New Roman" w:hAnsi="Times New Roman"/>
          <w:sz w:val="18"/>
          <w:szCs w:val="18"/>
          <w:color w:val="auto"/>
        </w:rPr>
        <w:t>. The Company will, and will cause each of its Subsidiaries to, maintain proper books of record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in conformity with GAAP and all applicable requirements of any Governmental Authority having legal or regulatory jurisdiction over the Company or such Subsidiary, as the case may be. The Company will, and will cause each of its Subsidiaries to, keep books, records and accounts which, in reasonable detail, accurately reflect all transactions and dispositions of assets. The Company and its Subsidiaries have devised a system of internal accounting controls sufficient to provide reasonable assurances that their respective books, records, and accounts accurately reflect all transactions and dispositions of assets and the Company will, and will cause each of its Subsidiaries to, continue to maintain such system.</w:t>
      </w:r>
    </w:p>
    <w:p>
      <w:pPr>
        <w:spacing w:after="0" w:line="182" w:lineRule="exact"/>
        <w:rPr>
          <w:sz w:val="20"/>
          <w:szCs w:val="20"/>
          <w:color w:val="auto"/>
        </w:rPr>
      </w:pPr>
    </w:p>
    <w:p>
      <w:pPr>
        <w:jc w:val="both"/>
        <w:ind w:firstLine="641"/>
        <w:spacing w:after="0" w:line="224" w:lineRule="exact"/>
        <w:rPr>
          <w:sz w:val="20"/>
          <w:szCs w:val="20"/>
          <w:color w:val="auto"/>
        </w:rPr>
      </w:pPr>
      <w:r>
        <w:rPr>
          <w:rFonts w:ascii="Times New Roman" w:cs="Times New Roman" w:eastAsia="Times New Roman" w:hAnsi="Times New Roman"/>
          <w:sz w:val="18"/>
          <w:szCs w:val="18"/>
          <w:b w:val="1"/>
          <w:bCs w:val="1"/>
          <w:color w:val="auto"/>
        </w:rPr>
        <w:t xml:space="preserve">Section 9.7. Subsidiary Guarantors. </w:t>
      </w:r>
      <w:r>
        <w:rPr>
          <w:rFonts w:ascii="Times New Roman" w:cs="Times New Roman" w:eastAsia="Times New Roman" w:hAnsi="Times New Roman"/>
          <w:sz w:val="18"/>
          <w:szCs w:val="18"/>
          <w:color w:val="auto"/>
        </w:rPr>
        <w:t>(a) The Company will cause each of its Subsidiaries that guarantees or otherwise becomes liable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time, whether as a borrower or an additional 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borrower or otherwise, for or in respect of any Indebtedness under any Material Credit Facility to concurrently therewith:</w:t>
      </w:r>
    </w:p>
    <w:p>
      <w:pPr>
        <w:spacing w:after="0" w:line="198" w:lineRule="exact"/>
        <w:rPr>
          <w:sz w:val="20"/>
          <w:szCs w:val="20"/>
          <w:color w:val="auto"/>
        </w:rPr>
      </w:pPr>
    </w:p>
    <w:p>
      <w:pPr>
        <w:jc w:val="both"/>
        <w:ind w:left="660" w:firstLine="868"/>
        <w:spacing w:after="0" w:line="219" w:lineRule="exact"/>
        <w:tabs>
          <w:tab w:leader="none" w:pos="23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 agreement in form and substance satisfactory to the Required Holders providing for the guaranty by such Subsidiary, on a joint and several basis with all other such Subsidiaries, of (x) the prompt payment in full when due of all amounts payable by the Company pursuant to the Notes (whether for principal, interest,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Whole Amount or otherwise) and this Agreement, including all indemnities, fees and expenses payable by the Company thereunder and (y) the prompt, full and faithful performance, observance and discharge by the Company of each and every covenant, agreement, undertaking and provision required pursuant to the Notes or this Agreement to be performed, observed or discharged by it (a </w:t>
      </w:r>
      <w:r>
        <w:rPr>
          <w:rFonts w:ascii="Times New Roman" w:cs="Times New Roman" w:eastAsia="Times New Roman" w:hAnsi="Times New Roman"/>
          <w:sz w:val="18"/>
          <w:szCs w:val="18"/>
          <w:b w:val="1"/>
          <w:bCs w:val="1"/>
          <w:color w:val="auto"/>
        </w:rPr>
        <w:t>“Subsidiary Guaranty”</w:t>
      </w:r>
      <w:r>
        <w:rPr>
          <w:rFonts w:ascii="Times New Roman" w:cs="Times New Roman" w:eastAsia="Times New Roman" w:hAnsi="Times New Roman"/>
          <w:sz w:val="18"/>
          <w:szCs w:val="18"/>
          <w:color w:val="auto"/>
        </w:rPr>
        <w:t>); and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5" w:lineRule="exact"/>
        <w:rPr>
          <w:sz w:val="20"/>
          <w:szCs w:val="20"/>
          <w:color w:val="auto"/>
        </w:rPr>
      </w:pPr>
    </w:p>
    <w:p>
      <w:pPr>
        <w:ind w:left="2120" w:hanging="663"/>
        <w:spacing w:after="0"/>
        <w:tabs>
          <w:tab w:leader="none" w:pos="2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the following to each holder of a Note:</w:t>
      </w:r>
    </w:p>
    <w:p>
      <w:pPr>
        <w:spacing w:after="0" w:line="225" w:lineRule="exact"/>
        <w:rPr>
          <w:rFonts w:ascii="Times New Roman" w:cs="Times New Roman" w:eastAsia="Times New Roman" w:hAnsi="Times New Roman"/>
          <w:sz w:val="18"/>
          <w:szCs w:val="18"/>
          <w:color w:val="auto"/>
        </w:rPr>
      </w:pPr>
    </w:p>
    <w:p>
      <w:pPr>
        <w:ind w:left="2400" w:hanging="700"/>
        <w:spacing w:after="0"/>
        <w:tabs>
          <w:tab w:leader="none" w:pos="24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counterpart of such Subsidiary Guaranty;</w:t>
      </w:r>
    </w:p>
    <w:p>
      <w:pPr>
        <w:spacing w:after="0" w:line="225" w:lineRule="exact"/>
        <w:rPr>
          <w:rFonts w:ascii="Times New Roman" w:cs="Times New Roman" w:eastAsia="Times New Roman" w:hAnsi="Times New Roman"/>
          <w:sz w:val="18"/>
          <w:szCs w:val="18"/>
          <w:color w:val="auto"/>
        </w:rPr>
      </w:pPr>
    </w:p>
    <w:p>
      <w:pPr>
        <w:jc w:val="both"/>
        <w:ind w:left="1300" w:firstLine="444"/>
        <w:spacing w:after="0" w:line="266" w:lineRule="auto"/>
        <w:tabs>
          <w:tab w:leader="none" w:pos="2426" w:val="left"/>
        </w:tabs>
        <w:numPr>
          <w:ilvl w:val="3"/>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signed by an authorized responsible officer of such Subsidiary containing representations and warranties on behalf of such Subsidiary to the same effect,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those contained in Sections 5.1, 5.2, 5.6, 5.7 and 5.19 of this Agreement (but with respect to such Subsidiary and such Subsidiary Guaranty rather than the Company);</w:t>
      </w:r>
    </w:p>
    <w:p>
      <w:pPr>
        <w:spacing w:after="0" w:line="175" w:lineRule="exact"/>
        <w:rPr>
          <w:rFonts w:ascii="Times New Roman" w:cs="Times New Roman" w:eastAsia="Times New Roman" w:hAnsi="Times New Roman"/>
          <w:sz w:val="18"/>
          <w:szCs w:val="18"/>
          <w:color w:val="auto"/>
        </w:rPr>
      </w:pPr>
    </w:p>
    <w:p>
      <w:pPr>
        <w:jc w:val="both"/>
        <w:ind w:left="1300" w:firstLine="422"/>
        <w:spacing w:after="0" w:line="261" w:lineRule="auto"/>
        <w:tabs>
          <w:tab w:leader="none" w:pos="249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as may be reasonably requested by the Required Holders to evidence the due organization, continuing existence and, where applicable, good standing of such Subsidiary and the due authorization by all requisite action on the part of such Subsidiary of the execution and delivery of such Subsidiary Guaranty and the performance by such Subsidiary of its obligations thereunder; and</w:t>
      </w:r>
    </w:p>
    <w:p>
      <w:pPr>
        <w:spacing w:after="0" w:line="179" w:lineRule="exact"/>
        <w:rPr>
          <w:rFonts w:ascii="Times New Roman" w:cs="Times New Roman" w:eastAsia="Times New Roman" w:hAnsi="Times New Roman"/>
          <w:sz w:val="18"/>
          <w:szCs w:val="18"/>
          <w:color w:val="auto"/>
        </w:rPr>
      </w:pPr>
    </w:p>
    <w:p>
      <w:pPr>
        <w:ind w:left="1300" w:right="20" w:firstLine="429"/>
        <w:spacing w:after="0" w:line="282" w:lineRule="auto"/>
        <w:tabs>
          <w:tab w:leader="none" w:pos="2496"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reasonably satisfactory to the Required Holders covering such matters relating to such Subsidiary and such Subsidiary Guaranty as the Required Holders may reasonably request,</w:t>
      </w:r>
    </w:p>
    <w:p>
      <w:pPr>
        <w:spacing w:after="0" w:line="160"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anything contained in this Section 9.7(a) to the contrary, the Company shall be under no obligation to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may in its sole discretion) require any Foreign Subsidiary to become a Subsidiary Guarantor in respect of this Agreement and the Notes to the extent such Foreign Subsidiary’s obligations under all Material Credit Facilities consist solely of direct borrowings solely to such Foreign Subsidiary or one or more other Foreign Subsidiaries as co-obligors (a </w:t>
      </w:r>
      <w:r>
        <w:rPr>
          <w:rFonts w:ascii="Times New Roman" w:cs="Times New Roman" w:eastAsia="Times New Roman" w:hAnsi="Times New Roman"/>
          <w:sz w:val="18"/>
          <w:szCs w:val="18"/>
          <w:b w:val="1"/>
          <w:bCs w:val="1"/>
          <w:color w:val="auto"/>
        </w:rPr>
        <w:t>“Foreign Borrowing”</w:t>
      </w:r>
      <w:r>
        <w:rPr>
          <w:rFonts w:ascii="Times New Roman" w:cs="Times New Roman" w:eastAsia="Times New Roman" w:hAnsi="Times New Roman"/>
          <w:sz w:val="18"/>
          <w:szCs w:val="18"/>
          <w:color w:val="auto"/>
        </w:rPr>
        <w:t xml:space="preserve">) or guaranties of a Foreign Borrowing by one or more other Foreign Subsidiaries (a </w:t>
      </w:r>
      <w:r>
        <w:rPr>
          <w:rFonts w:ascii="Times New Roman" w:cs="Times New Roman" w:eastAsia="Times New Roman" w:hAnsi="Times New Roman"/>
          <w:sz w:val="18"/>
          <w:szCs w:val="18"/>
          <w:b w:val="1"/>
          <w:bCs w:val="1"/>
          <w:color w:val="auto"/>
        </w:rPr>
        <w:t>“Foreign Guarantee”</w:t>
      </w:r>
      <w:r>
        <w:rPr>
          <w:rFonts w:ascii="Times New Roman" w:cs="Times New Roman" w:eastAsia="Times New Roman" w:hAnsi="Times New Roman"/>
          <w:sz w:val="18"/>
          <w:szCs w:val="18"/>
          <w:color w:val="auto"/>
        </w:rPr>
        <w:t>) and, in each case, such incidental obligations as are customary for borrowings of the type provided under the applicable facilities. For all purposes of this Agreement, all Foreign Borrowings and Foreign Guarantees (without duplication of the amounts guaranteed) shall constitute Priority Indebtedness.</w:t>
      </w:r>
    </w:p>
    <w:p>
      <w:pPr>
        <w:spacing w:after="0" w:line="185" w:lineRule="exact"/>
        <w:rPr>
          <w:sz w:val="20"/>
          <w:szCs w:val="20"/>
          <w:color w:val="auto"/>
        </w:rPr>
      </w:pPr>
    </w:p>
    <w:p>
      <w:pPr>
        <w:jc w:val="both"/>
        <w:ind w:firstLine="656"/>
        <w:spacing w:after="0" w:line="253" w:lineRule="auto"/>
        <w:tabs>
          <w:tab w:leader="none" w:pos="136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election of the Company and by written notice to each holder of Notes, any Subsidiary Guarantor that has provided a Subsidiary Guaranty under subparagraph (a) of this Section 9.7 may be discharged from all of its obligations and liabilities under its Subsidiary Guaranty and shall be automatically released from its obligations thereunder without the need for the execution or delivery of any other document by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if such Subsidiary Guarantor is a guarantor or is otherwise liable for or in respect of any Material Credit Facility, then such Subsidiary Guarantor has been released and discharged (or will be released and discharged concurrently with the release of such Subsidiary Guarantor under its Subsidiary Guaranty) under such Material Credit Facility, (ii) at the time of, and after giving effect to, such release and discharge, no Default or Event of Default shall be existing, (iii) no amount is then due and payable under such Subsidiary Guaranty, (iv) if in connection with such Subsidiary Guarantor being released and discharged under any Material Credit Facility, any fee or other form of consideration is given to any holder of Indebtedness under such Material Credit Facility for such release, the holders of the Notes shall receive equivalent consideration substantially concurrently therewith and (v) each holder shall have received a certificate of a Responsible Officer certifying as to the matters set forth in clauses (i) through (iv). In the event of any such release, for purposes of Section 10.8, all Indebtedness of such Subsidiary shall be deemed to have been incurred concurrently with such release.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66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9.8. Priority of Obligations. </w:t>
      </w:r>
      <w:r>
        <w:rPr>
          <w:rFonts w:ascii="Times New Roman" w:cs="Times New Roman" w:eastAsia="Times New Roman" w:hAnsi="Times New Roman"/>
          <w:sz w:val="18"/>
          <w:szCs w:val="18"/>
          <w:color w:val="auto"/>
        </w:rPr>
        <w:t>The Company will ensure that its payment obligations under this Agreement and the Notes,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obligations of any Subsidiary Guarantor under its Subsidiary Guaranty, if any, will at all times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without preference or priority, with all other unsecured and unsubordinated Indebtedness of the Company and such Subsidiary Guarantor, as applicable.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terms of Section 11, it will not be a Default or an Event of Default if the Company fails to comply with any provision of Section 9 on or after the date of this Agreement and prior to the Closing, but if such a failure occurs, then any of the Purchasers may elect not to purchase such Notes on the date of the Closing that is specified in Section 3.3.</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10.</w:t>
      </w:r>
      <w:r>
        <w:rPr>
          <w:sz w:val="20"/>
          <w:szCs w:val="20"/>
          <w:color w:val="auto"/>
        </w:rPr>
        <w:tab/>
      </w: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egative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ovenants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covenants that so long as any of the Notes are outstanding:</w:t>
      </w:r>
    </w:p>
    <w:p>
      <w:pPr>
        <w:spacing w:after="0" w:line="221" w:lineRule="exact"/>
        <w:rPr>
          <w:sz w:val="20"/>
          <w:szCs w:val="20"/>
          <w:color w:val="auto"/>
        </w:rPr>
      </w:pPr>
    </w:p>
    <w:p>
      <w:pPr>
        <w:jc w:val="both"/>
        <w:ind w:firstLine="669"/>
        <w:spacing w:after="0" w:line="223" w:lineRule="exact"/>
        <w:rPr>
          <w:sz w:val="20"/>
          <w:szCs w:val="20"/>
          <w:color w:val="auto"/>
        </w:rPr>
      </w:pPr>
      <w:r>
        <w:rPr>
          <w:rFonts w:ascii="Times New Roman" w:cs="Times New Roman" w:eastAsia="Times New Roman" w:hAnsi="Times New Roman"/>
          <w:sz w:val="18"/>
          <w:szCs w:val="18"/>
          <w:b w:val="1"/>
          <w:bCs w:val="1"/>
          <w:color w:val="auto"/>
        </w:rPr>
        <w:t>Section 10.1. Transactions with Affiliates</w:t>
      </w:r>
      <w:r>
        <w:rPr>
          <w:rFonts w:ascii="Times New Roman" w:cs="Times New Roman" w:eastAsia="Times New Roman" w:hAnsi="Times New Roman"/>
          <w:sz w:val="18"/>
          <w:szCs w:val="18"/>
          <w:color w:val="auto"/>
        </w:rPr>
        <w:t>. The Company will not, and will not permit any Subsidiary to, enter into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Material transaction or Material group of related transactions (including the purchase, lease, sale or exchange of properties of any kind or the rendering of any service) with any Affiliate (other than (i) the Company or another Subsidiary, (ii) any of the officers, directors or employees of the Company or any such Subsidiary, or (iii) any joint venture of the Company or any Subsidiary), except (a) in the ordinary course and pursuant to the reasonable requirements of the Company’s or such Subsidiary’s business and upon fair and reasonable terms no less favorable to the Company or such Subsidiary than would be obtainable in a comparable arm’s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length transaction with a Person not an Affiliate or (b) to the extent permitted in Section 10.11.</w:t>
      </w:r>
    </w:p>
    <w:p>
      <w:pPr>
        <w:spacing w:after="0" w:line="177" w:lineRule="exact"/>
        <w:rPr>
          <w:sz w:val="20"/>
          <w:szCs w:val="20"/>
          <w:color w:val="auto"/>
        </w:rPr>
      </w:pPr>
    </w:p>
    <w:p>
      <w:pPr>
        <w:jc w:val="both"/>
        <w:ind w:firstLine="660"/>
        <w:spacing w:after="0" w:line="278" w:lineRule="auto"/>
        <w:rPr>
          <w:sz w:val="20"/>
          <w:szCs w:val="20"/>
          <w:color w:val="auto"/>
        </w:rPr>
      </w:pPr>
      <w:r>
        <w:rPr>
          <w:rFonts w:ascii="Times New Roman" w:cs="Times New Roman" w:eastAsia="Times New Roman" w:hAnsi="Times New Roman"/>
          <w:sz w:val="18"/>
          <w:szCs w:val="18"/>
          <w:b w:val="1"/>
          <w:bCs w:val="1"/>
          <w:color w:val="auto"/>
        </w:rPr>
        <w:t>Section 10.2. Merger, Consolidation, Etc</w:t>
      </w:r>
      <w:r>
        <w:rPr>
          <w:rFonts w:ascii="Times New Roman" w:cs="Times New Roman" w:eastAsia="Times New Roman" w:hAnsi="Times New Roman"/>
          <w:sz w:val="18"/>
          <w:szCs w:val="18"/>
          <w:color w:val="auto"/>
        </w:rPr>
        <w:t>. The Company will not, and will not permit any Subsidiary Guarantor to, consolidate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 with any other Person or convey, transfer or lease all or substantially all of its assets in a single transaction or series of transactions to any Person unless:</w:t>
      </w:r>
    </w:p>
    <w:p>
      <w:pPr>
        <w:spacing w:after="0" w:line="388" w:lineRule="exact"/>
        <w:rPr>
          <w:sz w:val="20"/>
          <w:szCs w:val="20"/>
          <w:color w:val="auto"/>
        </w:rPr>
      </w:pPr>
    </w:p>
    <w:p>
      <w:pPr>
        <w:jc w:val="both"/>
        <w:ind w:left="660" w:firstLine="702"/>
        <w:spacing w:after="0" w:line="254" w:lineRule="auto"/>
        <w:tabs>
          <w:tab w:leader="none" w:pos="205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transaction involving the Company, 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any state thereof (including the District of Columbia), and, if the Company is not such corporation or limited liability company, (i) such corporation or limited liability company shall have executed and delivered to each holder of any Notes its assumption of the due and punctual performance and observance of each covenant and condition of this Agreement and the Notes and (ii) such corporation or limited liability company shall have caused to be delivered to each holder of any Notes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5" w:lineRule="exact"/>
        <w:rPr>
          <w:sz w:val="20"/>
          <w:szCs w:val="20"/>
          <w:color w:val="auto"/>
        </w:rPr>
      </w:pPr>
    </w:p>
    <w:p>
      <w:pPr>
        <w:jc w:val="both"/>
        <w:ind w:left="660" w:firstLine="879"/>
        <w:spacing w:after="0" w:line="253" w:lineRule="auto"/>
        <w:tabs>
          <w:tab w:leader="none" w:pos="23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transaction involving a Subsidiary Guarantor, the successor formed by such consolidation or the survivor of such merger or the Person that acquires by conveyance, transfer or lease all or substantially all of the assets of such Subsidiary Guarantor as an entirety, as the case may be, shall be (1) the Company, such Subsidiary Guarantor or another Subsidiary Guarantor; (2) a solvent corporation or limited liability company (other than the Company or another Subsidiary Guarantor) that is organized and existing under the laws of the United States or any state thereof (including the District of Columbia) and, if such Subsidiary Guarantor is not such corporation or limited liability company, (A) such corporation or limited liability company shall have executed and delivered to each holder of Notes its assumption of the due and punctual performance and observance of each covenant and condition of the Subsidiary Guaranty of such Subsidiary Guarantor and</w:t>
      </w:r>
    </w:p>
    <w:p>
      <w:pPr>
        <w:spacing w:after="0" w:line="2"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caused to be delivered to each holder of Notes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 or (3) any other Person so long as the transaction is treated as a disposition of all of the assets of such Subsidiary Guarantor for purposes of Section 10.3 and, based on such characterization, would be permitted pursuant to Section 10.3;</w:t>
      </w:r>
    </w:p>
    <w:p>
      <w:pPr>
        <w:spacing w:after="0" w:line="186" w:lineRule="exact"/>
        <w:rPr>
          <w:rFonts w:ascii="Times New Roman" w:cs="Times New Roman" w:eastAsia="Times New Roman" w:hAnsi="Times New Roman"/>
          <w:sz w:val="18"/>
          <w:szCs w:val="18"/>
          <w:color w:val="auto"/>
        </w:rPr>
      </w:pPr>
    </w:p>
    <w:p>
      <w:pPr>
        <w:jc w:val="both"/>
        <w:ind w:left="660" w:firstLine="719"/>
        <w:spacing w:after="0" w:line="266" w:lineRule="auto"/>
        <w:tabs>
          <w:tab w:leader="none" w:pos="20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Guarantor under any Subsidiary Guaranty that is outstanding at the time such transaction or each transaction in such a series of transactions occurs reaffirms its obligations under such Subsidiary Guaranty in writing at such time pursuant to documentation that is reasonably acceptable to the Required Holders; and</w:t>
      </w:r>
    </w:p>
    <w:p>
      <w:pPr>
        <w:spacing w:after="0" w:line="175" w:lineRule="exact"/>
        <w:rPr>
          <w:rFonts w:ascii="Times New Roman" w:cs="Times New Roman" w:eastAsia="Times New Roman" w:hAnsi="Times New Roman"/>
          <w:sz w:val="18"/>
          <w:szCs w:val="18"/>
          <w:color w:val="auto"/>
        </w:rPr>
      </w:pPr>
    </w:p>
    <w:p>
      <w:pPr>
        <w:ind w:left="660" w:firstLine="971"/>
        <w:spacing w:after="0" w:line="282" w:lineRule="auto"/>
        <w:tabs>
          <w:tab w:leader="none" w:pos="2534"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each transaction in any such series of transactions, no Default or Event of Default shall have occurred and be continuing.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such conveyance, transfer or lease of substantially all of the assets of the Company or any Subsidiary Guarantor shall have the effect of releasing the Company or such Subsidiary Guarantor, as the case may be, or any successor corporation or limited liability company that shall theretofore have become such in the manner prescribed in this Section 10.2, from its liability under (x) this Agreement or the Notes (in the case of the Company) or (y) the Subsidiary Guaranty (in the case of any Subsidiary Guarantor), unless, in the case of the conveyance, transfer or lease of substantially all of the assets of a Subsidiary Guarantor, such Subsidiary Guarantor is released from its Subsidiary Guaranty in accordance with Section 9.7(b) in connection with or immediately following such conveyance, transfer or lease.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8"/>
          <w:szCs w:val="18"/>
          <w:b w:val="1"/>
          <w:bCs w:val="1"/>
          <w:color w:val="auto"/>
        </w:rPr>
        <w:t>Section 10.3. Sale of Assets, Etc</w:t>
      </w:r>
      <w:r>
        <w:rPr>
          <w:rFonts w:ascii="Times New Roman" w:cs="Times New Roman" w:eastAsia="Times New Roman" w:hAnsi="Times New Roman"/>
          <w:sz w:val="18"/>
          <w:szCs w:val="18"/>
          <w:color w:val="auto"/>
        </w:rPr>
        <w:t>. The Company will not, and will not permit any Subsidiary to, sell, lease or otherwise dispose of any substantial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 (as defined below) of the assets of the Company and its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or any Subsidiary may sell, lease or otherwise dispose of assets constituting a substantial part of the assets of the Company and its Subsidiaries if such assets are sold in an arm’s length transaction and, at such time and after giving effect thereto, no Default or Event of Default shall have occurred and be continuing and an amount equal to the net cash proceeds received from such sale, lease or other disposition (but only with respect to that portion of such assets that exceeds the definition of “substantial part” set forth below) shall be used within 365 days of such sale, lease or disposition, in any combination:</w:t>
      </w:r>
    </w:p>
    <w:p>
      <w:pPr>
        <w:spacing w:after="0" w:line="186" w:lineRule="exact"/>
        <w:rPr>
          <w:sz w:val="20"/>
          <w:szCs w:val="20"/>
          <w:color w:val="auto"/>
        </w:rPr>
      </w:pPr>
    </w:p>
    <w:p>
      <w:pPr>
        <w:jc w:val="both"/>
        <w:ind w:left="660" w:firstLine="510"/>
        <w:spacing w:after="0" w:line="266" w:lineRule="auto"/>
        <w:tabs>
          <w:tab w:leader="none" w:pos="188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acquire productive assets used or useful in carrying on the business of the Company and its Subsidiaries and having a value at least equal to the portion of the value of such assets sold, leased or otherwise disposed of in excess of the definition of “substantial part” set forth below; and/or</w:t>
      </w:r>
    </w:p>
    <w:p>
      <w:pPr>
        <w:spacing w:after="0" w:line="173" w:lineRule="exact"/>
        <w:rPr>
          <w:rFonts w:ascii="Times New Roman" w:cs="Times New Roman" w:eastAsia="Times New Roman" w:hAnsi="Times New Roman"/>
          <w:sz w:val="18"/>
          <w:szCs w:val="18"/>
          <w:color w:val="auto"/>
        </w:rPr>
      </w:pPr>
    </w:p>
    <w:p>
      <w:pPr>
        <w:jc w:val="both"/>
        <w:ind w:left="660" w:firstLine="488"/>
        <w:spacing w:after="0" w:line="253" w:lineRule="auto"/>
        <w:tabs>
          <w:tab w:leader="none" w:pos="182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prepay or retire Senior Indebtedness of the Company and/or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Company shall offer to prepay each outstanding Note in a principal amount which equals the Ratable Portion for such Note, and (ii) any such prepayment of the Notes shall be made at par, together with accrued interest thereon to the date of such prepayment, but without the payment of the Make-Whole Amount or any other premium. Any offer of prepayment of the Notes pursuant to this Section 10.3 shall be given to each holder of the Notes by written notice that shall be delivered not less than ten (10) days and not more than sixty (60) days prior to the proposed prepayment date. Each such notice shall state that it is given pursuant to this Section and that the offer set forth in such notice must be accepted by such holder in writing and shall also set forth (i) the prepayment date, (ii) a description of the circumstances which give rise to the proposed prepayment and (iii) a calculation of the Ratable Portion for such holder’s Notes. Each holder of the Notes which desires to have its Notes prepaid shall notify the Company in writing delivered not less than five (5) Business Days prior to the proposed prepayment date of its acceptance of such offer of prepayment. If a Holder does not accept an offer to prepay as set forth in this Section 10.3, the Company shall be permitted to retain the Ratable Portion of the net proceeds allocable to the Notes of such Holder without any further requirements for reinvestment or prepayment as set forth in this Section 10.3.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3"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As used in this Section 10.3, a sale, lease or other disposition of assets shall be deemed to be a </w:t>
      </w:r>
      <w:r>
        <w:rPr>
          <w:rFonts w:ascii="Times New Roman" w:cs="Times New Roman" w:eastAsia="Times New Roman" w:hAnsi="Times New Roman"/>
          <w:sz w:val="18"/>
          <w:szCs w:val="18"/>
          <w:i w:val="1"/>
          <w:iCs w:val="1"/>
          <w:color w:val="auto"/>
        </w:rPr>
        <w:t>“substantial part”</w:t>
      </w:r>
      <w:r>
        <w:rPr>
          <w:rFonts w:ascii="Times New Roman" w:cs="Times New Roman" w:eastAsia="Times New Roman" w:hAnsi="Times New Roman"/>
          <w:sz w:val="18"/>
          <w:szCs w:val="18"/>
          <w:color w:val="auto"/>
        </w:rPr>
        <w:t xml:space="preserve"> of the assets of the Company and its Subsidiaries if the book value of such assets, when added to the book value of all other assets sold, leased or otherwise disposed of by the Company and its Subsidiaries during the period of 12 consecutive months ending on the date of such sale, lease or other disposition, exceeds 10% of the book value of Consolidated Total Assets, determined as of the end of the most recent fiscal quarter for which financial statements have been delivered in accordance with Section 7.1(a) hereof immediately preceding such sale, lease or other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there shall be excluded from any determination of a “substantial part” (i) any sale, lease or disposition of assets in the ordinary course of business of the Company and its Subsidiaries, (ii) any transfer of assets from the Company to any Subsidiary or from any Subsidiary to the Company or a Subsidiary, (iii) any sale or transfer of property acquired by the Company or any Subsidiary after the date of this Agreement to any Person within 365 days following the acquisition or construction of such property by the Company or any Subsidiary if the Company or a Subsidiary shall concurrently with such sale or transfer, lease such property, as lessee, (iv) any transfer of Receivables by any Originator pursuant to the Receivables Purchase Facility or other disposition of Receivables by the Company or any Subsidiary provided that the outstanding unpaid amount of all such Receivables so sold in the aggregate shall not at any time exceed $200,000,000, (v) any dispositions of (a) interests in Red Iron or (b) Receivables of the Company or its Subsidiaries to Red Iron, and (vi) dispositions of cash or cash equivalents in connection with Restricted Payments, acquisitions or investments not otherwise prohibited by this Agreement.</w:t>
      </w:r>
    </w:p>
    <w:p>
      <w:pPr>
        <w:spacing w:after="0" w:line="183"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8"/>
          <w:szCs w:val="18"/>
          <w:b w:val="1"/>
          <w:bCs w:val="1"/>
          <w:color w:val="auto"/>
        </w:rPr>
        <w:t>Section 10.4. Line of Business</w:t>
      </w:r>
      <w:r>
        <w:rPr>
          <w:rFonts w:ascii="Times New Roman" w:cs="Times New Roman" w:eastAsia="Times New Roman" w:hAnsi="Times New Roman"/>
          <w:sz w:val="18"/>
          <w:szCs w:val="18"/>
          <w:color w:val="auto"/>
        </w:rPr>
        <w:t>. The Company will not and will not permit any Subsidiary to engage in any business if, as a result,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nature of the business in which the Company and its Subsidiaries, taken as a whole, would then be engaged would be substantially changed from the general nature of the business in which the Company and its Subsidiaries, taken as a whole, are engaged on the date of this Agreement as described in the Memorandum.</w:t>
      </w:r>
    </w:p>
    <w:p>
      <w:pPr>
        <w:spacing w:after="0" w:line="394" w:lineRule="exact"/>
        <w:rPr>
          <w:sz w:val="20"/>
          <w:szCs w:val="20"/>
          <w:color w:val="auto"/>
        </w:rPr>
      </w:pPr>
    </w:p>
    <w:p>
      <w:pPr>
        <w:jc w:val="both"/>
        <w:ind w:firstLine="216"/>
        <w:spacing w:after="0" w:line="259" w:lineRule="auto"/>
        <w:rPr>
          <w:sz w:val="20"/>
          <w:szCs w:val="20"/>
          <w:color w:val="auto"/>
        </w:rPr>
      </w:pPr>
      <w:r>
        <w:rPr>
          <w:rFonts w:ascii="Times New Roman" w:cs="Times New Roman" w:eastAsia="Times New Roman" w:hAnsi="Times New Roman"/>
          <w:sz w:val="18"/>
          <w:szCs w:val="18"/>
          <w:b w:val="1"/>
          <w:bCs w:val="1"/>
          <w:color w:val="auto"/>
        </w:rPr>
        <w:t>Section 10.5. Economic Sanctions, Etc</w:t>
      </w:r>
      <w:r>
        <w:rPr>
          <w:rFonts w:ascii="Times New Roman" w:cs="Times New Roman" w:eastAsia="Times New Roman" w:hAnsi="Times New Roman"/>
          <w:sz w:val="18"/>
          <w:szCs w:val="18"/>
          <w:color w:val="auto"/>
        </w:rPr>
        <w:t>. The Company will not, and will not permit any Controlled Entity to (a) become (including by virtue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owned or controlled by a Blocked Person), own or control a Blocked Person or (b) directly or indirectly have any investment in or engage in any dealing or transaction (including any investment, dealing or transaction involving the proceeds of the Notes)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spacing w:after="0" w:line="179" w:lineRule="exact"/>
        <w:rPr>
          <w:sz w:val="20"/>
          <w:szCs w:val="20"/>
          <w:color w:val="auto"/>
        </w:rPr>
      </w:pPr>
    </w:p>
    <w:p>
      <w:pPr>
        <w:jc w:val="both"/>
        <w:ind w:firstLine="216"/>
        <w:spacing w:after="0" w:line="268" w:lineRule="auto"/>
        <w:rPr>
          <w:sz w:val="20"/>
          <w:szCs w:val="20"/>
          <w:color w:val="auto"/>
        </w:rPr>
      </w:pPr>
      <w:r>
        <w:rPr>
          <w:rFonts w:ascii="Times New Roman" w:cs="Times New Roman" w:eastAsia="Times New Roman" w:hAnsi="Times New Roman"/>
          <w:sz w:val="18"/>
          <w:szCs w:val="18"/>
          <w:b w:val="1"/>
          <w:bCs w:val="1"/>
          <w:color w:val="auto"/>
        </w:rPr>
        <w:t>Section 10.6. Liens</w:t>
      </w:r>
      <w:r>
        <w:rPr>
          <w:rFonts w:ascii="Times New Roman" w:cs="Times New Roman" w:eastAsia="Times New Roman" w:hAnsi="Times New Roman"/>
          <w:sz w:val="18"/>
          <w:szCs w:val="18"/>
          <w:color w:val="auto"/>
        </w:rPr>
        <w:t>. The Company will not and will not permit any Subsidiary to, directly or indirectly, make, create, incur, assume or suffer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 any Lien upon or with respect to any part of their respective property, whether now owned or hereafter acquired, other than the following (“</w:t>
      </w:r>
      <w:r>
        <w:rPr>
          <w:rFonts w:ascii="Times New Roman" w:cs="Times New Roman" w:eastAsia="Times New Roman" w:hAnsi="Times New Roman"/>
          <w:sz w:val="18"/>
          <w:szCs w:val="18"/>
          <w:b w:val="1"/>
          <w:b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firstLine="1019"/>
        <w:spacing w:after="0" w:line="282" w:lineRule="auto"/>
        <w:tabs>
          <w:tab w:leader="none" w:pos="183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existing on property of the Company or any Subsidiary on the date of Closing and set forth in Schedule 10.6 securing Indebtedness outstanding on such date;</w:t>
      </w:r>
    </w:p>
    <w:p>
      <w:pPr>
        <w:spacing w:after="0" w:line="161" w:lineRule="exact"/>
        <w:rPr>
          <w:rFonts w:ascii="Times New Roman" w:cs="Times New Roman" w:eastAsia="Times New Roman" w:hAnsi="Times New Roman"/>
          <w:sz w:val="18"/>
          <w:szCs w:val="18"/>
          <w:color w:val="auto"/>
        </w:rPr>
      </w:pPr>
    </w:p>
    <w:p>
      <w:pPr>
        <w:ind w:left="660" w:firstLine="212"/>
        <w:spacing w:after="0" w:line="282" w:lineRule="auto"/>
        <w:tabs>
          <w:tab w:leader="none" w:pos="18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fees, assessments or other governmental charges which are not delinquent or remain payable without penalty,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notice of lien has been filed or recorded under the Code;</w:t>
      </w:r>
    </w:p>
    <w:p>
      <w:pPr>
        <w:spacing w:after="0" w:line="161" w:lineRule="exact"/>
        <w:rPr>
          <w:rFonts w:ascii="Times New Roman" w:cs="Times New Roman" w:eastAsia="Times New Roman" w:hAnsi="Times New Roman"/>
          <w:sz w:val="18"/>
          <w:szCs w:val="18"/>
          <w:color w:val="auto"/>
        </w:rPr>
      </w:pPr>
    </w:p>
    <w:p>
      <w:pPr>
        <w:jc w:val="both"/>
        <w:ind w:left="660" w:firstLine="212"/>
        <w:spacing w:after="0" w:line="266" w:lineRule="auto"/>
        <w:tabs>
          <w:tab w:leader="none" w:pos="173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have the effect of preventing the forfeiture or sale of the property subject thereto;</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ind w:left="660" w:firstLine="212"/>
        <w:spacing w:after="0" w:line="282" w:lineRule="auto"/>
        <w:tabs>
          <w:tab w:leader="none" w:pos="17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132" w:lineRule="exact"/>
        <w:rPr>
          <w:rFonts w:ascii="Times New Roman" w:cs="Times New Roman" w:eastAsia="Times New Roman" w:hAnsi="Times New Roman"/>
          <w:sz w:val="18"/>
          <w:szCs w:val="18"/>
          <w:color w:val="auto"/>
        </w:rPr>
      </w:pPr>
    </w:p>
    <w:p>
      <w:pPr>
        <w:jc w:val="both"/>
        <w:ind w:left="660" w:firstLine="212"/>
        <w:spacing w:after="0" w:line="239" w:lineRule="exact"/>
        <w:tabs>
          <w:tab w:leader="none" w:pos="16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of the Company or any of its Subsidiaries securing (i)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delinquent performance of bids, trade contracts (other than for borrowed money), leases, statutory obligations, (ii) contingent obligations on surety and appeal bonds, and (iii)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delinquent obligations of a like nature; in each case, incurred in the ordinary course of business;</w:t>
      </w:r>
    </w:p>
    <w:p>
      <w:pPr>
        <w:spacing w:after="0" w:line="149" w:lineRule="exact"/>
        <w:rPr>
          <w:rFonts w:ascii="Times New Roman" w:cs="Times New Roman" w:eastAsia="Times New Roman" w:hAnsi="Times New Roman"/>
          <w:sz w:val="18"/>
          <w:szCs w:val="18"/>
          <w:color w:val="auto"/>
        </w:rPr>
      </w:pPr>
    </w:p>
    <w:p>
      <w:pPr>
        <w:jc w:val="both"/>
        <w:ind w:left="660" w:firstLine="212"/>
        <w:spacing w:after="0" w:line="232" w:lineRule="exact"/>
        <w:tabs>
          <w:tab w:leader="none" w:pos="17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way, restrictions and other similar encumbrances incurred in the ordinary course of business which, in the aggregate, are not substantial in amount, and which do not in any case materially detract from the value of the property subject thereto or interfere with the ordinary conduct of the businesses of the Company and its Subsidiaries;</w:t>
      </w:r>
    </w:p>
    <w:p>
      <w:pPr>
        <w:spacing w:after="0" w:line="199" w:lineRule="exact"/>
        <w:rPr>
          <w:rFonts w:ascii="Times New Roman" w:cs="Times New Roman" w:eastAsia="Times New Roman" w:hAnsi="Times New Roman"/>
          <w:sz w:val="18"/>
          <w:szCs w:val="18"/>
          <w:color w:val="auto"/>
        </w:rPr>
      </w:pPr>
    </w:p>
    <w:p>
      <w:pPr>
        <w:ind w:left="1660" w:hanging="788"/>
        <w:spacing w:after="0"/>
        <w:tabs>
          <w:tab w:leader="none" w:pos="1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a Person subject to an Acquisition existing at the time of such Acquisition;</w:t>
      </w:r>
    </w:p>
    <w:p>
      <w:pPr>
        <w:spacing w:after="0" w:line="196" w:lineRule="exact"/>
        <w:rPr>
          <w:rFonts w:ascii="Times New Roman" w:cs="Times New Roman" w:eastAsia="Times New Roman" w:hAnsi="Times New Roman"/>
          <w:sz w:val="18"/>
          <w:szCs w:val="18"/>
          <w:color w:val="auto"/>
        </w:rPr>
      </w:pPr>
    </w:p>
    <w:p>
      <w:pPr>
        <w:jc w:val="both"/>
        <w:ind w:left="660" w:firstLine="212"/>
        <w:spacing w:after="0" w:line="232" w:lineRule="exact"/>
        <w:tabs>
          <w:tab w:leader="none" w:pos="181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Receivables, lease receivables and other obligations owing to any of the Company or any domestic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Subsidiary to the extent such Receivables, lease receivables and other obligations have been sold under a Receivables Purchase Facility provided that the outstanding unpaid amount of all such Receivables so sold in the aggregate shall not at any time exceed $200,000,000,</w:t>
      </w:r>
    </w:p>
    <w:p>
      <w:pPr>
        <w:spacing w:after="0" w:line="170" w:lineRule="exact"/>
        <w:rPr>
          <w:rFonts w:ascii="Times New Roman" w:cs="Times New Roman" w:eastAsia="Times New Roman" w:hAnsi="Times New Roman"/>
          <w:sz w:val="18"/>
          <w:szCs w:val="18"/>
          <w:color w:val="auto"/>
        </w:rPr>
      </w:pPr>
    </w:p>
    <w:p>
      <w:pPr>
        <w:jc w:val="both"/>
        <w:ind w:left="660" w:firstLine="212"/>
        <w:spacing w:after="0" w:line="226" w:lineRule="exact"/>
        <w:tabs>
          <w:tab w:leader="none" w:pos="17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solely by virtue of any statutory or common law provision relating to banker’s liens, rights of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off or similar rights and remedies as to deposit accounts or other funds maintained with a creditor depository institution;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deposit account is not a dedicated cash collateral account and is not subject to restrictions against access by the Company in excess of those set forth by regulations promulgated by the FRB, and (ii) such deposit account is not intended by the Company or any Subsidiary to provide collateral to the depository institution; and</w:t>
      </w:r>
    </w:p>
    <w:p>
      <w:pPr>
        <w:spacing w:after="0" w:line="199" w:lineRule="exact"/>
        <w:rPr>
          <w:rFonts w:ascii="Times New Roman" w:cs="Times New Roman" w:eastAsia="Times New Roman" w:hAnsi="Times New Roman"/>
          <w:sz w:val="18"/>
          <w:szCs w:val="18"/>
          <w:color w:val="auto"/>
        </w:rPr>
      </w:pPr>
    </w:p>
    <w:p>
      <w:pPr>
        <w:jc w:val="both"/>
        <w:ind w:left="660" w:firstLine="212"/>
        <w:spacing w:after="0" w:line="255" w:lineRule="auto"/>
        <w:tabs>
          <w:tab w:leader="none" w:pos="17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securing Indebtedness of the Company or any Subsidiary not otherwise permitted by clauses (a) through (i), provided that such Indebtedness shall at all times be permitted by Sections 10.7 and 10.8, provided, further, that notwithstanding the foregoing, the Company shall not, and shall not permit any of its Subsidiaries to, secure pursuant to this Section 10.6(j) any Indebtedness outstanding under or pursuant to any Material Credit Facility unless and until the Notes (and any guaranty delivered in connection therewith) shall concurrently be secured equally and ratably with such Indebtedness pursuant to documentation reasonably acceptable to the Required Holders in substance and in form, including an intercreditor agreement and opinions of counsel to the Company and/or any such Subsidiary, as the case may be, from counsel that is reasonably acceptable to the Required Holders.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8"/>
          <w:szCs w:val="18"/>
          <w:b w:val="1"/>
          <w:bCs w:val="1"/>
          <w:color w:val="auto"/>
        </w:rPr>
        <w:t>Section 10.7. Maximum Leverage Ratio</w:t>
      </w:r>
      <w:r>
        <w:rPr>
          <w:rFonts w:ascii="Times New Roman" w:cs="Times New Roman" w:eastAsia="Times New Roman" w:hAnsi="Times New Roman"/>
          <w:sz w:val="18"/>
          <w:szCs w:val="18"/>
          <w:color w:val="auto"/>
        </w:rPr>
        <w:t>. The Company (on a consolidated basis) shall not, as of the end of any fiscal quarter, permit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consolidated ratio of (a) total Indebtedness as of such date net of Pending Transaction Debt (if any) as of such date, to (b) the sum of Consolidated EBIT plus depreciation and amortization expense (the </w:t>
      </w:r>
      <w:r>
        <w:rPr>
          <w:rFonts w:ascii="Times New Roman" w:cs="Times New Roman" w:eastAsia="Times New Roman" w:hAnsi="Times New Roman"/>
          <w:sz w:val="18"/>
          <w:szCs w:val="18"/>
          <w:b w:val="1"/>
          <w:bCs w:val="1"/>
          <w:color w:val="auto"/>
        </w:rPr>
        <w:t>“Leverage Ratio”</w:t>
      </w:r>
      <w:r>
        <w:rPr>
          <w:rFonts w:ascii="Times New Roman" w:cs="Times New Roman" w:eastAsia="Times New Roman" w:hAnsi="Times New Roman"/>
          <w:sz w:val="18"/>
          <w:szCs w:val="18"/>
          <w:color w:val="auto"/>
        </w:rPr>
        <w:t xml:space="preserve">) for the period of four prior fiscal quarters ending on such date to be more than 3.50 to 1.00;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after the occurrence of any Acquisition (or series of related transactions for the purpose of or resulting in such Acquisition) with aggregate consideration in excess of $75,000,000, at the option of the Company, for each of the four consecutive fiscal quarters ending after such option exercise (a </w:t>
      </w:r>
      <w:r>
        <w:rPr>
          <w:rFonts w:ascii="Times New Roman" w:cs="Times New Roman" w:eastAsia="Times New Roman" w:hAnsi="Times New Roman"/>
          <w:sz w:val="18"/>
          <w:szCs w:val="18"/>
          <w:b w:val="1"/>
          <w:bCs w:val="1"/>
          <w:color w:val="auto"/>
        </w:rPr>
        <w:t>“Covenant Holiday”</w:t>
      </w:r>
      <w:r>
        <w:rPr>
          <w:rFonts w:ascii="Times New Roman" w:cs="Times New Roman" w:eastAsia="Times New Roman" w:hAnsi="Times New Roman"/>
          <w:sz w:val="18"/>
          <w:szCs w:val="18"/>
          <w:color w:val="auto"/>
        </w:rPr>
        <w:t xml:space="preserve">), the Leverage Ratio as of the last day of such fiscal quarter shall not exceed 4.00 to 1.00 and, in which event, the Company shall be obligated to pay the Incremental Leverage Fee provided for in Section 1.2;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xml:space="preserve"> the Company may opt to use a maximum of three Covenant Holidays during the term of this Agreement and the Leverage Ratio may not exceed 3.50 to 1.00 for at least one fiscal quarter in between each Covenant Holiday.</w:t>
      </w:r>
    </w:p>
    <w:p>
      <w:pPr>
        <w:spacing w:after="0" w:line="188"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color w:val="auto"/>
        </w:rPr>
        <w:t>Section 10.8. Priority Indebtedness</w:t>
      </w:r>
      <w:r>
        <w:rPr>
          <w:rFonts w:ascii="Times New Roman" w:cs="Times New Roman" w:eastAsia="Times New Roman" w:hAnsi="Times New Roman"/>
          <w:sz w:val="18"/>
          <w:szCs w:val="18"/>
          <w:color w:val="auto"/>
        </w:rPr>
        <w:t>. The Company will not permit Priority Indebtedness at any time to exceed 20% of Consolidated Total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Total Assets to be determined as of the end of the most recently ended fiscal quarter).</w:t>
      </w:r>
    </w:p>
    <w:p>
      <w:pPr>
        <w:spacing w:after="0" w:line="155" w:lineRule="exact"/>
        <w:rPr>
          <w:sz w:val="20"/>
          <w:szCs w:val="20"/>
          <w:color w:val="auto"/>
        </w:rPr>
      </w:pPr>
    </w:p>
    <w:p>
      <w:pPr>
        <w:jc w:val="both"/>
        <w:ind w:firstLine="216"/>
        <w:spacing w:after="0" w:line="268" w:lineRule="auto"/>
        <w:rPr>
          <w:sz w:val="20"/>
          <w:szCs w:val="20"/>
          <w:color w:val="auto"/>
        </w:rPr>
      </w:pPr>
      <w:r>
        <w:rPr>
          <w:rFonts w:ascii="Times New Roman" w:cs="Times New Roman" w:eastAsia="Times New Roman" w:hAnsi="Times New Roman"/>
          <w:sz w:val="18"/>
          <w:szCs w:val="18"/>
          <w:b w:val="1"/>
          <w:bCs w:val="1"/>
          <w:color w:val="auto"/>
        </w:rPr>
        <w:t>Section 10.9 Red Iron</w:t>
      </w:r>
      <w:r>
        <w:rPr>
          <w:rFonts w:ascii="Times New Roman" w:cs="Times New Roman" w:eastAsia="Times New Roman" w:hAnsi="Times New Roman"/>
          <w:sz w:val="18"/>
          <w:szCs w:val="18"/>
          <w:color w:val="auto"/>
        </w:rPr>
        <w:t>. The Company shall not, and shall not permit any Subsidiary to, agree to permit Red Iron to retain or defer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undisputed amounts due by Red Iron to the Company or any Subsidiary (other than as an offset in payment of amounts due by the Company or such Subsidiaries to Red Iron) in an aggregate amount at any time in excess of $35,000,000.</w:t>
      </w:r>
    </w:p>
    <w:p>
      <w:pPr>
        <w:spacing w:after="0" w:line="171" w:lineRule="exact"/>
        <w:rPr>
          <w:sz w:val="20"/>
          <w:szCs w:val="20"/>
          <w:color w:val="auto"/>
        </w:rPr>
      </w:pPr>
    </w:p>
    <w:p>
      <w:pPr>
        <w:jc w:val="both"/>
        <w:ind w:firstLine="216"/>
        <w:spacing w:after="0" w:line="262" w:lineRule="auto"/>
        <w:rPr>
          <w:sz w:val="20"/>
          <w:szCs w:val="20"/>
          <w:color w:val="auto"/>
        </w:rPr>
      </w:pPr>
      <w:r>
        <w:rPr>
          <w:rFonts w:ascii="Times New Roman" w:cs="Times New Roman" w:eastAsia="Times New Roman" w:hAnsi="Times New Roman"/>
          <w:sz w:val="18"/>
          <w:szCs w:val="18"/>
          <w:b w:val="1"/>
          <w:bCs w:val="1"/>
          <w:color w:val="auto"/>
        </w:rPr>
        <w:t>Section 10.10. Restricted Payments</w:t>
      </w:r>
      <w:r>
        <w:rPr>
          <w:rFonts w:ascii="Times New Roman" w:cs="Times New Roman" w:eastAsia="Times New Roman" w:hAnsi="Times New Roman"/>
          <w:sz w:val="18"/>
          <w:szCs w:val="18"/>
          <w:color w:val="auto"/>
        </w:rPr>
        <w:t>. The Company shall not, nor shall it suffer or permit any Material Subsidiary to, declare or make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dividend payment or other distribution of assets, properties, cash, rights, obligations or securities on account of any shares of any class of its capital stock, or purchase, redeem or otherwise acquire for value any shares of its capital stock or any warrants, rights or options to acquire such shares, now or hereafter outstanding (each of the foregoing a </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except that:</w:t>
      </w:r>
    </w:p>
    <w:p>
      <w:pPr>
        <w:spacing w:after="0" w:line="152" w:lineRule="exact"/>
        <w:rPr>
          <w:sz w:val="20"/>
          <w:szCs w:val="20"/>
          <w:color w:val="auto"/>
        </w:rPr>
      </w:pPr>
    </w:p>
    <w:p>
      <w:pPr>
        <w:ind w:left="660" w:firstLine="212"/>
        <w:spacing w:after="0" w:line="239" w:lineRule="exact"/>
        <w:tabs>
          <w:tab w:leader="none" w:pos="154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any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Subsidiary may declare and make dividend payments or other distributions payable solely in its common stock;</w:t>
      </w:r>
    </w:p>
    <w:p>
      <w:pPr>
        <w:spacing w:after="0" w:line="170" w:lineRule="exact"/>
        <w:rPr>
          <w:rFonts w:ascii="Times New Roman" w:cs="Times New Roman" w:eastAsia="Times New Roman" w:hAnsi="Times New Roman"/>
          <w:sz w:val="18"/>
          <w:szCs w:val="18"/>
          <w:color w:val="auto"/>
        </w:rPr>
      </w:pPr>
    </w:p>
    <w:p>
      <w:pPr>
        <w:ind w:left="660" w:firstLine="212"/>
        <w:spacing w:after="0" w:line="239" w:lineRule="exact"/>
        <w:tabs>
          <w:tab w:leader="none" w:pos="15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any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Subsidiary may purchase, redeem or otherwise acquire shares of its common stock or warrants or options to acquire any such shares with the proceeds received from the substantially concurrent issue of new shares of its common stock;</w:t>
      </w:r>
    </w:p>
    <w:p>
      <w:pPr>
        <w:spacing w:after="0" w:line="198" w:lineRule="exact"/>
        <w:rPr>
          <w:rFonts w:ascii="Times New Roman" w:cs="Times New Roman" w:eastAsia="Times New Roman" w:hAnsi="Times New Roman"/>
          <w:sz w:val="18"/>
          <w:szCs w:val="18"/>
          <w:color w:val="auto"/>
        </w:rPr>
      </w:pPr>
    </w:p>
    <w:p>
      <w:pPr>
        <w:jc w:val="both"/>
        <w:ind w:left="660" w:firstLine="212"/>
        <w:spacing w:after="0" w:line="261" w:lineRule="auto"/>
        <w:tabs>
          <w:tab w:leader="none" w:pos="15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(both before and after giving pro forma effect to such Restricted Payment) the Leverage Ratio for such period is less than or equal to the maximum permitted Leverage Ratio then in effect pursuant to Section 10.7, the Company may declare and pay cash dividends to its stockholders and purchase, redeem or otherwise acquire shares of its capital stock or warrants, rights or options to acquire any such shares for cash without restriction;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immediately after giving effect to any such proposed action, no Default or Event of Default would exist; and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56" w:lineRule="exact"/>
        <w:rPr>
          <w:sz w:val="20"/>
          <w:szCs w:val="20"/>
          <w:color w:val="auto"/>
        </w:rPr>
      </w:pPr>
    </w:p>
    <w:p>
      <w:pPr>
        <w:ind w:left="660" w:right="20" w:firstLine="212"/>
        <w:spacing w:after="0" w:line="239" w:lineRule="exact"/>
        <w:tabs>
          <w:tab w:leader="none" w:pos="159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Guarantor may declare and pay dividends to the Company or its parent company and any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Subsidiary may declare and pay dividends to its parent company.</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terms of Section 11, it will not be a Default or an Event of Default if the Company fails to comply with any provision of Section 10 on or after the date of this Agreement and prior to the Closing, but if such a failure occurs, then any of the Purchasers may elect not to purchase such Notes on the date of the Closing that is specified in Section 3.3.</w:t>
      </w:r>
    </w:p>
    <w:p>
      <w:pPr>
        <w:spacing w:after="0" w:line="172"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8"/>
          <w:szCs w:val="18"/>
          <w:b w:val="1"/>
          <w:bCs w:val="1"/>
          <w:color w:val="auto"/>
        </w:rPr>
        <w:t>Section 10.11. Most Favored Lender Status</w:t>
      </w:r>
      <w:r>
        <w:rPr>
          <w:rFonts w:ascii="Times New Roman" w:cs="Times New Roman" w:eastAsia="Times New Roman" w:hAnsi="Times New Roman"/>
          <w:sz w:val="18"/>
          <w:szCs w:val="18"/>
          <w:color w:val="auto"/>
        </w:rPr>
        <w:t>. (a) If at any time a Material Credit Facility contains an interest coverage or fixed charged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(regardless of whether such provision is labeled or otherwise characterized as a covenant, a definition or a default) by the Company that is more favorable to the lenders under such Material Credit Facility than the covenants, definitions and/or defaults contained in this Agreement (any such provision (including any necessary definition), a </w:t>
      </w:r>
      <w:r>
        <w:rPr>
          <w:rFonts w:ascii="Times New Roman" w:cs="Times New Roman" w:eastAsia="Times New Roman" w:hAnsi="Times New Roman"/>
          <w:sz w:val="18"/>
          <w:szCs w:val="18"/>
          <w:b w:val="1"/>
          <w:bCs w:val="1"/>
          <w:color w:val="auto"/>
        </w:rPr>
        <w:t>“More Favorable Covenant”</w:t>
      </w:r>
      <w:r>
        <w:rPr>
          <w:rFonts w:ascii="Times New Roman" w:cs="Times New Roman" w:eastAsia="Times New Roman" w:hAnsi="Times New Roman"/>
          <w:sz w:val="18"/>
          <w:szCs w:val="18"/>
          <w:color w:val="auto"/>
        </w:rPr>
        <w:t>), then the Company shall provide a Most Favored Lender Notice in respect of such More Favorable Covenant. Unless waived in writing by the Required Holders within 15 days after each holder’s receipt of such notice, such More Favorable Covenant shall be deemed automatically incorporated by reference into Section 10 of this Agreement, mutatis mutandis, as if set forth in full herein, effective as of the date when such More Favorable Covenant shall have become effective under such Material Credit Facility.</w:t>
      </w:r>
    </w:p>
    <w:p>
      <w:pPr>
        <w:spacing w:after="0" w:line="183" w:lineRule="exact"/>
        <w:rPr>
          <w:sz w:val="20"/>
          <w:szCs w:val="20"/>
          <w:color w:val="auto"/>
        </w:rPr>
      </w:pPr>
    </w:p>
    <w:p>
      <w:pPr>
        <w:jc w:val="both"/>
        <w:ind w:firstLine="656"/>
        <w:spacing w:after="0" w:line="253" w:lineRule="auto"/>
        <w:tabs>
          <w:tab w:leader="none" w:pos="139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More Favorable Covenant incorporated into this Agreement (herein referred to as an </w:t>
      </w:r>
      <w:r>
        <w:rPr>
          <w:rFonts w:ascii="Times New Roman" w:cs="Times New Roman" w:eastAsia="Times New Roman" w:hAnsi="Times New Roman"/>
          <w:sz w:val="18"/>
          <w:szCs w:val="18"/>
          <w:b w:val="1"/>
          <w:bCs w:val="1"/>
          <w:color w:val="auto"/>
        </w:rPr>
        <w:t>“Incorporated Covenant”</w:t>
      </w:r>
      <w:r>
        <w:rPr>
          <w:rFonts w:ascii="Times New Roman" w:cs="Times New Roman" w:eastAsia="Times New Roman" w:hAnsi="Times New Roman"/>
          <w:sz w:val="18"/>
          <w:szCs w:val="18"/>
          <w:color w:val="auto"/>
        </w:rPr>
        <w:t xml:space="preserve">) pursuant to this Section 10.11 (i) shall be deemed automatically amended herein to reflect any subsequent amendments made to such More Favorable Covenant under the applicable Material Credit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Default or an Event of Default then exists and the amendment of such More Favorable Covenant would make such covenant less restrictive on the Company, such Incorporated Covenant shall only be deemed automatically amended at such time, if it should occur, when such Default or Event of Default no longer exists and (ii) shall be deemed automatically deleted from this Agreement at such time as such More Favorable Covenant is deleted or otherwise removed from the applicable Material Credit Facility or such applicable Material Credit Facility ceases to be a Material Credit Facility or shall be terminated; provided that, if a Default or an Event of Default then exists, such Incorporated Covenant shall only be deemed automatically deleted from this Agreement at such time, if it should occur, when such Default or Event of Default no longer exists;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that if any fee or other consideration shall be given to the lenders under such Material Credit Facility for such amendment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deletion, the equivalent of such fee or other consideration shall be given, pro rata, to the holders of the Notes. Notwithstanding the foregoing, the covenants or defaults (and related definitions as used therein) contained in this Agreement as in effect on the date of this Agreement (and as amended other than by operation of Section 10.11(a)) shall not be loosened or relaxed by operation of the terms of this Section 10.11(b) and only such other Incorporated Covenants shall be so loosened or relaxed pursuant to the terms hereof.</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6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Favored Lender Notice” means, in respect of any More Favorable Covenant, a written notice to each of the holders of the Notes delivered promptly, and in any event within twenty (20) Business Days after the inclusion of such More Favorable Covenant in any Material Credit Facility (including by way of amendment or other modification of any existing provision thereof) from a Responsible Officer referring to the provisions of this Section 10.11 and setting forth a reasonably detailed description of such More Favorable Covenant (including any defined terms used therein) and related explanatory calculations, as applicable.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w:t>
      </w:r>
      <w:r>
        <w:rPr>
          <w:sz w:val="20"/>
          <w:szCs w:val="20"/>
          <w:color w:val="auto"/>
        </w:rPr>
        <w:tab/>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vents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efault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shall exist if any of the following conditions or events shall occur and be continuing:</w:t>
      </w:r>
    </w:p>
    <w:p>
      <w:pPr>
        <w:spacing w:after="0" w:line="200" w:lineRule="exact"/>
        <w:rPr>
          <w:sz w:val="20"/>
          <w:szCs w:val="20"/>
          <w:color w:val="auto"/>
        </w:rPr>
      </w:pPr>
    </w:p>
    <w:p>
      <w:pPr>
        <w:ind w:left="660" w:firstLine="212"/>
        <w:spacing w:after="0" w:line="239" w:lineRule="exact"/>
        <w:tabs>
          <w:tab w:leader="none" w:pos="156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principal or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 if any, on any Note when the same becomes due and payable, whether at maturity or at a date fixed for prepayment or by declaration or otherwise; or</w:t>
      </w:r>
    </w:p>
    <w:p>
      <w:pPr>
        <w:spacing w:after="0" w:line="198" w:lineRule="exact"/>
        <w:rPr>
          <w:rFonts w:ascii="Times New Roman" w:cs="Times New Roman" w:eastAsia="Times New Roman" w:hAnsi="Times New Roman"/>
          <w:sz w:val="18"/>
          <w:szCs w:val="18"/>
          <w:color w:val="auto"/>
        </w:rPr>
      </w:pPr>
    </w:p>
    <w:p>
      <w:pPr>
        <w:ind w:left="1600" w:hanging="728"/>
        <w:spacing w:after="0"/>
        <w:tabs>
          <w:tab w:leader="none" w:pos="16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interest on any Note for more than five Business Days after the same becomes due and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or</w:t>
      </w:r>
    </w:p>
    <w:p>
      <w:pPr>
        <w:spacing w:after="0" w:line="206" w:lineRule="exact"/>
        <w:rPr>
          <w:rFonts w:ascii="Times New Roman" w:cs="Times New Roman" w:eastAsia="Times New Roman" w:hAnsi="Times New Roman"/>
          <w:sz w:val="18"/>
          <w:szCs w:val="18"/>
          <w:color w:val="auto"/>
        </w:rPr>
      </w:pPr>
    </w:p>
    <w:p>
      <w:pPr>
        <w:ind w:left="1520" w:hanging="648"/>
        <w:spacing w:after="0"/>
        <w:tabs>
          <w:tab w:leader="none" w:pos="15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performance of or compliance with any term contained in Section 7.1(d) or Section 10; or</w:t>
      </w:r>
    </w:p>
    <w:p>
      <w:pPr>
        <w:spacing w:after="0" w:line="225" w:lineRule="exact"/>
        <w:rPr>
          <w:rFonts w:ascii="Times New Roman" w:cs="Times New Roman" w:eastAsia="Times New Roman" w:hAnsi="Times New Roman"/>
          <w:sz w:val="18"/>
          <w:szCs w:val="18"/>
          <w:color w:val="auto"/>
        </w:rPr>
      </w:pPr>
    </w:p>
    <w:p>
      <w:pPr>
        <w:jc w:val="both"/>
        <w:ind w:left="660" w:firstLine="212"/>
        <w:spacing w:after="0" w:line="261" w:lineRule="auto"/>
        <w:tabs>
          <w:tab w:leader="none" w:pos="162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Subsidiary Guarantor defaults in the performance of or compliance with any term contained herein (other than those referred to in Sections 11(a), (b) and (c)) or in any Subsidiary Guaranty and such default is not remedied within 30 days after the earlier of</w:t>
      </w:r>
    </w:p>
    <w:p>
      <w:pPr>
        <w:jc w:val="both"/>
        <w:ind w:left="660" w:hanging="4"/>
        <w:spacing w:after="0" w:line="253" w:lineRule="auto"/>
        <w:tabs>
          <w:tab w:leader="none" w:pos="8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Responsible Officer obtaining actual knowledge of such default and (ii) the Company receiving written notice of such default from any holder of a Note (any such written notice to be identified as a “notice of default” and to refer specifically to this Section 11(d));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is diligently and in good faith attempting to cure such default, such default is curable and such default will not possibly result in a Material Adverse Effect, then the Company may have additional time to cure such default as specified in writing by the Required Holders provided that such additional time shall not exceed 60 days; or</w:t>
      </w:r>
    </w:p>
    <w:p>
      <w:pPr>
        <w:spacing w:after="0" w:line="186" w:lineRule="exact"/>
        <w:rPr>
          <w:rFonts w:ascii="Times New Roman" w:cs="Times New Roman" w:eastAsia="Times New Roman" w:hAnsi="Times New Roman"/>
          <w:sz w:val="18"/>
          <w:szCs w:val="18"/>
          <w:color w:val="auto"/>
        </w:rPr>
      </w:pPr>
    </w:p>
    <w:p>
      <w:pPr>
        <w:jc w:val="both"/>
        <w:ind w:left="660" w:firstLine="212"/>
        <w:spacing w:after="0" w:line="258" w:lineRule="auto"/>
        <w:tabs>
          <w:tab w:leader="none" w:pos="177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representation or warranty made in writing by or on behalf of the Company or by any officer of the Company in this Agreement or any writing furnished in connection with the transactions contemplated hereby proves to have been false or incorrect in any material respect on the date as of which made, or (ii) any representation or warranty made in writing by or on behalf of any Subsidiary Guarantor or by any officer of such Subsidiary Guarantor in any Subsidiary Guaranty or any writing furnished in connection with such Subsidiary Guaranty proves to have been false or incorrect in any material respect on the date as of which made; or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5" w:lineRule="exact"/>
        <w:rPr>
          <w:sz w:val="20"/>
          <w:szCs w:val="20"/>
          <w:color w:val="auto"/>
        </w:rPr>
      </w:pPr>
    </w:p>
    <w:p>
      <w:pPr>
        <w:jc w:val="both"/>
        <w:ind w:left="660" w:firstLine="212"/>
        <w:spacing w:after="0" w:line="217" w:lineRule="exact"/>
        <w:tabs>
          <w:tab w:leader="none" w:pos="15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or any Material Subsidiary is in default (as principal or as guarantor or other surety) in the payment of any principal of or premium or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 or interest on any Indebtedness that is outstanding in an aggregate principal amount of at least $75,000,000 (or its equivalent in the relevant currency of payment) beyond any period of grace provided with respect thereto, or (ii) the Company or any Material Subsidiary is in default in the performance of or compliance with any term of any evidence of any Indebtedness in an aggregate outstanding principal amount of at least $75,000,000 (or its equivalent in the relevant currency of payment) or of any mortgage, indenture or other agreement relating thereto or any other condition exists, and as a consequence of such default or condition such Indebtedness has become, or has been declared (or one or more Persons are entitled to declare such Indebtedness to be), due and payable before its stated maturity or before its regularly scheduled dates of payment, or (iii) as a consequence of the occurrence or continuation of any event or condition (other than the passage of time or the right of the holder of Indebtedness to convert such Indebtedness into equity interests), and excluding any event or condition resulting from (a) delivering a notice of voluntary redemption or voluntary prepayment, (b) any asset sale which requires the Company to offer to prepay a Ratable Portion of the Notes in accordance with Section 10.3, (c) any change of control that also requires the Company to offer to prepay the Notes in accordance with Section 8.7, (d) any prepayment required by any bridge facility in the event of, or as the result of, the consummation of a refinancing (including refinancing with equity) of such bridge facility in connection with an acquisition of long-term assets and any related assets or (e) any similar covenant, term or provision (other than a provision requiring prepayment of debt incurred in violation of any covenant),</w:t>
      </w:r>
    </w:p>
    <w:p>
      <w:pPr>
        <w:spacing w:after="0" w:line="11"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Material Subsidiary has become obligated to purchase or repay Indebtedness before its regular maturity or before its regularly scheduled dates of payment in an aggregate outstanding principal amount of at least $75,000,000 (or its equivalent in the relevant currency of payment), or (y) one or more Persons have the right to require the Company or any Material Subsidiary so to purchase or repay such Indebtedness; or</w:t>
      </w:r>
    </w:p>
    <w:p>
      <w:pPr>
        <w:spacing w:after="0" w:line="188" w:lineRule="exact"/>
        <w:rPr>
          <w:rFonts w:ascii="Times New Roman" w:cs="Times New Roman" w:eastAsia="Times New Roman" w:hAnsi="Times New Roman"/>
          <w:sz w:val="18"/>
          <w:szCs w:val="18"/>
          <w:color w:val="auto"/>
        </w:rPr>
      </w:pPr>
    </w:p>
    <w:p>
      <w:pPr>
        <w:jc w:val="both"/>
        <w:ind w:left="660" w:firstLine="212"/>
        <w:spacing w:after="0" w:line="217" w:lineRule="exact"/>
        <w:tabs>
          <w:tab w:leader="none" w:pos="157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there occurs any termination, liquidation, unwind or similar event or circumstance under any Receivables Purchase Facility other than a voluntary termination by the Company or a scheduled termination, as a result of which any purchaser of receivables thereunder has ceased purchasing such Receivables and such purchaser may apply all collections on previously purchased Receivables thereunder to the payment of such purchaser’s interest in such previously purchased Receivables (any such event or circumstance referred to as a “Receivables Purchase Facility Termination”) other than any such Receivables Purchase Facility Termination that arises solely as a result of (i) a down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grading of the credit rating of any bank or financial institution not affiliated with the Company that provides liquidity, credit or other support in connection with such facility; or (ii) breach of a covenant contained in any Receivables Purchase Facility and this Agreement if the Required Holders have previously waived compliance with such covenant under the terms of this Agreement with respect to the particular instance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giving rise to the breach of such covenant under such Receivables Purchase Facility, it being acknowledged by the Company that no waiver by the Required Holders of compliance with the provisions of this Agreement in any particular instance shall constitute a waiver under either this Agreement or any Receivables Purchase Facility of any future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with such provision and (B) within 60 days after the effective date of such Receivables Purchase Facility Termination, additional financing and/or capitalization of the Company in replacement of such Receivables Purchase Facility, in an amount substantially similar to the amount of the Receivables Purchase Facility and upon such terms as are acceptable to the Required Holders, shall not be completed and funding thereunder shall not be available to the Company; or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both"/>
        <w:ind w:left="660" w:firstLine="212"/>
        <w:spacing w:after="0" w:line="256" w:lineRule="auto"/>
        <w:tabs>
          <w:tab w:leader="none" w:pos="159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Material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187" w:lineRule="exact"/>
        <w:rPr>
          <w:rFonts w:ascii="Times New Roman" w:cs="Times New Roman" w:eastAsia="Times New Roman" w:hAnsi="Times New Roman"/>
          <w:sz w:val="18"/>
          <w:szCs w:val="18"/>
          <w:color w:val="auto"/>
        </w:rPr>
      </w:pPr>
    </w:p>
    <w:p>
      <w:pPr>
        <w:jc w:val="both"/>
        <w:ind w:left="660" w:firstLine="212"/>
        <w:spacing w:after="0" w:line="219" w:lineRule="exact"/>
        <w:tabs>
          <w:tab w:leader="none" w:pos="152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or other Governmental Authority of competent jurisdiction enters an order appointing, without consent by the Company or any of its Material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or liquidation of the Company or any of its Material Subsidiaries, or any such petition shall be filed against the Company or any of its Material Subsidiaries and such petition shall not be dismissed within 60 days; or</w:t>
      </w:r>
    </w:p>
    <w:p>
      <w:pPr>
        <w:spacing w:after="0" w:line="202" w:lineRule="exact"/>
        <w:rPr>
          <w:rFonts w:ascii="Times New Roman" w:cs="Times New Roman" w:eastAsia="Times New Roman" w:hAnsi="Times New Roman"/>
          <w:sz w:val="18"/>
          <w:szCs w:val="18"/>
          <w:color w:val="auto"/>
        </w:rPr>
      </w:pPr>
    </w:p>
    <w:p>
      <w:pPr>
        <w:jc w:val="both"/>
        <w:ind w:left="660" w:firstLine="212"/>
        <w:spacing w:after="0" w:line="266" w:lineRule="auto"/>
        <w:tabs>
          <w:tab w:leader="none" w:pos="15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occurs with respect to the Company or any Material Subsidiary which under the laws of any jurisdiction is analogous to any of the events described in Section 11(h) or Section 11(i),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applicable grace period, if any, which shall apply shall be the one applicable to the relevant proceeding which most closely corresponds to the proceeding described in Section 11(h) or Section 11(i); or</w:t>
      </w:r>
    </w:p>
    <w:p>
      <w:pPr>
        <w:spacing w:after="0" w:line="175" w:lineRule="exact"/>
        <w:rPr>
          <w:rFonts w:ascii="Times New Roman" w:cs="Times New Roman" w:eastAsia="Times New Roman" w:hAnsi="Times New Roman"/>
          <w:sz w:val="18"/>
          <w:szCs w:val="18"/>
          <w:color w:val="auto"/>
        </w:rPr>
      </w:pPr>
    </w:p>
    <w:p>
      <w:pPr>
        <w:jc w:val="both"/>
        <w:ind w:left="660" w:firstLine="212"/>
        <w:spacing w:after="0" w:line="261" w:lineRule="auto"/>
        <w:tabs>
          <w:tab w:leader="none" w:pos="173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final judgments or orders for the payment of money aggregating in excess of $75,000,000 (or its equivalent in the relevant currency of payment), including any such final order enforcing a binding arbitration decision, are rendered against one or more of the Company and its Subsidiaries and which judgments are not, within 60 days after entry thereof, bonded, discharged or stayed pending appeal, or are not discharged within 60 days after the expiration of such stay; or</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5" w:lineRule="exact"/>
        <w:rPr>
          <w:sz w:val="20"/>
          <w:szCs w:val="20"/>
          <w:color w:val="auto"/>
        </w:rPr>
      </w:pPr>
    </w:p>
    <w:p>
      <w:pPr>
        <w:jc w:val="both"/>
        <w:ind w:left="660" w:firstLine="212"/>
        <w:spacing w:after="0" w:line="254" w:lineRule="auto"/>
        <w:tabs>
          <w:tab w:leader="none" w:pos="149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 ERISA Affiliate that a Plan may become a subject of any such proceedings, (iii) there is any “amount of unfunded benefit liabilities” (within the meaning of section 4001(a)</w:t>
      </w:r>
    </w:p>
    <w:p>
      <w:pPr>
        <w:spacing w:after="0" w:line="3" w:lineRule="exact"/>
        <w:rPr>
          <w:rFonts w:ascii="Times New Roman" w:cs="Times New Roman" w:eastAsia="Times New Roman" w:hAnsi="Times New Roman"/>
          <w:sz w:val="18"/>
          <w:szCs w:val="18"/>
          <w:color w:val="auto"/>
        </w:rPr>
      </w:pPr>
    </w:p>
    <w:p>
      <w:pPr>
        <w:jc w:val="both"/>
        <w:ind w:left="660" w:right="20" w:hanging="4"/>
        <w:spacing w:after="0" w:line="217" w:lineRule="exact"/>
        <w:tabs>
          <w:tab w:leader="none" w:pos="10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ERISA) under one or more Plans, determined in accordance with Title IV of ERISA, (iv) the aggregate present value of accrued benefit liabilities under all funded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Plans exceeds the aggregate current value of the assets of such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Plans allocable to such liabilities,</w:t>
      </w:r>
    </w:p>
    <w:p>
      <w:pPr>
        <w:jc w:val="both"/>
        <w:ind w:left="660"/>
        <w:spacing w:after="0" w:line="21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the Company or any ERISA Affiliate shall have incurred or is reasonably expected to incur any liability pursuant to Title I or IV of ERISA or the penalty or excise tax provisions of the Code relating to employee benefit plans, (vi) the Company or any ERISA Affiliate withdraws from any Multiemployer Plan, (vii) the Company or any Subsidiary establishes or amends any employee welfare benefit plan that provides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employment welfare benefits in a manner that would increase the liability of the Company or any Subsidiary thereunder, (viii) the Company or any Subsidiary fails to administer or maintain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Plan in compliance with the requirements of any and all applicable laws, statutes, rules, regulations or court orders or any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Plan is involuntarily terminated or wound up, or (ix) the Company or any Subsidiary becomes subject to the imposition of a financial penalty (which for this purpose shall mean any tax, penalty or other liability, whether by way of indemnity or otherwise) with respect to one or more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U.S. Plans; and any such event or events described in clauses (i) through (ix) above, either individually or together with any other such event or events, could reasonably be expected to have a Material Adverse Effect. As used in this Section 11(l), the terms </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“employee welfare benefit plan”</w:t>
      </w:r>
      <w:r>
        <w:rPr>
          <w:rFonts w:ascii="Times New Roman" w:cs="Times New Roman" w:eastAsia="Times New Roman" w:hAnsi="Times New Roman"/>
          <w:sz w:val="18"/>
          <w:szCs w:val="18"/>
          <w:color w:val="auto"/>
        </w:rPr>
        <w:t xml:space="preserve"> shall have the respective meanings assigned to such terms in section 3 of ERISA; or</w:t>
      </w:r>
    </w:p>
    <w:p>
      <w:pPr>
        <w:spacing w:after="0" w:line="200" w:lineRule="exact"/>
        <w:rPr>
          <w:rFonts w:ascii="Times New Roman" w:cs="Times New Roman" w:eastAsia="Times New Roman" w:hAnsi="Times New Roman"/>
          <w:sz w:val="18"/>
          <w:szCs w:val="18"/>
          <w:color w:val="auto"/>
        </w:rPr>
      </w:pPr>
    </w:p>
    <w:p>
      <w:pPr>
        <w:jc w:val="both"/>
        <w:ind w:left="660" w:firstLine="212"/>
        <w:spacing w:after="0" w:line="261" w:lineRule="auto"/>
        <w:tabs>
          <w:tab w:leader="none" w:pos="168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Guaranty shall cease to be in full force and effect, any Subsidiary Guarantor or any Person acting on behalf of any Subsidiary Guarantor shall contest in any manner the validity, binding nature or enforceability of any Subsidiary Guaranty, or the obligations of any Subsidiary Guarantor under any Subsidiary Guaranty are not or cease to be legal, valid, binding and enforceable in accordance with the terms of such Subsidiary Guaranty.</w:t>
      </w:r>
    </w:p>
    <w:p>
      <w:pPr>
        <w:spacing w:after="0" w:line="176" w:lineRule="exact"/>
        <w:rPr>
          <w:sz w:val="20"/>
          <w:szCs w:val="20"/>
          <w:color w:val="auto"/>
        </w:rPr>
      </w:pPr>
    </w:p>
    <w:p>
      <w:pPr>
        <w:spacing w:after="0"/>
        <w:tabs>
          <w:tab w:leader="none" w:pos="1280" w:val="left"/>
          <w:tab w:leader="none" w:pos="368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12.</w:t>
      </w:r>
      <w:r>
        <w:rPr>
          <w:sz w:val="20"/>
          <w:szCs w:val="20"/>
          <w:color w:val="auto"/>
        </w:rPr>
        <w:tab/>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emedies 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efault</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jc w:val="both"/>
        <w:ind w:firstLine="216"/>
        <w:spacing w:after="0" w:line="268" w:lineRule="auto"/>
        <w:rPr>
          <w:sz w:val="20"/>
          <w:szCs w:val="20"/>
          <w:color w:val="auto"/>
        </w:rPr>
      </w:pPr>
      <w:r>
        <w:rPr>
          <w:rFonts w:ascii="Times New Roman" w:cs="Times New Roman" w:eastAsia="Times New Roman" w:hAnsi="Times New Roman"/>
          <w:sz w:val="18"/>
          <w:szCs w:val="18"/>
          <w:b w:val="1"/>
          <w:bCs w:val="1"/>
          <w:color w:val="auto"/>
        </w:rPr>
        <w:t>Section 12.1. Acceleration</w:t>
      </w:r>
      <w:r>
        <w:rPr>
          <w:rFonts w:ascii="Times New Roman" w:cs="Times New Roman" w:eastAsia="Times New Roman" w:hAnsi="Times New Roman"/>
          <w:sz w:val="18"/>
          <w:szCs w:val="18"/>
          <w:color w:val="auto"/>
        </w:rPr>
        <w:t>. (a) If an Event of Default with respect to the Company described in Section 11(h), (i) or (j) (other than an Event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 described in clause (i) of Section 11(h) or described in clause (vi) of Section 11(h) by virtue of the fact that such clause encompasses clause (i) of Section 11(h)) has occurred, all the Notes then outstanding shall automatically become immediately due and payable.</w:t>
      </w:r>
    </w:p>
    <w:p>
      <w:pPr>
        <w:spacing w:after="0" w:line="175" w:lineRule="exact"/>
        <w:rPr>
          <w:sz w:val="20"/>
          <w:szCs w:val="20"/>
          <w:color w:val="auto"/>
        </w:rPr>
      </w:pPr>
    </w:p>
    <w:p>
      <w:pPr>
        <w:ind w:firstLine="569"/>
        <w:spacing w:after="0" w:line="282" w:lineRule="auto"/>
        <w:tabs>
          <w:tab w:leader="none" w:pos="13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other Event of Default has occurred and is continuing, the Required Holders may at any time at its or their option, by notice or notices to the Company, declare all the Notes then outstanding to be immediately due and payable.</w:t>
      </w:r>
    </w:p>
    <w:p>
      <w:pPr>
        <w:spacing w:after="0" w:line="161" w:lineRule="exact"/>
        <w:rPr>
          <w:rFonts w:ascii="Times New Roman" w:cs="Times New Roman" w:eastAsia="Times New Roman" w:hAnsi="Times New Roman"/>
          <w:sz w:val="18"/>
          <w:szCs w:val="18"/>
          <w:color w:val="auto"/>
        </w:rPr>
      </w:pPr>
    </w:p>
    <w:p>
      <w:pPr>
        <w:jc w:val="both"/>
        <w:ind w:firstLine="601"/>
        <w:spacing w:after="0" w:line="266" w:lineRule="auto"/>
        <w:tabs>
          <w:tab w:leader="none" w:pos="142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Event of Default described in Section 11(a) or (b) has occurred and is continuing, any holder or holders of Notes at the time outstanding affected by such Event of Default may at any time, at its or their option, by notice or notices to the Company, declare all the Notes held by it or them to be immediately due and payable.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75" w:lineRule="exact"/>
        <w:rPr>
          <w:sz w:val="20"/>
          <w:szCs w:val="20"/>
          <w:color w:val="auto"/>
        </w:rPr>
      </w:pPr>
    </w:p>
    <w:p>
      <w:pPr>
        <w:ind w:right="80" w:firstLine="540"/>
        <w:spacing w:after="0" w:line="250" w:lineRule="exact"/>
        <w:rPr>
          <w:sz w:val="20"/>
          <w:szCs w:val="20"/>
          <w:color w:val="auto"/>
        </w:rPr>
      </w:pPr>
      <w:r>
        <w:rPr>
          <w:rFonts w:ascii="Times New Roman" w:cs="Times New Roman" w:eastAsia="Times New Roman" w:hAnsi="Times New Roman"/>
          <w:sz w:val="22"/>
          <w:szCs w:val="22"/>
          <w:color w:val="auto"/>
        </w:rPr>
        <w:t>Upon any Notes becoming due and payable under this Section 12.1, whether automatically or by declaration, such Notes will forthwith mature and the entire unpaid principal amount of such Notes, plus (x) all accrued and unpaid interest thereon (including interest accrued thereon at the Default Rate) and (y) the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Whole Amount determined in respect of such principal amount,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by the Company in the event that the Notes are prepaid or are accelerated as a result of an Event of Default, is intended to provide compensation for the deprivation of such right under such circumstances.</w:t>
      </w:r>
    </w:p>
    <w:p>
      <w:pPr>
        <w:spacing w:after="0" w:line="187" w:lineRule="exact"/>
        <w:rPr>
          <w:sz w:val="20"/>
          <w:szCs w:val="20"/>
          <w:color w:val="auto"/>
        </w:rPr>
      </w:pPr>
    </w:p>
    <w:p>
      <w:pPr>
        <w:jc w:val="both"/>
        <w:ind w:firstLine="216"/>
        <w:spacing w:after="0" w:line="259" w:lineRule="auto"/>
        <w:rPr>
          <w:sz w:val="20"/>
          <w:szCs w:val="20"/>
          <w:color w:val="auto"/>
        </w:rPr>
      </w:pPr>
      <w:r>
        <w:rPr>
          <w:rFonts w:ascii="Times New Roman" w:cs="Times New Roman" w:eastAsia="Times New Roman" w:hAnsi="Times New Roman"/>
          <w:sz w:val="18"/>
          <w:szCs w:val="18"/>
          <w:b w:val="1"/>
          <w:bCs w:val="1"/>
          <w:color w:val="auto"/>
        </w:rPr>
        <w:t>Section 12.2. Other Remedies</w:t>
      </w:r>
      <w:r>
        <w:rPr>
          <w:rFonts w:ascii="Times New Roman" w:cs="Times New Roman" w:eastAsia="Times New Roman" w:hAnsi="Times New Roman"/>
          <w:sz w:val="18"/>
          <w:szCs w:val="18"/>
          <w:color w:val="auto"/>
        </w:rPr>
        <w:t>. If any Default or Event of Default has occurred and is continuing, and irrespective of whether any Notes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Subsidiary Guaranty, or for an injunction against a violation of any of the terms hereof or thereof, or in aid of the exercise of any power granted hereby or thereby or by law or otherwise.</w:t>
      </w:r>
    </w:p>
    <w:p>
      <w:pPr>
        <w:spacing w:after="0" w:line="179" w:lineRule="exact"/>
        <w:rPr>
          <w:sz w:val="20"/>
          <w:szCs w:val="20"/>
          <w:color w:val="auto"/>
        </w:rPr>
      </w:pPr>
    </w:p>
    <w:p>
      <w:pPr>
        <w:jc w:val="both"/>
        <w:ind w:firstLine="216"/>
        <w:spacing w:after="0" w:line="219" w:lineRule="exact"/>
        <w:rPr>
          <w:sz w:val="20"/>
          <w:szCs w:val="20"/>
          <w:color w:val="auto"/>
        </w:rPr>
      </w:pPr>
      <w:r>
        <w:rPr>
          <w:rFonts w:ascii="Times New Roman" w:cs="Times New Roman" w:eastAsia="Times New Roman" w:hAnsi="Times New Roman"/>
          <w:sz w:val="18"/>
          <w:szCs w:val="18"/>
          <w:b w:val="1"/>
          <w:bCs w:val="1"/>
          <w:color w:val="auto"/>
        </w:rPr>
        <w:t>Section 12.3. Rescission</w:t>
      </w:r>
      <w:r>
        <w:rPr>
          <w:rFonts w:ascii="Times New Roman" w:cs="Times New Roman" w:eastAsia="Times New Roman" w:hAnsi="Times New Roman"/>
          <w:sz w:val="18"/>
          <w:szCs w:val="18"/>
          <w:color w:val="auto"/>
        </w:rPr>
        <w:t>. At any time after any Notes have been declared due and payable pursuant to Section 12.1(b) or (c), the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by written notice to the Company, may rescind and annul any such declaration and its consequences if (a) the Company has paid all overdue interest on the Notes, all principal of and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 if any, on any Notes that are due and payable and are unpaid other than by reason of such declaration, and all interest on such overdue principal and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 if any, and (to the extent permitted by applicable law) any overdue interest in respect of the Notes, at the Default Rate, (b) neither the Company nor any other Person shall have paid any amounts which have become due solely by reason of such declaration, (c) all Events of Default and Defaults, other than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payment of amounts that have become due solely by reason of such declaration, have been cured or have been waived pursuant to Section 17, and (d) no judgment or decree has been entered for the payment of any monies due pursuant hereto or to the Notes. No rescission and annulment under this Section 12.3 will extend to or affect any subsequent Event of Default or Default or impair any right consequent thereon.</w:t>
      </w:r>
    </w:p>
    <w:p>
      <w:pPr>
        <w:spacing w:after="0" w:line="196"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8"/>
          <w:szCs w:val="18"/>
          <w:b w:val="1"/>
          <w:bCs w:val="1"/>
          <w:color w:val="auto"/>
        </w:rPr>
        <w:t>Section 12.4. No Waivers or Election of Remedies, Expenses, Etc</w:t>
      </w:r>
      <w:r>
        <w:rPr>
          <w:rFonts w:ascii="Times New Roman" w:cs="Times New Roman" w:eastAsia="Times New Roman" w:hAnsi="Times New Roman"/>
          <w:sz w:val="18"/>
          <w:szCs w:val="18"/>
          <w:color w:val="auto"/>
        </w:rPr>
        <w:t>. No course of dealing and no delay on the part of any holder of any Note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exercising any right, power or remedy shall operate as a waiver thereof or otherwise prejudice such holder’s rights, powers or remedies. No right, power or remedy conferred by this Agreement, any Subsidiary Guaranty or any Note upon any holder thereof shall be exclusive of any other right, power or remedy referred to herein or therein or now or hereafter available at law, in equity, by statute or otherwise. Without limiting the obligations of the Company under Section 15, the Company will pay to the holder of each Note on demand such further amount as shall be sufficient to cover all reasonable and documented costs and expenses of such holder incurred in any enforcement or collection under this Section 12, including reasonable and documented attorneys’ fees, expenses and disbursements.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13.</w:t>
      </w:r>
      <w:r>
        <w:rPr>
          <w:sz w:val="20"/>
          <w:szCs w:val="20"/>
          <w:color w:val="auto"/>
        </w:rPr>
        <w:tab/>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egistration</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ubstitution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8"/>
          <w:szCs w:val="18"/>
          <w:b w:val="1"/>
          <w:bCs w:val="1"/>
          <w:color w:val="auto"/>
        </w:rPr>
        <w:t>Section 13.1. Registration of Notes</w:t>
      </w:r>
      <w:r>
        <w:rPr>
          <w:rFonts w:ascii="Times New Roman" w:cs="Times New Roman" w:eastAsia="Times New Roman" w:hAnsi="Times New Roman"/>
          <w:sz w:val="18"/>
          <w:szCs w:val="18"/>
          <w:color w:val="auto"/>
        </w:rPr>
        <w:t>. The Company shall keep at its principal executive office a register for the registration and registration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of Notes. The name and address of each holder of one or more Notes, each transfer thereof and the name and address of each transferee of one or more Notes shall be registered in such register. If any holder of one or more Notes is a nominee, then (a) the name and address of the beneficial owner of such Note or Notes shall also be registered in such register as an owner and holder thereof and (b) at any such beneficial owner’s option, either such beneficial owner or its nominee may execute any amendment, waiver or consent pursuant to this Agreement. Prior to due presentment for registration of transfer, the Person in whose name any Note shall be registered shall be deemed and treated as the owner and holder thereof for all purposes hereof, and the Company shall not be affected by any notice or knowledge to the contrary. The Company shall give to any holder of a Note that is an Institutional Investor promptly upon request therefor, a complete and correct copy of the names and addresses of all registered holders of Notes.</w:t>
      </w:r>
    </w:p>
    <w:p>
      <w:pPr>
        <w:spacing w:after="0" w:line="185"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8"/>
          <w:szCs w:val="18"/>
          <w:b w:val="1"/>
          <w:bCs w:val="1"/>
          <w:color w:val="auto"/>
        </w:rPr>
        <w:t>Section 13.2. Transfer and Exchange of Notes</w:t>
      </w:r>
      <w:r>
        <w:rPr>
          <w:rFonts w:ascii="Times New Roman" w:cs="Times New Roman" w:eastAsia="Times New Roman" w:hAnsi="Times New Roman"/>
          <w:sz w:val="18"/>
          <w:szCs w:val="18"/>
          <w:color w:val="auto"/>
        </w:rPr>
        <w:t>. Upon surrender of any Note to the Company at the address and to the attention of the designated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officer (all as specified in Section 18(iii)), for registration of transfer or exchange (and in the case of a surrender for registration of transfer accompanied by a written instrument of transfer duly executed by the registered holder of such Note or such holder’s attorney duly authorized in writing and accompanied by the relevant name, address and other information for notices of each transferee of such Note or part thereof), within 10 Business Days thereafter, the Company shall execute and deliver, at the Company’s expense (except as provided below), one or more new Notes (as requested by the holder thereof) in exchange therefor, in an aggregate principal amount equal to the unpaid principal amount of the surrendered Note. Each such new Note shall be payable to such Person as such holder may request and shall be substantially in the form of Schedule 1(a) and Schedule 1(b), respectively.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Notes shall not be transferred in denominations of less than $100,000, provided that if necessary to enable the registration of transfer by a holder of its entire holding of Notes, one Note may be in a denomination of less than </w:t>
      </w:r>
      <w:r>
        <w:rPr>
          <w:rFonts w:ascii="Times New Roman" w:cs="Times New Roman" w:eastAsia="Times New Roman" w:hAnsi="Times New Roman"/>
          <w:sz w:val="18"/>
          <w:szCs w:val="18"/>
          <w:b w:val="1"/>
          <w:bCs w:val="1"/>
          <w:color w:val="auto"/>
        </w:rPr>
        <w:t>$100,000</w:t>
      </w:r>
      <w:r>
        <w:rPr>
          <w:rFonts w:ascii="Times New Roman" w:cs="Times New Roman" w:eastAsia="Times New Roman" w:hAnsi="Times New Roman"/>
          <w:sz w:val="18"/>
          <w:szCs w:val="18"/>
          <w:color w:val="auto"/>
        </w:rPr>
        <w:t>. Any transferee, by its acceptance of a Note registered in its name (or the name of its nominee), shall be deemed to have made the representation set forth in Section 6.2. Notwithstanding any of the foregoing, no Purchaser or holder of a Note may transfer such Note to a Competitor without the prior written consent of the Company.</w:t>
      </w:r>
    </w:p>
    <w:p>
      <w:pPr>
        <w:spacing w:after="0" w:line="185" w:lineRule="exact"/>
        <w:rPr>
          <w:sz w:val="20"/>
          <w:szCs w:val="20"/>
          <w:color w:val="auto"/>
        </w:rPr>
      </w:pPr>
    </w:p>
    <w:p>
      <w:pPr>
        <w:jc w:val="both"/>
        <w:ind w:firstLine="216"/>
        <w:spacing w:after="0" w:line="268" w:lineRule="auto"/>
        <w:rPr>
          <w:sz w:val="20"/>
          <w:szCs w:val="20"/>
          <w:color w:val="auto"/>
        </w:rPr>
      </w:pPr>
      <w:r>
        <w:rPr>
          <w:rFonts w:ascii="Times New Roman" w:cs="Times New Roman" w:eastAsia="Times New Roman" w:hAnsi="Times New Roman"/>
          <w:sz w:val="18"/>
          <w:szCs w:val="18"/>
          <w:b w:val="1"/>
          <w:bCs w:val="1"/>
          <w:color w:val="auto"/>
        </w:rPr>
        <w:t>Section 13.3. Replacement of Notes</w:t>
      </w:r>
      <w:r>
        <w:rPr>
          <w:rFonts w:ascii="Times New Roman" w:cs="Times New Roman" w:eastAsia="Times New Roman" w:hAnsi="Times New Roman"/>
          <w:sz w:val="18"/>
          <w:szCs w:val="18"/>
          <w:color w:val="auto"/>
        </w:rPr>
        <w:t>. Upon receipt by the Company at the address and to the attention of the designated officer (all as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18(iii)) of evidence reasonably satisfactory to it of the ownership of and the loss, theft, destruction or mutilation of any Note (which evidence shall be, in the case of an Institutional Investor, notice from such Institutional Investor of such ownership and such loss, theft, destruction or mutilation), and</w:t>
      </w:r>
    </w:p>
    <w:p>
      <w:pPr>
        <w:spacing w:after="0" w:line="175" w:lineRule="exact"/>
        <w:rPr>
          <w:sz w:val="20"/>
          <w:szCs w:val="20"/>
          <w:color w:val="auto"/>
        </w:rPr>
      </w:pPr>
    </w:p>
    <w:p>
      <w:pPr>
        <w:jc w:val="both"/>
        <w:ind w:left="660" w:firstLine="212"/>
        <w:spacing w:after="0" w:line="266" w:lineRule="auto"/>
        <w:tabs>
          <w:tab w:leader="none" w:pos="16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loss, theft or destruction, of indemnity reasonably satisfactory to it (provided that if the holder of such Note is, or is a nominee for, an original Purchaser or another holder of a Note with a minimum net worth of at least $50,000,000 or a Qualified Institutional Buyer, such Person’s own unsecured agreement of indemnity shall be deemed to be satisfactory), or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5" w:lineRule="exact"/>
        <w:rPr>
          <w:sz w:val="20"/>
          <w:szCs w:val="20"/>
          <w:color w:val="auto"/>
        </w:rPr>
      </w:pPr>
    </w:p>
    <w:p>
      <w:pPr>
        <w:ind w:left="1540" w:hanging="668"/>
        <w:spacing w:after="0"/>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mutilation, upon surrender and cancellation thereof,</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10 Business Days thereafter, the Company at its own expense shall execute and deliver, in lieu thereof, a new Note, dated and bearing interest from the date to which interest shall have been paid on such lost, stolen, destroyed or mutilated Note or dated the date of such lost, stolen, destroyed or mutilated Note if no interest shall have been paid thereon.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14.</w:t>
      </w:r>
      <w:r>
        <w:rPr>
          <w:sz w:val="20"/>
          <w:szCs w:val="20"/>
          <w:color w:val="auto"/>
        </w:rPr>
        <w:tab/>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ayments on</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jc w:val="both"/>
        <w:ind w:firstLine="216"/>
        <w:spacing w:after="0" w:line="228" w:lineRule="exact"/>
        <w:rPr>
          <w:sz w:val="20"/>
          <w:szCs w:val="20"/>
          <w:color w:val="auto"/>
        </w:rPr>
      </w:pPr>
      <w:r>
        <w:rPr>
          <w:rFonts w:ascii="Times New Roman" w:cs="Times New Roman" w:eastAsia="Times New Roman" w:hAnsi="Times New Roman"/>
          <w:sz w:val="18"/>
          <w:szCs w:val="18"/>
          <w:b w:val="1"/>
          <w:bCs w:val="1"/>
          <w:color w:val="auto"/>
        </w:rPr>
        <w:t>Section 14.1. Place of Payment</w:t>
      </w:r>
      <w:r>
        <w:rPr>
          <w:rFonts w:ascii="Times New Roman" w:cs="Times New Roman" w:eastAsia="Times New Roman" w:hAnsi="Times New Roman"/>
          <w:sz w:val="18"/>
          <w:szCs w:val="18"/>
          <w:color w:val="auto"/>
        </w:rPr>
        <w:t>. Subject to Section 14.2, payments of principal,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 if any, and interest becoming due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on the Notes shall be made in New York, New York at the principal office of Bank of America, N.A. in such jurisdiction. The Company may at any time, by notice to each holder of a Note, change the place of payment of the Notes so long as such place of payment shall be either the principal office of the Company in such jurisdiction or the principal office of a bank or trust company in such jurisdiction.</w:t>
      </w:r>
    </w:p>
    <w:p>
      <w:pPr>
        <w:spacing w:after="0" w:line="194" w:lineRule="exact"/>
        <w:rPr>
          <w:sz w:val="20"/>
          <w:szCs w:val="20"/>
          <w:color w:val="auto"/>
        </w:rPr>
      </w:pPr>
    </w:p>
    <w:p>
      <w:pPr>
        <w:jc w:val="both"/>
        <w:ind w:firstLine="216"/>
        <w:spacing w:after="0" w:line="218" w:lineRule="exact"/>
        <w:rPr>
          <w:sz w:val="20"/>
          <w:szCs w:val="20"/>
          <w:color w:val="auto"/>
        </w:rPr>
      </w:pPr>
      <w:r>
        <w:rPr>
          <w:rFonts w:ascii="Times New Roman" w:cs="Times New Roman" w:eastAsia="Times New Roman" w:hAnsi="Times New Roman"/>
          <w:sz w:val="18"/>
          <w:szCs w:val="18"/>
          <w:b w:val="1"/>
          <w:bCs w:val="1"/>
          <w:color w:val="auto"/>
        </w:rPr>
        <w:t>Section 14.2. Payment by Wire Transfer</w:t>
      </w:r>
      <w:r>
        <w:rPr>
          <w:rFonts w:ascii="Times New Roman" w:cs="Times New Roman" w:eastAsia="Times New Roman" w:hAnsi="Times New Roman"/>
          <w:sz w:val="18"/>
          <w:szCs w:val="18"/>
          <w:color w:val="auto"/>
        </w:rPr>
        <w:t>. So long as any Purchaser or its nominee shall be the holder of any Note, and notwithstanding anything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Section 14.1 or in such Note to the contrary, the Company will pay all sums becoming due on such Note for principal,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 if any, interest and all other amounts becoming due hereunder by the method and at the address specified for such purpose below such Purchaser’s name in the Purchaser Schedule, or by such other method or at such other address as such Purchaser shall have from time to time specified to the Company in writing for such purpose, without the presentation or surrender of such Note or the making of any notation thereon, except that upon written request of the Company made concurrently with or reasonably promptly after payment or prepayment in full of any Note, such Purchaser shall surrender such Note for cancellation, reasonably promptly after any such request, to the Company at its principal executive office or at the place of payment most recently designated by the Company pursuant to Section 14.1. Prior to any sale or other disposition of any Note held by a Purchaser or its nominee, such Purchaser will, at its election, either endorse thereon the amount of principal paid thereon and the last date to which interest has been paid thereon or surrender such Note to the Company in exchange for a new Note or Notes pursuant to Section 13.2. The Company will afford the benefits of this Section 14.2 to any Institutional Investor that is the direct or indirect transferee of any Note purchased by a Purchaser under this Agreement and that has made the same agreement relating to such Note as the Purchasers have made in this Section 14.2.</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b w:val="1"/>
          <w:bCs w:val="1"/>
          <w:color w:val="auto"/>
        </w:rPr>
        <w:t xml:space="preserve">Section 14.3. FATCA Information </w:t>
      </w:r>
      <w:r>
        <w:rPr>
          <w:rFonts w:ascii="Times New Roman" w:cs="Times New Roman" w:eastAsia="Times New Roman" w:hAnsi="Times New Roman"/>
          <w:sz w:val="18"/>
          <w:szCs w:val="18"/>
          <w:color w:val="auto"/>
        </w:rPr>
        <w:t>All payments hereunder or under the Note shall be made net of any applicable withholding taxes.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acceptance of any Note, the holder of such Note agrees that such holder will with reasonable promptness duly complete and deliver to the Company on or before Closing, or to such other Person as may be reasonably requested by the Company, from time to time (a) in the case of any such holder that is a United States Person, a properly completed and executed copy of IRS Form W-9 that includes such holder’s United States tax identification number or other Forms reasonably requested by the Company necessary to establish such holder’s status as a United States Person and as may otherwise be necessary for the Company to comply with its withholding and information reporting obligations (including under FATCA) and (b) in the case of any such holder that is not a United States Person, a properly completed and executed copy of IRS Form W-8 (with any required attachments) and such other documentation prescribed by applicable law (including as prescribed by section 1471(b)(3)(C)(i) of the Code) and such additional documentation as may be necessary for the Company to comply with its withholding and information reporting obligations (including under FATCA) and to determine that such holder has complied with such holder’s obligations under FATCA or to determine the amount (if any) to deduct and withhold from any such payment made to such holder. Nothing in this Section 14.3 shall require any holder to provide information that is confidential or proprietary to such holder unless the Company is required to obtain such information under the Code and applicable Treasury regulations (including FATCA) and, in such event, the Company shall treat any such information it receives as confidential. Each holder agrees that if any form or certification it previously delivered expires or becomes obsolete or inaccurate in any respect, it shall update such form or certification under then current law or promptly notify the Company in writing of its legal inability to do so. Except as otherwise required by applicable law, the Company agrees that it will not withhold from any applicable payment to be made to a holder of a Note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8BEN or IRS Form 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8BEN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as applicable, as well as the applicable “U.S. Tax Compliance Certificate” substantially in the form attached as Schedule 14.3, in both cases correctly completed and executed.</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15.</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xpenses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ectPr>
          <w:pgSz w:w="11900" w:h="16838" w:orient="portrait"/>
          <w:cols w:equalWidth="0" w:num="2">
            <w:col w:w="860" w:space="440"/>
            <w:col w:w="9940"/>
          </w:cols>
          <w:pgMar w:left="320" w:top="121" w:right="339" w:bottom="1440" w:gutter="0" w:footer="0" w:header="0"/>
          <w:type w:val="continuous"/>
        </w:sectPr>
      </w:pPr>
    </w:p>
    <w:p>
      <w:pPr>
        <w:spacing w:after="0" w:line="25" w:lineRule="exact"/>
        <w:rPr>
          <w:sz w:val="20"/>
          <w:szCs w:val="20"/>
          <w:color w:val="auto"/>
        </w:rPr>
      </w:pPr>
    </w:p>
    <w:p>
      <w:pPr>
        <w:ind w:left="220"/>
        <w:spacing w:after="0"/>
        <w:tabs>
          <w:tab w:leader="none" w:pos="1660" w:val="left"/>
          <w:tab w:leader="none" w:pos="3720" w:val="left"/>
        </w:tabs>
        <w:rPr>
          <w:sz w:val="20"/>
          <w:szCs w:val="20"/>
          <w:color w:val="auto"/>
        </w:rPr>
      </w:pPr>
      <w:r>
        <w:rPr>
          <w:rFonts w:ascii="Times New Roman" w:cs="Times New Roman" w:eastAsia="Times New Roman" w:hAnsi="Times New Roman"/>
          <w:sz w:val="18"/>
          <w:szCs w:val="18"/>
          <w:b w:val="1"/>
          <w:bCs w:val="1"/>
          <w:color w:val="auto"/>
        </w:rPr>
        <w:t>Section 15.1.</w:t>
      </w:r>
      <w:r>
        <w:rPr>
          <w:sz w:val="20"/>
          <w:szCs w:val="20"/>
          <w:color w:val="auto"/>
        </w:rPr>
        <w:tab/>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Whether or not the transactions contemplated hereby are consummated, the Company will pay all costs</w:t>
      </w:r>
    </w:p>
    <w:p>
      <w:pPr>
        <w:sectPr>
          <w:pgSz w:w="11900" w:h="16838" w:orient="portrait"/>
          <w:cols w:equalWidth="0" w:num="1">
            <w:col w:w="11240"/>
          </w:cols>
          <w:pgMar w:left="320" w:top="121" w:right="339" w:bottom="1440" w:gutter="0" w:footer="0" w:header="0"/>
          <w:type w:val="continuous"/>
        </w:sectPr>
      </w:pPr>
    </w:p>
    <w:p>
      <w:pPr>
        <w:spacing w:after="0" w:line="31"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and expenses (including reasonable and documented attorneys’ fees of one special counsel for the holders, taken as a whole, and, if reasonably required by the Required Holders, one local or other counsel for the holders, taken as a whole) incurred by the Purchasers and each other holder of a Note in connection with such transactions and in connection with any amendments, waivers or consents under or in respect of this Agreement, any Subsidiary Guaranty or the Notes (whether or not such amendment, waiver or consent becomes effective), including: (a) the costs and expenses incurred in enforcing or defending (or determining whether or how to enforce or defend) any rights under this Agreement, any Subsidiary Guaranty or the Notes or in responding to any subpoena or other legal process or informal investigative demand issued in connection with this Agreement, any Subsidiary Guaranty or the Notes, or by reason of being a holder of any Note, (b) the costs and expenses, including fees of one financial advisor for all Purchaser and holders of Notes, as a whole, incurred in connection with the insolvency or bankruptcy of the Company or any Subsidiary or in connection with any work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out or restructuring of the transactions contemplated hereby and by the Notes and any Subsidiary Guaranty and (c) the costs and expenses incurred in connection with the initial filing of this Agreement and all related documents and financial information with the SVO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costs and expenses under this clause (c) shall not exceed $5,000 for the Notes. If required by the NAIC, the Company shall obtain and maintain at its own cost and expense a Legal Entity Identifier (LEI).</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pay, and will save each Purchaser and each other holder of a Note harmless from, (i) all claims in respect of any fees, costs or expenses, if any, of brokers and finders (other than those, if any, retained by a Purchaser or other holder in connection with its purchase of the Notes), (ii) any and all wire transfer fees that any bank or other financial institution deducts from any payment under such Note to such holder or otherwise charges to a holder of a Note with respect to a payment under such Note and (iii) any judgment, liability, claim, order, decree, fine, penalty, cost, fee, expense (including reasonable attorneys’ fees and expenses) or obligation resulting from the consummation of the transactions contemplated hereby, including the use of the proceeds of the Notes by the Company.</w:t>
      </w:r>
    </w:p>
    <w:p>
      <w:pPr>
        <w:spacing w:after="0" w:line="183"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8"/>
          <w:szCs w:val="18"/>
          <w:b w:val="1"/>
          <w:bCs w:val="1"/>
          <w:color w:val="auto"/>
        </w:rPr>
        <w:t>Section 15.2. Certain Taxes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pay all stamp, documentary or similar taxes or fees which may be payable in respect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and delivery or the enforcement of this Agreement or any Subsidiary Guaranty or the execution and delivery (but not the transfer) or the enforcement of any of the Notes in the United States or any other jurisdiction where the Company or any Subsidiary Guarantor has assets or of any amendment of, or waiver or consent under or with respect to, this Agreement or any Subsidiary Guaranty or of any of the Notes, and to pay any value added tax due and payable in respect of reimbursement of costs and expenses by the Company pursuant to this Section 15, and will save each holder of a Note to the extent permitted by applicable law harmless against any loss or liability resulting from nonpayment or delay in payment of any such tax or fee required to be paid by the Company hereunder.</w:t>
      </w:r>
    </w:p>
    <w:p>
      <w:pPr>
        <w:spacing w:after="0" w:line="183"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color w:val="auto"/>
        </w:rPr>
        <w:t>Section 15.3. Survival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obligations of the Company under this Section 15 will survive the payment or transfer of any Note, the enforcement,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or waiver of any provision of this Agreement, any Subsidiary Guaranty or the Notes, and the termination of this Agreement.</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16.</w:t>
      </w:r>
      <w:r>
        <w:rPr>
          <w:sz w:val="20"/>
          <w:szCs w:val="20"/>
          <w:color w:val="auto"/>
        </w:rPr>
        <w:tab/>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urvival of</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ntire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representations and warranties contained herein shall survive the execution and delivery of this Agreement and the Notes, the purchase or transfer by any Purchaser of any Note or portion thereof or interest therein and the payment of any Note, and may be relied upon by any subsequent holder of a Note, regardless of any investigation made at any time by or on behalf of such Purchaser or any other holder of a Note. All statements contained in any certificate or other instrument delivered by or on behalf of the Company pursuant to this Agreement shall be deemed representations and warranties of the Company under this Agreement. Subject to the preceding sentence, this Agreement, the Notes and any Subsidiary Guaranties embody the entire agreement and understanding between each Purchaser and the Company and supersede all prior agreements and understandings relating to the subject matter hereof.</w:t>
      </w:r>
    </w:p>
    <w:p>
      <w:pPr>
        <w:spacing w:after="0" w:line="3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17.</w:t>
      </w:r>
      <w:r>
        <w:rPr>
          <w:sz w:val="20"/>
          <w:szCs w:val="20"/>
          <w:color w:val="auto"/>
        </w:rPr>
        <w:tab/>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aiver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216"/>
        <w:spacing w:after="0" w:line="286" w:lineRule="auto"/>
        <w:rPr>
          <w:sz w:val="20"/>
          <w:szCs w:val="20"/>
          <w:color w:val="auto"/>
        </w:rPr>
      </w:pPr>
      <w:r>
        <w:rPr>
          <w:rFonts w:ascii="Times New Roman" w:cs="Times New Roman" w:eastAsia="Times New Roman" w:hAnsi="Times New Roman"/>
          <w:sz w:val="18"/>
          <w:szCs w:val="18"/>
          <w:b w:val="1"/>
          <w:bCs w:val="1"/>
          <w:color w:val="auto"/>
        </w:rPr>
        <w:t>Section 17.1. Requirements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Notes may be amended, and the observance of any term hereof or of the Notes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waived (either retroactively or prospectively), only with the written consent of the Company and the Required Holders, except that:</w:t>
      </w:r>
    </w:p>
    <w:p>
      <w:pPr>
        <w:spacing w:after="0" w:line="159" w:lineRule="exact"/>
        <w:rPr>
          <w:sz w:val="20"/>
          <w:szCs w:val="20"/>
          <w:color w:val="auto"/>
        </w:rPr>
      </w:pPr>
    </w:p>
    <w:p>
      <w:pPr>
        <w:ind w:left="660" w:right="20" w:firstLine="212"/>
        <w:spacing w:after="0" w:line="282" w:lineRule="auto"/>
        <w:tabs>
          <w:tab w:leader="none" w:pos="155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waiver of any of Sections 1, 2, 3, 4, 5, 6 or 21 hereof, or any defined term (as it is used therein), will be effective as to any Purchaser unless consented to by such Purchaser in writing; and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5" w:lineRule="exact"/>
        <w:rPr>
          <w:sz w:val="20"/>
          <w:szCs w:val="20"/>
          <w:color w:val="auto"/>
        </w:rPr>
      </w:pPr>
    </w:p>
    <w:p>
      <w:pPr>
        <w:jc w:val="both"/>
        <w:ind w:left="660" w:firstLine="212"/>
        <w:spacing w:after="0" w:line="220" w:lineRule="exact"/>
        <w:tabs>
          <w:tab w:leader="none" w:pos="163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waiver may, without the written consent of each Purchaser and the holder of each Note at the time outstanding, (i) subject to Section 12 relating to acceleration or rescission, change the amount or time of any prepayment or payment of principal of, or reduce the rate or change the time of payment or method of computation of (x) interest on the Notes or (y) the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Whole Amount, (ii) change the percentage of the principal amount of the Notes the holders of which are required to consent to any amendment or waiver, or (iii) amend any of Sections 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except as set forth in the second sentence of Section 8.2) and, 11(a), 11(b), 12, 17 or 20; and</w:t>
      </w:r>
    </w:p>
    <w:p>
      <w:pPr>
        <w:spacing w:after="0" w:line="197" w:lineRule="exact"/>
        <w:rPr>
          <w:sz w:val="20"/>
          <w:szCs w:val="20"/>
          <w:color w:val="auto"/>
        </w:rPr>
      </w:pPr>
    </w:p>
    <w:p>
      <w:pPr>
        <w:ind w:left="2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Section 17.2.</w:t>
      </w:r>
      <w:r>
        <w:rPr>
          <w:sz w:val="20"/>
          <w:szCs w:val="20"/>
          <w:color w:val="auto"/>
        </w:rPr>
        <w:tab/>
      </w:r>
      <w:r>
        <w:rPr>
          <w:rFonts w:ascii="Times New Roman" w:cs="Times New Roman" w:eastAsia="Times New Roman" w:hAnsi="Times New Roman"/>
          <w:sz w:val="18"/>
          <w:szCs w:val="18"/>
          <w:b w:val="1"/>
          <w:bCs w:val="1"/>
          <w:color w:val="auto"/>
        </w:rPr>
        <w:t>Solicitation of Holders of 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67"/>
        <w:spacing w:after="0" w:line="258" w:lineRule="auto"/>
        <w:tabs>
          <w:tab w:leader="none" w:pos="114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Solicitation. </w:t>
      </w:r>
      <w:r>
        <w:rPr>
          <w:rFonts w:ascii="Times New Roman" w:cs="Times New Roman" w:eastAsia="Times New Roman" w:hAnsi="Times New Roman"/>
          <w:sz w:val="18"/>
          <w:szCs w:val="18"/>
          <w:color w:val="auto"/>
        </w:rPr>
        <w:t>The Company will provide each holder of a Note with sufficient information, sufficiently far in advance of the date a decision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required, to enable such holder to make an informed and considered decision with respect to any proposed amendment, waiver or consent in respect of any of the provisions hereof or of the Notes or any Subsidiary Guaranty. The Company will deliver executed or true and correct copies of each amendment, waiver or consent effected pursuant to this Section 17 or any Subsidiary Guaranty to each holder of a Note promptly following the date on which it is executed and delivered by, or receives the consent or approval of, the requisite holders of Notes.</w:t>
      </w:r>
    </w:p>
    <w:p>
      <w:pPr>
        <w:spacing w:after="0" w:line="183" w:lineRule="exact"/>
        <w:rPr>
          <w:rFonts w:ascii="Times New Roman" w:cs="Times New Roman" w:eastAsia="Times New Roman" w:hAnsi="Times New Roman"/>
          <w:sz w:val="18"/>
          <w:szCs w:val="18"/>
          <w:color w:val="auto"/>
        </w:rPr>
      </w:pPr>
    </w:p>
    <w:p>
      <w:pPr>
        <w:jc w:val="both"/>
        <w:ind w:firstLine="477"/>
        <w:spacing w:after="0" w:line="258" w:lineRule="auto"/>
        <w:tabs>
          <w:tab w:leader="none" w:pos="1312"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w:t>
      </w:r>
      <w:r>
        <w:rPr>
          <w:rFonts w:ascii="Times New Roman" w:cs="Times New Roman" w:eastAsia="Times New Roman" w:hAnsi="Times New Roman"/>
          <w:sz w:val="18"/>
          <w:szCs w:val="18"/>
          <w:color w:val="auto"/>
        </w:rPr>
        <w:t>The Company will not directly or indirectly pay or cause to be paid any remuneration, whether by way of supplemental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interest, fee or otherwise, or grant any security or provide other credit support, to any holder of a Note as consideration for or as an inducement to the entering into by such holder of any waiver or amendment of any of the terms and provisions hereof or of any Subsidiary Guaranty or any Note unless such remuneration is concurrently paid, or security is concurrently granted or other credit support concurrently provided, on the same terms, ratably to each holder of a Note even if such holder did not consent to such waiver or amendment.</w:t>
      </w:r>
    </w:p>
    <w:p>
      <w:pPr>
        <w:spacing w:after="0" w:line="183" w:lineRule="exact"/>
        <w:rPr>
          <w:rFonts w:ascii="Times New Roman" w:cs="Times New Roman" w:eastAsia="Times New Roman" w:hAnsi="Times New Roman"/>
          <w:sz w:val="18"/>
          <w:szCs w:val="18"/>
          <w:color w:val="auto"/>
        </w:rPr>
      </w:pPr>
    </w:p>
    <w:p>
      <w:pPr>
        <w:jc w:val="both"/>
        <w:ind w:firstLine="453"/>
        <w:spacing w:after="0" w:line="256" w:lineRule="auto"/>
        <w:tabs>
          <w:tab w:leader="none" w:pos="110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Consent in Contemplation of Transfer</w:t>
      </w:r>
      <w:r>
        <w:rPr>
          <w:rFonts w:ascii="Times New Roman" w:cs="Times New Roman" w:eastAsia="Times New Roman" w:hAnsi="Times New Roman"/>
          <w:sz w:val="18"/>
          <w:szCs w:val="18"/>
          <w:color w:val="auto"/>
        </w:rPr>
        <w:t>. Any consent given pursuant to this Section 17 or any Subsidiary Guaranty by a holder of a Note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transferred or has agreed to transfer its Note to (i) the Company, (ii) any Subsidiary or any other Affiliate or (iii) any other Person in connection with, or in anticipation of, such other Person acquiring, making a tender offer for or merging with the Company and/or any of its Affiliates (either pursuant to a waiver under Section 17.1(c) or subsequent to Section 8.5 having been amended pursuant to Section 17.1(c)), in each case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Notes that were acquired under the same or similar conditions) shall be void and of no force or effect except solely as to such holder.</w:t>
      </w:r>
    </w:p>
    <w:p>
      <w:pPr>
        <w:spacing w:after="0" w:line="181"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8"/>
          <w:szCs w:val="18"/>
          <w:b w:val="1"/>
          <w:bCs w:val="1"/>
          <w:color w:val="auto"/>
        </w:rPr>
        <w:t>Section 17.3. Binding Effect, Etc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amendment or waiver consented to as provided in this Section 17 or any Subsidiary Guaranty applies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equally to all holders of Notes and is binding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 Note and no delay in exercising any rights hereunder or under any Note or Subsidiary Guaranty shall operate as a waiver of any rights of any holder of such Note.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216"/>
        <w:spacing w:after="0" w:line="259" w:lineRule="auto"/>
        <w:rPr>
          <w:sz w:val="20"/>
          <w:szCs w:val="20"/>
          <w:color w:val="auto"/>
        </w:rPr>
      </w:pPr>
      <w:r>
        <w:rPr>
          <w:rFonts w:ascii="Times New Roman" w:cs="Times New Roman" w:eastAsia="Times New Roman" w:hAnsi="Times New Roman"/>
          <w:sz w:val="18"/>
          <w:szCs w:val="18"/>
          <w:b w:val="1"/>
          <w:bCs w:val="1"/>
          <w:color w:val="auto"/>
        </w:rPr>
        <w:t>Section 17.4. Notes Held by Company, Etc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Solely for the purpose of determining whether the holders of the requisite percentage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principal amount of Notes then outstanding approved or consented to any amendment, waiver or consent to be given under this Agreement, any Subsidiary Guaranty or the Notes, or have directed the taking of any action provided herein or in any Subsidiary Guaranty or the Notes to be taken upon the direction of the holders of a specified percentage of the aggregate principal amount of Notes then outstanding, Notes directly or indirectly owned by the Company or any of its Affiliates shall be deemed not to be outstanding.</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18.</w:t>
      </w:r>
      <w:r>
        <w:rPr>
          <w:sz w:val="20"/>
          <w:szCs w:val="20"/>
          <w:color w:val="auto"/>
        </w:rPr>
        <w:tab/>
      </w: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to the extent otherwise provided in Section 7.4, all notices and communications provided for hereunder shall be in writing and sent (a) by telecopy if the sender on the same day sends a confirming copy of such notice by an internationally recognized overnight delivery service (charges prepaid), or (b) by registered or certified mail with return receipt requested (postage prepaid), or (c) by an internationally recognized overnight delivery service (charges prepaid). Any such notice must be sent:</w:t>
      </w:r>
    </w:p>
    <w:p>
      <w:pPr>
        <w:spacing w:after="0" w:line="180" w:lineRule="exact"/>
        <w:rPr>
          <w:sz w:val="20"/>
          <w:szCs w:val="20"/>
          <w:color w:val="auto"/>
        </w:rPr>
      </w:pPr>
    </w:p>
    <w:p>
      <w:pPr>
        <w:ind w:left="660" w:firstLine="212"/>
        <w:spacing w:after="0" w:line="282" w:lineRule="auto"/>
        <w:tabs>
          <w:tab w:leader="none" w:pos="15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Purchaser or its nominee, to such Purchaser or nominee at the address specified for such communications in the Purchaser Schedule, or at such other address as such Purchaser or nominee shall have specified to the Company in writing,</w:t>
      </w:r>
    </w:p>
    <w:p>
      <w:pPr>
        <w:spacing w:after="0" w:line="161" w:lineRule="exact"/>
        <w:rPr>
          <w:rFonts w:ascii="Times New Roman" w:cs="Times New Roman" w:eastAsia="Times New Roman" w:hAnsi="Times New Roman"/>
          <w:sz w:val="18"/>
          <w:szCs w:val="18"/>
          <w:color w:val="auto"/>
        </w:rPr>
      </w:pPr>
    </w:p>
    <w:p>
      <w:pPr>
        <w:ind w:left="1560" w:hanging="688"/>
        <w:spacing w:after="0"/>
        <w:tabs>
          <w:tab w:leader="none" w:pos="1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holder of any Note, to such holder at such address as such other holder shall have specified to the Company in writing,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8"/>
          <w:szCs w:val="18"/>
          <w:color w:val="auto"/>
        </w:rPr>
      </w:pPr>
    </w:p>
    <w:p>
      <w:pPr>
        <w:ind w:left="660" w:firstLine="212"/>
        <w:spacing w:after="0" w:line="282" w:lineRule="auto"/>
        <w:tabs>
          <w:tab w:leader="none" w:pos="16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the Company at its address set forth at the beginning hereof to the attention of General Counsel, or at such other address as the Company shall have specified to the holder of each Note in writing.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Notices under this Section 18 will be deemed given only when actually received.</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19.</w:t>
      </w:r>
      <w:r>
        <w:rPr>
          <w:sz w:val="20"/>
          <w:szCs w:val="20"/>
          <w:color w:val="auto"/>
        </w:rPr>
        <w:tab/>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eproduction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ocuments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Agreement and all documents relating thereto, including (a) consents, waivers and modifications that may hereafter be executed, (b) documents received by any Purchaser at the Closing (except the Notes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19 shall not prohibit the Company or any other holder of Notes from contesting any such reproduction to the same extent that it could contest the original, or from introducing evidence to demonstrate the inaccuracy of any such reproduction.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20.</w:t>
      </w:r>
      <w:r>
        <w:rPr>
          <w:sz w:val="20"/>
          <w:szCs w:val="20"/>
          <w:color w:val="auto"/>
        </w:rPr>
        <w:tab/>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onfidential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For the purposes of this Section 20,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means information delivered to any Purchaser or holder of any Note by or on behalf of the Company or any Subsidiary in connection with the transactions contemplated by or otherwise pursuant to this Agreement that is confidential or proprietary in nature,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and the source was not restricted in disclosing such information, or (d) constitutes financial statements delivered to such Purchaser under Section 7.1 that are otherwise publicly available. Each Purchaser or holder of any Note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officers, employees, agents, attorneys, trustees and affiliates (to the extent such disclosure reasonably relates to the administration of the investment represented by its Notes and such recipient is informed of its obligation to maintain the confidentiality of such information), (ii) its auditors, financial advisors and other professional advisors who agree to hold confidential the Confidential Information substantially in accordance with this Section 20, (iii) any other holder of any Note, (iv) any Institutional Investor to which it sells or offers to sell such Note or any part thereof or any participation therein (if such Person has agreed in writing prior to its receipt of such Confidential Information to be bound by this Section 20), (v) any Person from which it offers to purchase any Security of the Company (if such Person has agreed in writing prior to its receipt of such Confidential Information to be bound by this Section 20), (vi) any federal or state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w:t>
      </w:r>
    </w:p>
    <w:p>
      <w:pPr>
        <w:spacing w:after="0" w:line="14" w:lineRule="exact"/>
        <w:rPr>
          <w:sz w:val="20"/>
          <w:szCs w:val="20"/>
          <w:color w:val="auto"/>
        </w:rPr>
      </w:pPr>
    </w:p>
    <w:p>
      <w:pPr>
        <w:jc w:val="both"/>
        <w:ind w:firstLine="8"/>
        <w:spacing w:after="0" w:line="251" w:lineRule="auto"/>
        <w:tabs>
          <w:tab w:leader="none" w:pos="30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such Purchaser’s Notes, this Agreement or any Subsidiary Guaranty. Each holder of a Note, by its acceptance of a Note, will be deemed to have agreed to be bound by and to be entitled to the benefits of this Section 20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this Section 20.</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as a condition to receiving access to information relating to the Company or its Subsidiaries in connection with the transactions contemplated by or otherwise pursuant to this Agreement, any Purchaser or holder of a Note is required to agree to a confidentiality undertaking (whether through IntraLinks, another secure website, a secure virtual workspace or otherwise) which is different from this Section 20, this Section 20 shall not be amended thereby and, as between such Purchaser or such holder and the Company, this Section 20 shall supersede any such other confidentiality undertaking.</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21.</w:t>
      </w:r>
      <w:r>
        <w:rPr>
          <w:sz w:val="20"/>
          <w:szCs w:val="20"/>
          <w:color w:val="auto"/>
        </w:rPr>
        <w:tab/>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ubstitution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Each Purchaser shall have the right to substitute any one of its Affiliates or another Purchaser or any one of such other Purchaser’s Affiliates (a </w:t>
      </w:r>
      <w:r>
        <w:rPr>
          <w:rFonts w:ascii="Times New Roman" w:cs="Times New Roman" w:eastAsia="Times New Roman" w:hAnsi="Times New Roman"/>
          <w:sz w:val="18"/>
          <w:szCs w:val="18"/>
          <w:b w:val="1"/>
          <w:bCs w:val="1"/>
          <w:color w:val="auto"/>
        </w:rPr>
        <w:t>“Substitute Purchaser”</w:t>
      </w:r>
      <w:r>
        <w:rPr>
          <w:rFonts w:ascii="Times New Roman" w:cs="Times New Roman" w:eastAsia="Times New Roman" w:hAnsi="Times New Roman"/>
          <w:sz w:val="18"/>
          <w:szCs w:val="18"/>
          <w:color w:val="auto"/>
        </w:rPr>
        <w:t>) as the purchaser of the Notes that it has agreed to purchase hereunder, by written notice to the Company, which notice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both such Purchaser and such Substitute Purchaser, shall contain such Substitute Purchaser’s agreement to be bound by this Agreement and shall contain a confirmation by such Substitute Purchaser of the accuracy with respect to it of the representations set forth in Section 6. Upon receipt of such notice, any reference to such Purchaser in this Agreement (other than in this Section 21), shall be deemed to refer to such Substitute Purchaser in lieu of such original Purchaser. In the event that such Substitute Purchaser is so substituted as a Purchaser hereunder and such Substitute Purchaser thereafter transfers to such original Purchaser all of the Notes then held by such Substitute Purchaser, upon receipt by the Company of notice of such transfer, any reference to such Substitute Purchaser as a “Purchaser” in this Agreement (other than in this Section 21), shall no longer be deemed to refer to such Substitute Purchaser, but shall refer to such original Purchaser, and such original Purchaser shall again have all the rights of an original holder of the Notes under this Agreement.</w:t>
      </w:r>
    </w:p>
    <w:p>
      <w:pPr>
        <w:spacing w:after="0" w:line="1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22.</w:t>
      </w:r>
      <w:r>
        <w:rPr>
          <w:sz w:val="20"/>
          <w:szCs w:val="20"/>
          <w:color w:val="auto"/>
        </w:rPr>
        <w:tab/>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18"/>
          <w:szCs w:val="18"/>
          <w:b w:val="1"/>
          <w:bCs w:val="1"/>
          <w:color w:val="auto"/>
        </w:rPr>
        <w:t>Section 22.1. Successors and Assigns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covenants and other agreements contained in this Agreement by or on behalf of any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bind and inure to the benefit of their respective successors and assigns (including any subsequent holder of a Note) whether so expressed or not, except that, subject to Section 10.2, the Company may not assign or otherwise transfer any of its rights or obligations hereunder or under the Notes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216"/>
        <w:spacing w:after="0" w:line="220" w:lineRule="exact"/>
        <w:rPr>
          <w:sz w:val="20"/>
          <w:szCs w:val="20"/>
          <w:color w:val="auto"/>
        </w:rPr>
      </w:pPr>
      <w:r>
        <w:rPr>
          <w:rFonts w:ascii="Times New Roman" w:cs="Times New Roman" w:eastAsia="Times New Roman" w:hAnsi="Times New Roman"/>
          <w:sz w:val="18"/>
          <w:szCs w:val="18"/>
          <w:b w:val="1"/>
          <w:bCs w:val="1"/>
          <w:color w:val="auto"/>
        </w:rPr>
        <w:t>Section 22.2. Accounting Terms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All accounting terms used herein which are not expressly defined in this Agreement have the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given to them in accordance with GAAP. Except as otherwise specifically provided herein, (i) all computations made pursuant to this Agreement shall be made in accordance with GAAP, and (ii) all financial statements shall be prepared in accordance with GAAP. For purposes of determining compliance with this Agreement (including Section 9, Section 10 and the definition of “Indebtedness”), any election by the Company to measure any financial liability using fair value (as permitted by Financial Accounting Standards Board Accounting Standards Codification Topic No. 825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25 – </w:t>
      </w:r>
      <w:r>
        <w:rPr>
          <w:rFonts w:ascii="Times New Roman" w:cs="Times New Roman" w:eastAsia="Times New Roman" w:hAnsi="Times New Roman"/>
          <w:sz w:val="18"/>
          <w:szCs w:val="18"/>
          <w:i w:val="1"/>
          <w:iCs w:val="1"/>
          <w:color w:val="auto"/>
        </w:rPr>
        <w:t>Fair Value Option,</w:t>
      </w:r>
      <w:r>
        <w:rPr>
          <w:rFonts w:ascii="Times New Roman" w:cs="Times New Roman" w:eastAsia="Times New Roman" w:hAnsi="Times New Roman"/>
          <w:sz w:val="18"/>
          <w:szCs w:val="18"/>
          <w:color w:val="auto"/>
        </w:rPr>
        <w:t xml:space="preserve"> International Accounting Standard 39 – </w:t>
      </w:r>
      <w:r>
        <w:rPr>
          <w:rFonts w:ascii="Times New Roman" w:cs="Times New Roman" w:eastAsia="Times New Roman" w:hAnsi="Times New Roman"/>
          <w:sz w:val="18"/>
          <w:szCs w:val="18"/>
          <w:i w:val="1"/>
          <w:iCs w:val="1"/>
          <w:color w:val="auto"/>
        </w:rPr>
        <w:t>Financial Instruments: Recognition and Measurement</w:t>
      </w:r>
      <w:r>
        <w:rPr>
          <w:rFonts w:ascii="Times New Roman" w:cs="Times New Roman" w:eastAsia="Times New Roman" w:hAnsi="Times New Roman"/>
          <w:sz w:val="18"/>
          <w:szCs w:val="18"/>
          <w:color w:val="auto"/>
        </w:rPr>
        <w:t xml:space="preserve"> or any similar accounting standard) shall be disregarded and such determination shall be made as if such election had not been made.</w:t>
      </w:r>
    </w:p>
    <w:p>
      <w:pPr>
        <w:spacing w:after="0" w:line="199" w:lineRule="exact"/>
        <w:rPr>
          <w:sz w:val="20"/>
          <w:szCs w:val="20"/>
          <w:color w:val="auto"/>
        </w:rPr>
      </w:pPr>
    </w:p>
    <w:p>
      <w:pPr>
        <w:jc w:val="both"/>
        <w:ind w:firstLine="508"/>
        <w:spacing w:after="0" w:line="253" w:lineRule="auto"/>
        <w:tabs>
          <w:tab w:leader="none" w:pos="1276"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any change in GAAP would affect the computation of any financial ratio or requirement set forth in this Agreement, and either the Company or the Required Holders shall so request, the Company and the Required Holders shall negotiate in good faith to amend such ratio or requirement to preserve the original intent thereof in light of such change in GAAP (subject to the approval of the Required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until so amended, (i) such ratio or requirement shall continue to be computed in accordance with GAAP prior to such change therein and (ii) the Company shall provide to the holders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Company’s financial statements prior to adoption and effectiveness of new accounting standards related to leases for all purposes of this Agreement, notwithstanding any change in GAAP relating thereto, unless the Company and the Required Holders shall enter into a mutually acceptable amendment negotiated in good faith addressing such changes, as provided for above.</w:t>
      </w:r>
    </w:p>
    <w:p>
      <w:pPr>
        <w:spacing w:after="0" w:line="194" w:lineRule="exact"/>
        <w:rPr>
          <w:rFonts w:ascii="Times New Roman" w:cs="Times New Roman" w:eastAsia="Times New Roman" w:hAnsi="Times New Roman"/>
          <w:sz w:val="18"/>
          <w:szCs w:val="18"/>
          <w:color w:val="auto"/>
        </w:rPr>
      </w:pPr>
    </w:p>
    <w:p>
      <w:pPr>
        <w:jc w:val="both"/>
        <w:ind w:firstLine="459"/>
        <w:spacing w:after="0" w:line="266" w:lineRule="auto"/>
        <w:tabs>
          <w:tab w:leader="none" w:pos="111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or a Subsidiary is required to consolidate pursuant to FASB ASC 810 as if such variable interest entity were a Subsidiary as defined herein.</w:t>
      </w:r>
    </w:p>
    <w:p>
      <w:pPr>
        <w:spacing w:after="0" w:line="175" w:lineRule="exact"/>
        <w:rPr>
          <w:rFonts w:ascii="Times New Roman" w:cs="Times New Roman" w:eastAsia="Times New Roman" w:hAnsi="Times New Roman"/>
          <w:sz w:val="18"/>
          <w:szCs w:val="18"/>
          <w:color w:val="auto"/>
        </w:rPr>
      </w:pPr>
    </w:p>
    <w:p>
      <w:pPr>
        <w:ind w:left="1100" w:hanging="651"/>
        <w:spacing w:after="0"/>
        <w:tabs>
          <w:tab w:leader="none" w:pos="1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“fiscal year” and “fiscal quarter” refer to such fiscal periods of the Company.</w:t>
      </w:r>
    </w:p>
    <w:p>
      <w:pPr>
        <w:spacing w:after="0" w:line="225" w:lineRule="exact"/>
        <w:rPr>
          <w:rFonts w:ascii="Times New Roman" w:cs="Times New Roman" w:eastAsia="Times New Roman" w:hAnsi="Times New Roman"/>
          <w:sz w:val="18"/>
          <w:szCs w:val="18"/>
          <w:color w:val="auto"/>
        </w:rPr>
      </w:pPr>
    </w:p>
    <w:p>
      <w:pPr>
        <w:jc w:val="both"/>
        <w:ind w:firstLine="460"/>
        <w:spacing w:after="0" w:line="261" w:lineRule="auto"/>
        <w:tabs>
          <w:tab w:leader="none" w:pos="111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Acquisition consummated on or after the date of this Agreement, for each period of four fiscal quarters of the Company and its Subsidiaries ending next following the date of any Acquisition, Consolidated EBIT shall include the results of operations of the Person or assets so acquired on a historical pro forma basis, and which amounts may include such adjustments as are permitted under Regulation S-X of the Securities and Exchange Commission or FASB ASC 805;</w:t>
      </w:r>
    </w:p>
    <w:p>
      <w:pPr>
        <w:spacing w:after="0" w:line="179" w:lineRule="exact"/>
        <w:rPr>
          <w:rFonts w:ascii="Times New Roman" w:cs="Times New Roman" w:eastAsia="Times New Roman" w:hAnsi="Times New Roman"/>
          <w:sz w:val="18"/>
          <w:szCs w:val="18"/>
          <w:color w:val="auto"/>
        </w:rPr>
      </w:pPr>
    </w:p>
    <w:p>
      <w:pPr>
        <w:jc w:val="both"/>
        <w:ind w:firstLine="495"/>
        <w:spacing w:after="0" w:line="261" w:lineRule="auto"/>
        <w:tabs>
          <w:tab w:leader="none" w:pos="120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Material Disposition (as defined below) consummated on or after the date of this Agreement, for each period of four fiscal quarters of the Company and its Subsidiaries ending next following the date of such Material Disposition, Consolidated EBIT for such period shall be either (A) reduced by an amount equal to the Consolidated EBIT (if positive) attributable to the property that is the subject of such Material Disposition for such period or (B) increased by an amount equal to the Consolidated EBIT (if negative) attributable to such property for such period.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For the purposes of this paragraph, </w:t>
      </w:r>
      <w:r>
        <w:rPr>
          <w:rFonts w:ascii="Times New Roman" w:cs="Times New Roman" w:eastAsia="Times New Roman" w:hAnsi="Times New Roman"/>
          <w:sz w:val="18"/>
          <w:szCs w:val="18"/>
          <w:b w:val="1"/>
          <w:bCs w:val="1"/>
          <w:color w:val="auto"/>
        </w:rPr>
        <w:t>“Material Disposition”</w:t>
      </w:r>
      <w:r>
        <w:rPr>
          <w:rFonts w:ascii="Times New Roman" w:cs="Times New Roman" w:eastAsia="Times New Roman" w:hAnsi="Times New Roman"/>
          <w:sz w:val="18"/>
          <w:szCs w:val="18"/>
          <w:color w:val="auto"/>
        </w:rPr>
        <w:t xml:space="preserve"> means any Disposition (as defined below), or series of related Dispositions, by the Company and its Subsidiaries of real or personal property that has a gross book value, as determined in accordance with GAAP, equal to or greater than 10% of Consolidated Total Assets determined as of the last day of the immediately preceding fiscal quarter, and “Disposition” means the sale, transfer, license or other disposition (including any sale and leaseback transaction) of any property by any Person, other than pursuant to or in connection with a Receivables Purchase Facility.</w:t>
      </w:r>
    </w:p>
    <w:p>
      <w:pPr>
        <w:spacing w:after="0" w:line="179" w:lineRule="exact"/>
        <w:rPr>
          <w:sz w:val="20"/>
          <w:szCs w:val="20"/>
          <w:color w:val="auto"/>
        </w:rPr>
      </w:pPr>
    </w:p>
    <w:p>
      <w:pPr>
        <w:jc w:val="both"/>
        <w:ind w:firstLine="216"/>
        <w:spacing w:after="0" w:line="262" w:lineRule="auto"/>
        <w:rPr>
          <w:sz w:val="20"/>
          <w:szCs w:val="20"/>
          <w:color w:val="auto"/>
        </w:rPr>
      </w:pPr>
      <w:r>
        <w:rPr>
          <w:rFonts w:ascii="Times New Roman" w:cs="Times New Roman" w:eastAsia="Times New Roman" w:hAnsi="Times New Roman"/>
          <w:sz w:val="18"/>
          <w:szCs w:val="18"/>
          <w:b w:val="1"/>
          <w:bCs w:val="1"/>
          <w:color w:val="auto"/>
        </w:rPr>
        <w:t>Section 22.3. Severability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 of this Agreement that is prohibited or unenforceable in any jurisdiction shall, as to such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76" w:lineRule="exact"/>
        <w:rPr>
          <w:sz w:val="20"/>
          <w:szCs w:val="20"/>
          <w:color w:val="auto"/>
        </w:rPr>
      </w:pPr>
    </w:p>
    <w:p>
      <w:pPr>
        <w:jc w:val="both"/>
        <w:ind w:firstLine="216"/>
        <w:spacing w:after="0" w:line="262" w:lineRule="auto"/>
        <w:rPr>
          <w:sz w:val="20"/>
          <w:szCs w:val="20"/>
          <w:color w:val="auto"/>
        </w:rPr>
      </w:pPr>
      <w:r>
        <w:rPr>
          <w:rFonts w:ascii="Times New Roman" w:cs="Times New Roman" w:eastAsia="Times New Roman" w:hAnsi="Times New Roman"/>
          <w:sz w:val="18"/>
          <w:szCs w:val="18"/>
          <w:b w:val="1"/>
          <w:bCs w:val="1"/>
          <w:color w:val="auto"/>
        </w:rPr>
        <w:t>Section 22.4. Construction, Etc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covenant contained herein shall be construed (absent express provision to the contrary) as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Notes, shall also include any such notes issued in substitution therefor pursuant to Section 13, (b) subject to Section 22.1,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and Schedules shall be construed to refer to Sections of, and Schedules to, this Agreement, and (e) any reference to any law or regulation herein shall, unless otherwise specified, refer to such law or regulation as amended, modified or supplemented from time to time.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1"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8"/>
          <w:szCs w:val="18"/>
          <w:b w:val="1"/>
          <w:bCs w:val="1"/>
          <w:color w:val="auto"/>
        </w:rPr>
        <w:t>Section 22.5. Counterparts; Electronic Contracting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any number of counterparts, each of which shall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but all of which together shall constitute one instrument. Each counterpart may consist of a number of copies hereof, each signed by less than all, but together signed by all, of the parties hereto. The parties agree to electronic contracting and signatures with respect to this Agreement and the other documents (other than the Notes). Delivery of an electronic signature to, or a signed copy of, this Agreement and such other documents (other than the Notes) by facsimile, email or other electronic transmission shall be fully binding on the parties to the same extent as the delivery of the signed originals and shall be admissible into evidence for all purposes. The words “execution,” “execute”, “signed,” “signature,” and words of like import in or related to any document to be signed in connection with this Agreement and the other documents (other than the Notes) shall be deemed to include electronic signatures, the electronic matching of assignment terms and contract formations on electronic platforms approved by the Company,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Notwithstanding the foregoing, if any Purchaser shall request manually signed counterpart signatures to any document, the Company hereby agrees to use its reasonable endeavors to provide such manually signed signature pages as soon as reasonably practicable (but in any event within 30 days of such request or such longer period as the requesting Purchaser and the Company may mutually agree).</w:t>
      </w:r>
    </w:p>
    <w:p>
      <w:pPr>
        <w:spacing w:after="0" w:line="185" w:lineRule="exact"/>
        <w:rPr>
          <w:sz w:val="20"/>
          <w:szCs w:val="20"/>
          <w:color w:val="auto"/>
        </w:rPr>
      </w:pPr>
    </w:p>
    <w:p>
      <w:pPr>
        <w:jc w:val="both"/>
        <w:ind w:firstLine="216"/>
        <w:spacing w:after="0" w:line="224" w:lineRule="exact"/>
        <w:rPr>
          <w:sz w:val="20"/>
          <w:szCs w:val="20"/>
          <w:color w:val="auto"/>
        </w:rPr>
      </w:pPr>
      <w:r>
        <w:rPr>
          <w:rFonts w:ascii="Times New Roman" w:cs="Times New Roman" w:eastAsia="Times New Roman" w:hAnsi="Times New Roman"/>
          <w:sz w:val="18"/>
          <w:szCs w:val="18"/>
          <w:b w:val="1"/>
          <w:bCs w:val="1"/>
          <w:color w:val="auto"/>
        </w:rPr>
        <w:t>Section 22.6. Governing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construed and enforced in accordance with, and the rights of the parties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law of the State of New York excluding choice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 principles of the law of such State that would permit the application of the laws of a jurisdiction other than such State.</w:t>
      </w:r>
    </w:p>
    <w:p>
      <w:pPr>
        <w:spacing w:after="0" w:line="169" w:lineRule="exact"/>
        <w:rPr>
          <w:sz w:val="20"/>
          <w:szCs w:val="20"/>
          <w:color w:val="auto"/>
        </w:rPr>
      </w:pPr>
    </w:p>
    <w:p>
      <w:pPr>
        <w:jc w:val="both"/>
        <w:ind w:firstLine="216"/>
        <w:spacing w:after="0" w:line="224" w:lineRule="exact"/>
        <w:rPr>
          <w:sz w:val="20"/>
          <w:szCs w:val="20"/>
          <w:color w:val="auto"/>
        </w:rPr>
      </w:pPr>
      <w:r>
        <w:rPr>
          <w:rFonts w:ascii="Times New Roman" w:cs="Times New Roman" w:eastAsia="Times New Roman" w:hAnsi="Times New Roman"/>
          <w:sz w:val="18"/>
          <w:szCs w:val="18"/>
          <w:b w:val="1"/>
          <w:bCs w:val="1"/>
          <w:color w:val="auto"/>
        </w:rPr>
        <w:t>Section 22.7. Jurisdiction and Process; Waiver of Jury Trial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The Company irrevocably submits to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jurisdiction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State or federal court sitting in the Borough of Manhattan, The City of New York, over any suit, action or proceeding arising out of or relating to this Agreement or the Notes.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200" w:lineRule="exact"/>
        <w:rPr>
          <w:sz w:val="20"/>
          <w:szCs w:val="20"/>
          <w:color w:val="auto"/>
        </w:rPr>
      </w:pPr>
    </w:p>
    <w:p>
      <w:pPr>
        <w:jc w:val="both"/>
        <w:ind w:firstLine="429"/>
        <w:spacing w:after="0" w:line="261" w:lineRule="auto"/>
        <w:tabs>
          <w:tab w:leader="none" w:pos="114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the fullest extent permitted by applicable law, that a final judgment in any suit, action or proceeding of the nature referred to in Section 22.7(a) brought in any such court shall be conclusive and binding upon it subject to rights of appeal, as the case may be, and may be enforced in the courts of the United States of America or the State of New York (or any other courts to the jurisdiction of which it or any of its assets is or may be subject) by a suit upon such judgment.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5" w:lineRule="exact"/>
        <w:rPr>
          <w:sz w:val="20"/>
          <w:szCs w:val="20"/>
          <w:color w:val="auto"/>
        </w:rPr>
      </w:pPr>
    </w:p>
    <w:p>
      <w:pPr>
        <w:jc w:val="both"/>
        <w:ind w:firstLine="525"/>
        <w:spacing w:after="0" w:line="255" w:lineRule="auto"/>
        <w:tabs>
          <w:tab w:leader="none" w:pos="1316"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consents to process being served by or on behalf of any holder of Notes in any suit, action or proceeding of the nature referred to in Section 22.7(a) by mailing a copy thereof by registered, certified, priority or express mail (or any substantially similar form of mail), postage prepaid, return receipt or delivery confirmation requested, to it at its address specified in Section 18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188" w:lineRule="exact"/>
        <w:rPr>
          <w:rFonts w:ascii="Times New Roman" w:cs="Times New Roman" w:eastAsia="Times New Roman" w:hAnsi="Times New Roman"/>
          <w:sz w:val="18"/>
          <w:szCs w:val="18"/>
          <w:color w:val="auto"/>
        </w:rPr>
      </w:pPr>
    </w:p>
    <w:p>
      <w:pPr>
        <w:jc w:val="both"/>
        <w:ind w:firstLine="456"/>
        <w:spacing w:after="0" w:line="266" w:lineRule="auto"/>
        <w:tabs>
          <w:tab w:leader="none" w:pos="112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22.7 shall affect the right of any holder of a Note to serve process in any manner permitted by law, or limit any right that the holders of any of the Notes may have to bring proceedings against the Company in the courts of any appropriate jurisdiction or to enforce in any lawful manner a judgment obtained in one jurisdiction in any other jurisdiction.</w:t>
      </w:r>
    </w:p>
    <w:p>
      <w:pPr>
        <w:spacing w:after="0" w:line="175" w:lineRule="exact"/>
        <w:rPr>
          <w:rFonts w:ascii="Times New Roman" w:cs="Times New Roman" w:eastAsia="Times New Roman" w:hAnsi="Times New Roman"/>
          <w:sz w:val="18"/>
          <w:szCs w:val="18"/>
          <w:color w:val="auto"/>
        </w:rPr>
      </w:pPr>
    </w:p>
    <w:p>
      <w:pPr>
        <w:ind w:firstLine="412"/>
        <w:spacing w:after="0" w:line="261" w:lineRule="auto"/>
        <w:tabs>
          <w:tab w:leader="none" w:pos="107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 parties hereto hereby waive trial by jury in any action brought on or with respect to this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the</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otes or any other document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executed in connection herewith or therewith</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tabs>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tab/>
        <w:t>*</w:t>
      </w:r>
      <w:r>
        <w:rPr>
          <w:sz w:val="20"/>
          <w:szCs w:val="20"/>
          <w:color w:val="auto"/>
        </w:rPr>
        <w:tab/>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are in agreement with the foregoing, please sign the form of agreement on a counterpart of this Agreement and return it to the Company, whereupon this Agreement shall become a binding agreement between you and the Company.</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oro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Julie A. Kerekes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Julie A. Kerekes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Title:Treasurer and Senior Managing Director,</w:t>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Global Tax and Investor Relations</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Renee J. Peterson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Vice and President and Chief Financial Officer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Aron Davidowitz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Aron Davidowitz</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nnuity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orporation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NYL Investors LLC, its Investment 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Aron Davidowitz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Aron Davidowitz</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ank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ellon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a banking corporation organized under the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 xml:space="preserve">laws of </w:t>
      </w:r>
      <w:r>
        <w:rPr>
          <w:rFonts w:ascii="Times New Roman" w:cs="Times New Roman" w:eastAsia="Times New Roman" w:hAnsi="Times New Roman"/>
          <w:sz w:val="17"/>
          <w:szCs w:val="17"/>
          <w:color w:val="auto"/>
        </w:rPr>
        <w:t>N</w:t>
      </w:r>
      <w:r>
        <w:rPr>
          <w:rFonts w:ascii="Times New Roman" w:cs="Times New Roman" w:eastAsia="Times New Roman" w:hAnsi="Times New Roman"/>
          <w:sz w:val="12"/>
          <w:szCs w:val="12"/>
          <w:color w:val="auto"/>
        </w:rPr>
        <w:t xml:space="preserve">ew </w:t>
      </w:r>
      <w:r>
        <w:rPr>
          <w:rFonts w:ascii="Times New Roman" w:cs="Times New Roman" w:eastAsia="Times New Roman" w:hAnsi="Times New Roman"/>
          <w:sz w:val="17"/>
          <w:szCs w:val="17"/>
          <w:color w:val="auto"/>
        </w:rPr>
        <w:t>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not in its individual capacity but solely as </w:t>
      </w:r>
      <w:r>
        <w:rPr>
          <w:rFonts w:ascii="Times New Roman" w:cs="Times New Roman" w:eastAsia="Times New Roman" w:hAnsi="Times New Roman"/>
          <w:sz w:val="17"/>
          <w:szCs w:val="17"/>
          <w:color w:val="auto"/>
        </w:rPr>
        <w:t>T</w:t>
      </w:r>
      <w:r>
        <w:rPr>
          <w:rFonts w:ascii="Times New Roman" w:cs="Times New Roman" w:eastAsia="Times New Roman" w:hAnsi="Times New Roman"/>
          <w:sz w:val="12"/>
          <w:szCs w:val="12"/>
          <w:color w:val="auto"/>
        </w:rPr>
        <w:t>rustee under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 xml:space="preserve">that certain </w:t>
      </w:r>
      <w:r>
        <w:rPr>
          <w:rFonts w:ascii="Times New Roman" w:cs="Times New Roman" w:eastAsia="Times New Roman" w:hAnsi="Times New Roman"/>
          <w:sz w:val="17"/>
          <w:szCs w:val="17"/>
          <w:color w:val="auto"/>
        </w:rPr>
        <w:t>T</w:t>
      </w:r>
      <w:r>
        <w:rPr>
          <w:rFonts w:ascii="Times New Roman" w:cs="Times New Roman" w:eastAsia="Times New Roman" w:hAnsi="Times New Roman"/>
          <w:sz w:val="12"/>
          <w:szCs w:val="12"/>
          <w:color w:val="auto"/>
        </w:rPr>
        <w:t xml:space="preserve">rust </w:t>
      </w:r>
      <w:r>
        <w:rPr>
          <w:rFonts w:ascii="Times New Roman" w:cs="Times New Roman" w:eastAsia="Times New Roman" w:hAnsi="Times New Roman"/>
          <w:sz w:val="17"/>
          <w:szCs w:val="17"/>
          <w:color w:val="auto"/>
        </w:rPr>
        <w:t>A</w:t>
      </w:r>
      <w:r>
        <w:rPr>
          <w:rFonts w:ascii="Times New Roman" w:cs="Times New Roman" w:eastAsia="Times New Roman" w:hAnsi="Times New Roman"/>
          <w:sz w:val="12"/>
          <w:szCs w:val="12"/>
          <w:color w:val="auto"/>
        </w:rPr>
        <w:t xml:space="preserve">greement dated as of </w:t>
      </w:r>
      <w:r>
        <w:rPr>
          <w:rFonts w:ascii="Times New Roman" w:cs="Times New Roman" w:eastAsia="Times New Roman" w:hAnsi="Times New Roman"/>
          <w:sz w:val="17"/>
          <w:szCs w:val="17"/>
          <w:color w:val="auto"/>
        </w:rPr>
        <w:t>J</w:t>
      </w:r>
      <w:r>
        <w:rPr>
          <w:rFonts w:ascii="Times New Roman" w:cs="Times New Roman" w:eastAsia="Times New Roman" w:hAnsi="Times New Roman"/>
          <w:sz w:val="12"/>
          <w:szCs w:val="12"/>
          <w:color w:val="auto"/>
        </w:rPr>
        <w:t xml:space="preserve">uly </w:t>
      </w:r>
      <w:r>
        <w:rPr>
          <w:rFonts w:ascii="Times New Roman" w:cs="Times New Roman" w:eastAsia="Times New Roman" w:hAnsi="Times New Roman"/>
          <w:sz w:val="17"/>
          <w:szCs w:val="17"/>
          <w:color w:val="auto"/>
        </w:rPr>
        <w:t>1</w:t>
      </w:r>
      <w:r>
        <w:rPr>
          <w:rFonts w:ascii="Times New Roman" w:cs="Times New Roman" w:eastAsia="Times New Roman" w:hAnsi="Times New Roman"/>
          <w:sz w:val="12"/>
          <w:szCs w:val="12"/>
          <w:color w:val="auto"/>
        </w:rPr>
        <w:t>st</w:t>
      </w:r>
      <w:r>
        <w:rPr>
          <w:rFonts w:ascii="Times New Roman" w:cs="Times New Roman" w:eastAsia="Times New Roman" w:hAnsi="Times New Roman"/>
          <w:sz w:val="17"/>
          <w:szCs w:val="17"/>
          <w:color w:val="auto"/>
        </w:rPr>
        <w:t>, 2015</w:t>
      </w:r>
      <w:r>
        <w:rPr>
          <w:rFonts w:ascii="Times New Roman" w:cs="Times New Roman" w:eastAsia="Times New Roman" w:hAnsi="Times New Roman"/>
          <w:sz w:val="12"/>
          <w:szCs w:val="12"/>
          <w:color w:val="auto"/>
        </w:rPr>
        <w:t xml:space="preserve"> between </w:t>
      </w:r>
      <w:r>
        <w:rPr>
          <w:rFonts w:ascii="Times New Roman" w:cs="Times New Roman" w:eastAsia="Times New Roman" w:hAnsi="Times New Roman"/>
          <w:sz w:val="17"/>
          <w:szCs w:val="17"/>
          <w:color w:val="auto"/>
        </w:rPr>
        <w:t>N</w:t>
      </w:r>
      <w:r>
        <w:rPr>
          <w:rFonts w:ascii="Times New Roman" w:cs="Times New Roman" w:eastAsia="Times New Roman" w:hAnsi="Times New Roman"/>
          <w:sz w:val="12"/>
          <w:szCs w:val="12"/>
          <w:color w:val="auto"/>
        </w:rPr>
        <w:t xml:space="preserve">ew </w:t>
      </w:r>
      <w:r>
        <w:rPr>
          <w:rFonts w:ascii="Times New Roman" w:cs="Times New Roman" w:eastAsia="Times New Roman" w:hAnsi="Times New Roman"/>
          <w:sz w:val="17"/>
          <w:szCs w:val="17"/>
          <w:color w:val="auto"/>
        </w:rPr>
        <w:t>Y</w:t>
      </w:r>
      <w:r>
        <w:rPr>
          <w:rFonts w:ascii="Times New Roman" w:cs="Times New Roman" w:eastAsia="Times New Roman" w:hAnsi="Times New Roman"/>
          <w:sz w:val="12"/>
          <w:szCs w:val="12"/>
          <w:color w:val="auto"/>
        </w:rPr>
        <w:t>ork</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as</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rantor</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ancock</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(U.S.A.), </w:t>
      </w:r>
      <w:r>
        <w:rPr>
          <w:rFonts w:ascii="Times New Roman" w:cs="Times New Roman" w:eastAsia="Times New Roman" w:hAnsi="Times New Roman"/>
          <w:sz w:val="12"/>
          <w:szCs w:val="12"/>
          <w:color w:val="auto"/>
        </w:rPr>
        <w:t>as</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eneficiary</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ancock</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ew</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as</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eneficiary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ank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ellon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as</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New York Life Insurance Company, its attorney-in-fact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Aron Davidowitz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Aron Davidowitz</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ruco</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PGIM, Inc., as investment manager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Anna Sabiston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armers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xchange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PGIM Private Placement Investors, L.P. (as Investment Advisor)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PGIM Private Placement Investors, Inc. (as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Anna Sabiston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entury</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PGIM Private Placement Investors, L.P. (as Investment Advisor)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PGIM Private Placement Investors, Inc. (as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Anna Sabiston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rudential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 of</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merica</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PGIM, Inc., as investment manager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Anna Sabiston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tabs>
          <w:tab w:leader="none" w:pos="9340" w:val="left"/>
        </w:tabs>
        <w:rPr>
          <w:sz w:val="20"/>
          <w:szCs w:val="20"/>
          <w:color w:val="auto"/>
        </w:rPr>
      </w:pPr>
      <w:r>
        <w:rPr>
          <w:rFonts w:ascii="Times New Roman" w:cs="Times New Roman" w:eastAsia="Times New Roman" w:hAnsi="Times New Roman"/>
          <w:sz w:val="18"/>
          <w:szCs w:val="18"/>
          <w:color w:val="auto"/>
        </w:rPr>
        <w:t>The Toro Company</w:t>
      </w:r>
      <w:r>
        <w:rPr>
          <w:sz w:val="20"/>
          <w:szCs w:val="20"/>
          <w:color w:val="auto"/>
        </w:rPr>
        <w:tab/>
      </w:r>
      <w:r>
        <w:rPr>
          <w:rFonts w:ascii="Times New Roman" w:cs="Times New Roman" w:eastAsia="Times New Roman" w:hAnsi="Times New Roman"/>
          <w:sz w:val="17"/>
          <w:szCs w:val="17"/>
          <w:color w:val="auto"/>
        </w:rPr>
        <w:t>Note Purchase Agreement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tate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arm</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Jeffrey Attwood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Jeffrey Attwood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Investment Professional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Michelle K. Marsh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Michelle K. Marsh</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Investment Professional</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tate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arm</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ccident assurance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Jeffrey Attwood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Jeffrey Attwood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Investment Professional</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Michelle K. Marsh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Michelle K. Marsh</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Investment Professional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efined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erms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following terms have the respective meanings set forth below or set forth in the Section hereof following such term:</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“2021 Credit Agreement” </w:t>
      </w:r>
      <w:r>
        <w:rPr>
          <w:rFonts w:ascii="Times New Roman" w:cs="Times New Roman" w:eastAsia="Times New Roman" w:hAnsi="Times New Roman"/>
          <w:sz w:val="18"/>
          <w:szCs w:val="18"/>
          <w:color w:val="auto"/>
        </w:rPr>
        <w:t>is defined within the definition of Material Credit Facility.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“2022 Credit Agreement” </w:t>
      </w:r>
      <w:r>
        <w:rPr>
          <w:rFonts w:ascii="Times New Roman" w:cs="Times New Roman" w:eastAsia="Times New Roman" w:hAnsi="Times New Roman"/>
          <w:sz w:val="18"/>
          <w:szCs w:val="18"/>
          <w:color w:val="auto"/>
        </w:rPr>
        <w:t>is defined within the definition of Material Credit Facility.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“Acquisition” </w:t>
      </w:r>
      <w:r>
        <w:rPr>
          <w:rFonts w:ascii="Times New Roman" w:cs="Times New Roman" w:eastAsia="Times New Roman" w:hAnsi="Times New Roman"/>
          <w:sz w:val="18"/>
          <w:szCs w:val="18"/>
          <w:color w:val="auto"/>
        </w:rPr>
        <w:t>means any investment which involves a transaction or series of related transactions for the purpose of or resulting,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in (a) the acquisition of all or substantially all of the assets of a Person, or of any business or division of a Person, (b) the acquisition of in excess of 50% of the capital stock, partnership interests, membership interests or equity of any Person, or otherwise causing any Person to become a Subsidiary or</w:t>
      </w: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merger or consolidation or any other combination with another Person that is otherwise permitted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2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and after giving pro forma effect to any such Acquisition, the Company is in compliance with financial covenant set forth in Section 10.7, (ii) such Acquisition is undertaken in accordance with all applicable Laws, and (iii) the prior, effective written consent or approval to such Acquisition of the board of directors or equivalent governing body of the acquiree is obtained.</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at any time, and with respect to any Person, any other Person that at such time directly or indirectly through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intermediaries Controls, or is Controlled by, or is under common Control with, such first Person. Unless the context otherwise clearly requires, any reference to an “Affiliate” is a reference to an Affiliate of the Company.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means this Note Purchase Agreement, including all Schedules attached to this Agreement.</w:t>
      </w:r>
    </w:p>
    <w:p>
      <w:pPr>
        <w:spacing w:after="0" w:line="200" w:lineRule="exact"/>
        <w:rPr>
          <w:sz w:val="20"/>
          <w:szCs w:val="20"/>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b w:val="1"/>
          <w:bCs w:val="1"/>
          <w:color w:val="auto"/>
        </w:rPr>
        <w:t>“Anti</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Corruption Laws” </w:t>
      </w:r>
      <w:r>
        <w:rPr>
          <w:rFonts w:ascii="Times New Roman" w:cs="Times New Roman" w:eastAsia="Times New Roman" w:hAnsi="Times New Roman"/>
          <w:sz w:val="18"/>
          <w:szCs w:val="18"/>
          <w:color w:val="auto"/>
        </w:rPr>
        <w:t>means any law or regulation in a U.S. or any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jurisdiction regarding bribery or any other corrupt activity,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U.S. Foreign Corrupt Practices Act and the U.K. Bribery Act 2010.</w:t>
      </w:r>
    </w:p>
    <w:p>
      <w:pPr>
        <w:spacing w:after="0" w:line="170"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b w:val="1"/>
          <w:bCs w:val="1"/>
          <w:color w:val="auto"/>
        </w:rPr>
        <w:t>“Anti</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Money Laundering Laws” </w:t>
      </w:r>
      <w:r>
        <w:rPr>
          <w:rFonts w:ascii="Times New Roman" w:cs="Times New Roman" w:eastAsia="Times New Roman" w:hAnsi="Times New Roman"/>
          <w:sz w:val="18"/>
          <w:szCs w:val="18"/>
          <w:color w:val="auto"/>
        </w:rPr>
        <w:t>means any law or regulation in a U.S. or any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jurisdiction regarding money laundering,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trafficking, terrorist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activities or other money laundering predicate crimes, including the Currency and Foreign Transactions Reporting Act of 1970 (otherwise known as the Bank Secrecy Act) and the USA PATRIOT Act.</w:t>
      </w:r>
    </w:p>
    <w:p>
      <w:pPr>
        <w:spacing w:after="0" w:line="19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Blocked Person</w:t>
      </w:r>
      <w:r>
        <w:rPr>
          <w:rFonts w:ascii="Times New Roman" w:cs="Times New Roman" w:eastAsia="Times New Roman" w:hAnsi="Times New Roman"/>
          <w:sz w:val="18"/>
          <w:szCs w:val="18"/>
          <w:color w:val="auto"/>
        </w:rPr>
        <w:t>” 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w:t>
      </w:r>
      <w:r>
        <w:rPr>
          <w:rFonts w:ascii="Times New Roman" w:cs="Times New Roman" w:eastAsia="Times New Roman" w:hAnsi="Times New Roman"/>
          <w:sz w:val="18"/>
          <w:szCs w:val="18"/>
          <w:color w:val="auto"/>
        </w:rPr>
        <w:t xml:space="preserve">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for the purposes of Section 8.6 only, any day other than a Saturday, a Sunday or a day on which commercial banks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City are required or authorized to be closed, and (b) for the purposes of any other provision of this Agreement, any day other than a Saturday, a Sunday or a day on which commercial banks in New York, New York or South Bloomington, Minnesota are required or authorized to be closed.</w:t>
      </w:r>
    </w:p>
    <w:p>
      <w:pPr>
        <w:spacing w:after="0" w:line="171"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“Change of Control” </w:t>
      </w:r>
      <w:r>
        <w:rPr>
          <w:rFonts w:ascii="Times New Roman" w:cs="Times New Roman" w:eastAsia="Times New Roman" w:hAnsi="Times New Roman"/>
          <w:sz w:val="18"/>
          <w:szCs w:val="18"/>
          <w:color w:val="auto"/>
        </w:rPr>
        <w:t>means an event or series of events by which (i) any Person or group within the meaning of Section 13(d)(3)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the rules and regulations promulgated thereunder, shall, after the date of Closing, acquire beneficial ownership (within the meaning of Rule 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3 of the Exchange Act), directly or indirectly, of securities of the Company (or other securities convertible into such securities) representing thirty percent (30%) of the combined voting power of all securities of the Company entitled to vote in the election of directors, other than securities having such power only by reason of the happening of a contingency (hereinafter called a </w:t>
      </w:r>
      <w:r>
        <w:rPr>
          <w:rFonts w:ascii="Times New Roman" w:cs="Times New Roman" w:eastAsia="Times New Roman" w:hAnsi="Times New Roman"/>
          <w:sz w:val="18"/>
          <w:szCs w:val="18"/>
          <w:b w:val="1"/>
          <w:bCs w:val="1"/>
          <w:color w:val="auto"/>
        </w:rPr>
        <w:t>“Controlling Person”</w:t>
      </w:r>
      <w:r>
        <w:rPr>
          <w:rFonts w:ascii="Times New Roman" w:cs="Times New Roman" w:eastAsia="Times New Roman" w:hAnsi="Times New Roman"/>
          <w:sz w:val="18"/>
          <w:szCs w:val="18"/>
          <w:color w:val="auto"/>
        </w:rPr>
        <w:t>); or (ii) a majority of the Board of Directors of the Company shall cease for any reason to consist of (A) individuals who on the Closing Date were serving as directors of the Company and (B) individuals who subsequently become members of the Board if such individuals’ nomination for election or election to the Board is recommended or approved by a majority of the Board of Directors of the Company; or (iii) a default or the happening of any event shall occur under any charter, indenture, agreement or other instrument in connection with which any preferred stock of the Company may be issued, and as a result of such default or event the holders of such preferred stock shall designate or elect members of the Board of Directors of the Company. For purposes of clause (i) above, a Person or group shall not be a Controlling Person if such Person or group holds voting power in good faith and not for the purpose of circumventing Section 8.7 as an agent, bank, broker, nominee, trustee, or holder of revocable proxies given in response to a solicitation pursuant to the Exchange Act, for one or more beneficial owners who do not individually, or, if they are a group acting in concert, as a group, have the voting power specified in clause (i).</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“Closing” </w:t>
      </w:r>
      <w:r>
        <w:rPr>
          <w:rFonts w:ascii="Times New Roman" w:cs="Times New Roman" w:eastAsia="Times New Roman" w:hAnsi="Times New Roman"/>
          <w:sz w:val="18"/>
          <w:szCs w:val="18"/>
          <w:color w:val="auto"/>
        </w:rPr>
        <w:t>is defined in Section 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“Closing Date” </w:t>
      </w:r>
      <w:r>
        <w:rPr>
          <w:rFonts w:ascii="Times New Roman" w:cs="Times New Roman" w:eastAsia="Times New Roman" w:hAnsi="Times New Roman"/>
          <w:sz w:val="18"/>
          <w:szCs w:val="18"/>
          <w:color w:val="auto"/>
        </w:rPr>
        <w:t>shall mean the date of the Closing.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“Code” </w:t>
      </w:r>
      <w:r>
        <w:rPr>
          <w:rFonts w:ascii="Times New Roman" w:cs="Times New Roman" w:eastAsia="Times New Roman" w:hAnsi="Times New Roman"/>
          <w:sz w:val="18"/>
          <w:szCs w:val="18"/>
          <w:color w:val="auto"/>
        </w:rPr>
        <w:t>means the Internal Revenue Code of 1986 and the rules and regulations promulgated thereunder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is defined in the first paragraph of this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“Competitor” </w:t>
      </w:r>
      <w:r>
        <w:rPr>
          <w:rFonts w:ascii="Times New Roman" w:cs="Times New Roman" w:eastAsia="Times New Roman" w:hAnsi="Times New Roman"/>
          <w:sz w:val="18"/>
          <w:szCs w:val="18"/>
          <w:color w:val="auto"/>
        </w:rPr>
        <w:t>mean any Person that may reasonably be deemed to be engaged in a business that is competitive with the Company’s and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Subsidiary’s business as currently conducted or as may be conducted in the future;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 Institutional Investor shall not be deemed a Competitor so long as, to the extent it makes investments in entities that would be Competitors, such investments are non-controlling and passive in nature (it being understood that any enforcement of rights by such Institutional Investor in connection with such investments shall be deemed to be consistent with investments of such nature).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“Confidential Information” </w:t>
      </w:r>
      <w:r>
        <w:rPr>
          <w:rFonts w:ascii="Times New Roman" w:cs="Times New Roman" w:eastAsia="Times New Roman" w:hAnsi="Times New Roman"/>
          <w:sz w:val="18"/>
          <w:szCs w:val="18"/>
          <w:color w:val="auto"/>
        </w:rPr>
        <w:t>is defined in Section 20.</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both"/>
        <w:ind w:firstLine="648"/>
        <w:spacing w:after="0" w:line="220" w:lineRule="exact"/>
        <w:rPr>
          <w:sz w:val="20"/>
          <w:szCs w:val="20"/>
          <w:color w:val="auto"/>
        </w:rPr>
      </w:pPr>
      <w:r>
        <w:rPr>
          <w:rFonts w:ascii="Times New Roman" w:cs="Times New Roman" w:eastAsia="Times New Roman" w:hAnsi="Times New Roman"/>
          <w:sz w:val="18"/>
          <w:szCs w:val="18"/>
          <w:b w:val="1"/>
          <w:bCs w:val="1"/>
          <w:color w:val="auto"/>
        </w:rPr>
        <w:t xml:space="preserve">“Consolidated EBIT” </w:t>
      </w:r>
      <w:r>
        <w:rPr>
          <w:rFonts w:ascii="Times New Roman" w:cs="Times New Roman" w:eastAsia="Times New Roman" w:hAnsi="Times New Roman"/>
          <w:sz w:val="18"/>
          <w:szCs w:val="18"/>
          <w:color w:val="auto"/>
        </w:rPr>
        <w:t>means, for any period, for the Company and its Subsidiaries on a consolidated basis, an amount equal to Consolidated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Income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following to the extent deducted in calculating such Consolidated Net Income: (i) Consolidated Interest Charges for such period, (ii) the provision for federal, state, local and foreign income taxes payable by the Company and its Subsidiaries for such period, and (iii)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cash fees and expenses, not to exceed $50,000,000 in the aggregate, (x) related to restructurings, or (y) related to cost savings, restructuring, severance, integration, or consolidation related to an Acquisition, and to include without limitation advisory, legal, financing, and consulting fees related to an Acquisition, incurred in anticipation of, in connection with or as a result of such Acquisition.</w:t>
      </w:r>
    </w:p>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“Consolidated Interest Charges” </w:t>
      </w:r>
      <w:r>
        <w:rPr>
          <w:rFonts w:ascii="Times New Roman" w:cs="Times New Roman" w:eastAsia="Times New Roman" w:hAnsi="Times New Roman"/>
          <w:sz w:val="18"/>
          <w:szCs w:val="18"/>
          <w:color w:val="auto"/>
        </w:rPr>
        <w:t>means, for any period, for the Company and its Subsidiaries on a consolidated basis, the sum of (a) all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discounts, premium payments, commissions, fees (other than fees incurred hereunder or in connection herewith), charges and related expenses of the Company and its Subsidiaries in connection with Indebtedness (including capitalized interest) or in connection with the deferred purchase price of assets or incurred with respect to any Receivables Purchase Facility permitted hereunder, in each case to the extent treated as interest in accordance with GAAP and</w:t>
      </w:r>
    </w:p>
    <w:p>
      <w:pPr>
        <w:spacing w:after="0" w:line="3" w:lineRule="exact"/>
        <w:rPr>
          <w:sz w:val="20"/>
          <w:szCs w:val="20"/>
          <w:color w:val="auto"/>
        </w:rPr>
      </w:pPr>
    </w:p>
    <w:p>
      <w:pPr>
        <w:ind w:firstLine="8"/>
        <w:spacing w:after="0" w:line="260" w:lineRule="auto"/>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rent expense of the Company and its Subsidiaries with respect to such period under capital leases that is treated as interest in accordance with GAAP.</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Net Income” </w:t>
      </w:r>
      <w:r>
        <w:rPr>
          <w:rFonts w:ascii="Times New Roman" w:cs="Times New Roman" w:eastAsia="Times New Roman" w:hAnsi="Times New Roman"/>
          <w:sz w:val="18"/>
          <w:szCs w:val="18"/>
          <w:color w:val="auto"/>
        </w:rPr>
        <w:t>means, for any period, for the Company and its Subsidiaries on a consolidated basis, the net income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Subsidiaries for that period.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“Consolidated Total Assets” </w:t>
      </w:r>
      <w:r>
        <w:rPr>
          <w:rFonts w:ascii="Times New Roman" w:cs="Times New Roman" w:eastAsia="Times New Roman" w:hAnsi="Times New Roman"/>
          <w:sz w:val="18"/>
          <w:szCs w:val="18"/>
          <w:color w:val="auto"/>
        </w:rPr>
        <w:t>means the total assets of the Company and its Subsidiaries, determined on a consolidated basis in accordance with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“Control” </w:t>
      </w:r>
      <w:r>
        <w:rPr>
          <w:rFonts w:ascii="Times New Roman" w:cs="Times New Roman" w:eastAsia="Times New Roman" w:hAnsi="Times New Roman"/>
          <w:sz w:val="18"/>
          <w:szCs w:val="18"/>
          <w:color w:val="auto"/>
        </w:rPr>
        <w:t>means the possession, directly or indirectly, of the power to direct or cause the direction of the management and policies of a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through the ownership of voting securities, by contract or otherwise; and the terms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shall have meanings correlative to the foregoing.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“Control Event”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jc w:val="both"/>
        <w:ind w:left="660" w:firstLine="212"/>
        <w:spacing w:after="0" w:line="266" w:lineRule="auto"/>
        <w:tabs>
          <w:tab w:leader="none" w:pos="189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by the Company or any of its Subsidiaries or Affiliates of any agreement or letter of intent with respect to any proposed transaction or event or series of transactions or events which, individually or in the aggregate, may reasonably be expected to result in a Change of Control,</w:t>
      </w:r>
    </w:p>
    <w:p>
      <w:pPr>
        <w:spacing w:after="0" w:line="175" w:lineRule="exact"/>
        <w:rPr>
          <w:rFonts w:ascii="Times New Roman" w:cs="Times New Roman" w:eastAsia="Times New Roman" w:hAnsi="Times New Roman"/>
          <w:sz w:val="18"/>
          <w:szCs w:val="18"/>
          <w:color w:val="auto"/>
        </w:rPr>
      </w:pPr>
    </w:p>
    <w:p>
      <w:pPr>
        <w:ind w:left="1680" w:hanging="808"/>
        <w:spacing w:after="0"/>
        <w:tabs>
          <w:tab w:leader="none" w:pos="1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any written agreement which, when fully performed by the parties thereto, would result in a Change of Control, or</w:t>
      </w:r>
    </w:p>
    <w:p>
      <w:pPr>
        <w:spacing w:after="0" w:line="225" w:lineRule="exact"/>
        <w:rPr>
          <w:rFonts w:ascii="Times New Roman" w:cs="Times New Roman" w:eastAsia="Times New Roman" w:hAnsi="Times New Roman"/>
          <w:sz w:val="18"/>
          <w:szCs w:val="18"/>
          <w:color w:val="auto"/>
        </w:rPr>
      </w:pPr>
    </w:p>
    <w:p>
      <w:pPr>
        <w:jc w:val="both"/>
        <w:ind w:left="660" w:firstLine="212"/>
        <w:spacing w:after="0" w:line="261" w:lineRule="auto"/>
        <w:tabs>
          <w:tab w:leader="none" w:pos="1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written offer by any person (as such term is used in section 13(d) and section 14(d)(2) of the Exchange Act as in effect on the date of the Closing) or related persons constituting a group (as such term is used in Rule 13d-5 under the Exchange Act as in effect on the date of the Closing) to the holders of the common stock of the Company, which offer, if accepted by the requisite number of holders, would result in a Change of Control.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“Controlled Entity” </w:t>
      </w:r>
      <w:r>
        <w:rPr>
          <w:rFonts w:ascii="Times New Roman" w:cs="Times New Roman" w:eastAsia="Times New Roman" w:hAnsi="Times New Roman"/>
          <w:sz w:val="18"/>
          <w:szCs w:val="18"/>
          <w:color w:val="auto"/>
        </w:rPr>
        <w:t>means (a) any of the Subsidiaries of the Company and any of their or the Company’s respective Controlled Affiliates and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 has a parent company, such parent company and its Controlled Affiliates.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“Controlling Person” </w:t>
      </w:r>
      <w:r>
        <w:rPr>
          <w:rFonts w:ascii="Times New Roman" w:cs="Times New Roman" w:eastAsia="Times New Roman" w:hAnsi="Times New Roman"/>
          <w:sz w:val="18"/>
          <w:szCs w:val="18"/>
          <w:color w:val="auto"/>
        </w:rPr>
        <w:t>has the meaning set forth in the definition of Change of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“Covenant Holiday” </w:t>
      </w:r>
      <w:r>
        <w:rPr>
          <w:rFonts w:ascii="Times New Roman" w:cs="Times New Roman" w:eastAsia="Times New Roman" w:hAnsi="Times New Roman"/>
          <w:sz w:val="18"/>
          <w:szCs w:val="18"/>
          <w:color w:val="auto"/>
        </w:rPr>
        <w:t>is defined in Section 10.7.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Securities Exchange Act of 1934, and regulations promulgated thereunder.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“Default” </w:t>
      </w:r>
      <w:r>
        <w:rPr>
          <w:rFonts w:ascii="Times New Roman" w:cs="Times New Roman" w:eastAsia="Times New Roman" w:hAnsi="Times New Roman"/>
          <w:sz w:val="18"/>
          <w:szCs w:val="18"/>
          <w:color w:val="auto"/>
        </w:rPr>
        <w:t>means an event or condition the occurrence or existence of which would, with the lapse of time or the giving of notice or both,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Event of Default.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“Default Rate” </w:t>
      </w:r>
      <w:r>
        <w:rPr>
          <w:rFonts w:ascii="Times New Roman" w:cs="Times New Roman" w:eastAsia="Times New Roman" w:hAnsi="Times New Roman"/>
          <w:sz w:val="18"/>
          <w:szCs w:val="18"/>
          <w:color w:val="auto"/>
        </w:rPr>
        <w:t>means for any Note that rate of interest per annum that is the greater of (a) 2.0% above the rate of interest stated in clause (a)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paragraph of the Notes or (b) 2.0% over the rate of interest publicly announced by Bank of America, N.A., in New York, New York as its “base” or “prime” rate.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“Disclosure Documents” </w:t>
      </w:r>
      <w:r>
        <w:rPr>
          <w:rFonts w:ascii="Times New Roman" w:cs="Times New Roman" w:eastAsia="Times New Roman" w:hAnsi="Times New Roman"/>
          <w:sz w:val="18"/>
          <w:szCs w:val="18"/>
          <w:color w:val="auto"/>
        </w:rPr>
        <w:t>is defined in Section 5.3.</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“EDGAR” </w:t>
      </w:r>
      <w:r>
        <w:rPr>
          <w:rFonts w:ascii="Times New Roman" w:cs="Times New Roman" w:eastAsia="Times New Roman" w:hAnsi="Times New Roman"/>
          <w:sz w:val="18"/>
          <w:szCs w:val="18"/>
          <w:color w:val="auto"/>
        </w:rPr>
        <w:t>means the SEC’s Electronic Data Gathering, Analysis and Retrieval System or any successor SEC electronic filing system for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w:t>
      </w:r>
    </w:p>
    <w:p>
      <w:pPr>
        <w:spacing w:after="0" w:line="130"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b w:val="1"/>
          <w:bCs w:val="1"/>
          <w:color w:val="auto"/>
        </w:rPr>
        <w:t>“End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User Financing Arrangements” </w:t>
      </w:r>
      <w:r>
        <w:rPr>
          <w:rFonts w:ascii="Times New Roman" w:cs="Times New Roman" w:eastAsia="Times New Roman" w:hAnsi="Times New Roman"/>
          <w:sz w:val="18"/>
          <w:szCs w:val="18"/>
          <w:color w:val="auto"/>
        </w:rPr>
        <w:t>has the meaning specified in the definition of “Indebtedness.”</w:t>
      </w:r>
    </w:p>
    <w:p>
      <w:pPr>
        <w:spacing w:after="0" w:line="25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“Environmental Laws” </w:t>
      </w:r>
      <w:r>
        <w:rPr>
          <w:rFonts w:ascii="Times New Roman" w:cs="Times New Roman" w:eastAsia="Times New Roman" w:hAnsi="Times New Roman"/>
          <w:sz w:val="18"/>
          <w:szCs w:val="18"/>
          <w:color w:val="auto"/>
        </w:rPr>
        <w:t>means any and all federal, state, local, and foreign statutes, laws, regulations, ordinances, rules, judgments,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decrees, permits, concessions, grants, franchises, licenses, agreements or governmental restrictions relating to pollution and the protection of the environment or the release of any materials into the environment, including those related to Hazardous Materials.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“ERISA” </w:t>
      </w:r>
      <w:r>
        <w:rPr>
          <w:rFonts w:ascii="Times New Roman" w:cs="Times New Roman" w:eastAsia="Times New Roman" w:hAnsi="Times New Roman"/>
          <w:sz w:val="18"/>
          <w:szCs w:val="18"/>
          <w:color w:val="auto"/>
        </w:rPr>
        <w:t>means the Employee Retirement Income Security Act of 1974, as amended from time to time, and the rules and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thereunder from time to time in effect.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“ERISA Affiliate” </w:t>
      </w:r>
      <w:r>
        <w:rPr>
          <w:rFonts w:ascii="Times New Roman" w:cs="Times New Roman" w:eastAsia="Times New Roman" w:hAnsi="Times New Roman"/>
          <w:sz w:val="18"/>
          <w:szCs w:val="18"/>
          <w:color w:val="auto"/>
        </w:rPr>
        <w:t>means any trade or business (whether or not incorporated) that is treated as a single employer together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section 414 of the Code.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“Equity Interests” </w:t>
      </w:r>
      <w:r>
        <w:rPr>
          <w:rFonts w:ascii="Times New Roman" w:cs="Times New Roman" w:eastAsia="Times New Roman" w:hAnsi="Times New Roman"/>
          <w:sz w:val="18"/>
          <w:szCs w:val="18"/>
          <w:color w:val="auto"/>
        </w:rPr>
        <w:t>means, with respect to any Person, all of the shares of capital stock of (or other ownership or profit interests in) such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“Event of Default” </w:t>
      </w:r>
      <w:r>
        <w:rPr>
          <w:rFonts w:ascii="Times New Roman" w:cs="Times New Roman" w:eastAsia="Times New Roman" w:hAnsi="Times New Roman"/>
          <w:sz w:val="18"/>
          <w:szCs w:val="18"/>
          <w:color w:val="auto"/>
        </w:rPr>
        <w:t>is defined in Section 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Securities Exchange Act of 1934, and regulations promulgated thereunder.</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“FATCA” </w:t>
      </w:r>
      <w:r>
        <w:rPr>
          <w:rFonts w:ascii="Times New Roman" w:cs="Times New Roman" w:eastAsia="Times New Roman" w:hAnsi="Times New Roman"/>
          <w:sz w:val="18"/>
          <w:szCs w:val="18"/>
          <w:color w:val="auto"/>
        </w:rPr>
        <w:t>means (a) sections 1471 through 1474 of the Code, as of the date of this Agreement (or any amended or successor version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“Foreign Borrowing” </w:t>
      </w:r>
      <w:r>
        <w:rPr>
          <w:rFonts w:ascii="Times New Roman" w:cs="Times New Roman" w:eastAsia="Times New Roman" w:hAnsi="Times New Roman"/>
          <w:sz w:val="18"/>
          <w:szCs w:val="18"/>
          <w:color w:val="auto"/>
        </w:rPr>
        <w:t>is defined in Section 9.7(a).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“Foreign Guarantee” </w:t>
      </w:r>
      <w:r>
        <w:rPr>
          <w:rFonts w:ascii="Times New Roman" w:cs="Times New Roman" w:eastAsia="Times New Roman" w:hAnsi="Times New Roman"/>
          <w:sz w:val="18"/>
          <w:szCs w:val="18"/>
          <w:color w:val="auto"/>
        </w:rPr>
        <w:t>is defined in Section 9.7(a).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“Foreign Subsidiary” </w:t>
      </w:r>
      <w:r>
        <w:rPr>
          <w:rFonts w:ascii="Times New Roman" w:cs="Times New Roman" w:eastAsia="Times New Roman" w:hAnsi="Times New Roman"/>
          <w:sz w:val="18"/>
          <w:szCs w:val="18"/>
          <w:color w:val="auto"/>
        </w:rPr>
        <w:t>means (i) any Subsidiary of the Company which is not organized under the laws of the United States of America, any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the District of Columbia and (ii) any Subsidiary that is owned, in whole or in part, directly or indirectly, by one or more Foreign Subsidiaries.</w:t>
      </w:r>
    </w:p>
    <w:p>
      <w:pPr>
        <w:spacing w:after="0" w:line="130"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b w:val="1"/>
          <w:bCs w:val="1"/>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K” </w:t>
      </w:r>
      <w:r>
        <w:rPr>
          <w:rFonts w:ascii="Times New Roman" w:cs="Times New Roman" w:eastAsia="Times New Roman" w:hAnsi="Times New Roman"/>
          <w:sz w:val="18"/>
          <w:szCs w:val="18"/>
          <w:color w:val="auto"/>
        </w:rPr>
        <w:t>is defined in Section 7.1(b).</w:t>
      </w:r>
    </w:p>
    <w:p>
      <w:pPr>
        <w:spacing w:after="0" w:line="225"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b w:val="1"/>
          <w:bCs w:val="1"/>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Q” </w:t>
      </w:r>
      <w:r>
        <w:rPr>
          <w:rFonts w:ascii="Times New Roman" w:cs="Times New Roman" w:eastAsia="Times New Roman" w:hAnsi="Times New Roman"/>
          <w:sz w:val="18"/>
          <w:szCs w:val="18"/>
          <w:color w:val="auto"/>
        </w:rPr>
        <w:t>is defined in Section 7.1(a).</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“FRB” </w:t>
      </w:r>
      <w:r>
        <w:rPr>
          <w:rFonts w:ascii="Times New Roman" w:cs="Times New Roman" w:eastAsia="Times New Roman" w:hAnsi="Times New Roman"/>
          <w:sz w:val="18"/>
          <w:szCs w:val="18"/>
          <w:color w:val="auto"/>
        </w:rPr>
        <w:t>means the Board of Governors of the Federal Reserve System of the United States.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“GAAP” </w:t>
      </w:r>
      <w:r>
        <w:rPr>
          <w:rFonts w:ascii="Times New Roman" w:cs="Times New Roman" w:eastAsia="Times New Roman" w:hAnsi="Times New Roman"/>
          <w:sz w:val="18"/>
          <w:szCs w:val="18"/>
          <w:color w:val="auto"/>
        </w:rPr>
        <w:t>means (a) generally accepted accounting principles as in effect from time to time in the United States of America and (b)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9.6, with respect to any Subsidiary, generally accepted accounting principles (including International Financial Reporting Standards, as applicable) as in effect from time to time in the jurisdiction of organization of such Subsidiary.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“Governmental Authority”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1520" w:hanging="648"/>
        <w:spacing w:after="0"/>
        <w:tabs>
          <w:tab w:leader="none" w:pos="1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of</w:t>
      </w:r>
    </w:p>
    <w:p>
      <w:pPr>
        <w:spacing w:after="0" w:line="225" w:lineRule="exact"/>
        <w:rPr>
          <w:rFonts w:ascii="Times New Roman" w:cs="Times New Roman" w:eastAsia="Times New Roman" w:hAnsi="Times New Roman"/>
          <w:sz w:val="18"/>
          <w:szCs w:val="18"/>
          <w:color w:val="auto"/>
        </w:rPr>
      </w:pPr>
    </w:p>
    <w:p>
      <w:pPr>
        <w:ind w:left="2360" w:hanging="840"/>
        <w:spacing w:after="0"/>
        <w:tabs>
          <w:tab w:leader="none" w:pos="23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of America or any state or other political subdivision thereof, or</w:t>
      </w:r>
    </w:p>
    <w:p>
      <w:pPr>
        <w:spacing w:after="0" w:line="225" w:lineRule="exact"/>
        <w:rPr>
          <w:rFonts w:ascii="Times New Roman" w:cs="Times New Roman" w:eastAsia="Times New Roman" w:hAnsi="Times New Roman"/>
          <w:sz w:val="18"/>
          <w:szCs w:val="18"/>
          <w:color w:val="auto"/>
        </w:rPr>
      </w:pPr>
    </w:p>
    <w:p>
      <w:pPr>
        <w:ind w:left="1300" w:firstLine="220"/>
        <w:spacing w:after="0" w:line="282" w:lineRule="auto"/>
        <w:tabs>
          <w:tab w:leader="none" w:pos="241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jurisdiction in which the Company or any Subsidiary conducts all or any part of its business, or which asserts jurisdiction over any properties of the Company or any Subsidiary, or</w:t>
      </w:r>
    </w:p>
    <w:p>
      <w:pPr>
        <w:spacing w:after="0" w:line="161" w:lineRule="exact"/>
        <w:rPr>
          <w:rFonts w:ascii="Times New Roman" w:cs="Times New Roman" w:eastAsia="Times New Roman" w:hAnsi="Times New Roman"/>
          <w:sz w:val="18"/>
          <w:szCs w:val="18"/>
          <w:color w:val="auto"/>
        </w:rPr>
      </w:pPr>
    </w:p>
    <w:p>
      <w:pPr>
        <w:ind w:left="1540" w:hanging="668"/>
        <w:spacing w:after="0"/>
        <w:tabs>
          <w:tab w:leader="none" w:pos="1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exercising executive, legislative, judicial, regulatory or administrative functions of, or pertaining to, any such government.</w:t>
      </w:r>
    </w:p>
    <w:p>
      <w:pPr>
        <w:spacing w:after="0" w:line="196" w:lineRule="exact"/>
        <w:rPr>
          <w:sz w:val="20"/>
          <w:szCs w:val="20"/>
          <w:color w:val="auto"/>
        </w:rPr>
      </w:pPr>
    </w:p>
    <w:p>
      <w:pPr>
        <w:jc w:val="both"/>
        <w:ind w:right="20" w:firstLine="648"/>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“Governmental Official” </w:t>
      </w:r>
      <w:r>
        <w:rPr>
          <w:rFonts w:ascii="Times New Roman" w:cs="Times New Roman" w:eastAsia="Times New Roman" w:hAnsi="Times New Roman"/>
          <w:sz w:val="18"/>
          <w:szCs w:val="18"/>
          <w:color w:val="auto"/>
        </w:rPr>
        <w:t>means any governmental official or employee, employee of any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or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political party, any official of a political party, candidate for political office, official of any public international organization or anyone else acting in an official capacity.</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“Guarantee” </w:t>
      </w:r>
      <w:r>
        <w:rPr>
          <w:rFonts w:ascii="Times New Roman" w:cs="Times New Roman" w:eastAsia="Times New Roman" w:hAnsi="Times New Roman"/>
          <w:sz w:val="18"/>
          <w:szCs w:val="18"/>
          <w:color w:val="auto"/>
        </w:rPr>
        <w:t>means, as to any Person, (a) any obligation, contingent or otherwise, of such Person guaranteeing or having the economic effect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“Hazardous Materials” </w:t>
      </w:r>
      <w:r>
        <w:rPr>
          <w:rFonts w:ascii="Times New Roman" w:cs="Times New Roman" w:eastAsia="Times New Roman" w:hAnsi="Times New Roman"/>
          <w:sz w:val="18"/>
          <w:szCs w:val="18"/>
          <w:color w:val="auto"/>
        </w:rPr>
        <w:t>means any and all pollutants, toxic or hazardous wastes or other substances that might pose a hazard to health and safety,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asbestos, urea formaldehyde foam insulation, polychlorinated biphenyls, petroleum, petroleum products, lead based paint, radon gas or similar restricted, prohibited or penalized substances.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“holder” </w:t>
      </w:r>
      <w:r>
        <w:rPr>
          <w:rFonts w:ascii="Times New Roman" w:cs="Times New Roman" w:eastAsia="Times New Roman" w:hAnsi="Times New Roman"/>
          <w:sz w:val="18"/>
          <w:szCs w:val="18"/>
          <w:color w:val="auto"/>
        </w:rPr>
        <w:t>means, with respect to any Note, the Person in whose name such Note is registered in the register maintained by the Company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Section 13.1,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Person is a nominee, then for the purposes of Sections 7, 12, 17.2 and 18 and any related definitions in this Schedule A, “holder” shall mean the beneficial owner of such Note whose name and address appears in such register.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“Indebtedness” </w:t>
      </w:r>
      <w:r>
        <w:rPr>
          <w:rFonts w:ascii="Times New Roman" w:cs="Times New Roman" w:eastAsia="Times New Roman" w:hAnsi="Times New Roman"/>
          <w:sz w:val="18"/>
          <w:szCs w:val="18"/>
          <w:color w:val="auto"/>
        </w:rPr>
        <w:t>means, as to any Person at a particular time, without duplication, all of the following, whether or not included as indebtedness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in accordance with GAAP:</w:t>
      </w:r>
    </w:p>
    <w:p>
      <w:pPr>
        <w:spacing w:after="0" w:line="159" w:lineRule="exact"/>
        <w:rPr>
          <w:sz w:val="20"/>
          <w:szCs w:val="20"/>
          <w:color w:val="auto"/>
        </w:rPr>
      </w:pPr>
    </w:p>
    <w:p>
      <w:pPr>
        <w:ind w:left="660" w:firstLine="212"/>
        <w:spacing w:after="0" w:line="282" w:lineRule="auto"/>
        <w:tabs>
          <w:tab w:leader="none" w:pos="168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 and all obligations of such Person evidenced by bonds, debentures, notes, loan agreements or other similar instruments;</w:t>
      </w:r>
    </w:p>
    <w:p>
      <w:pPr>
        <w:spacing w:after="0" w:line="161" w:lineRule="exact"/>
        <w:rPr>
          <w:rFonts w:ascii="Times New Roman" w:cs="Times New Roman" w:eastAsia="Times New Roman" w:hAnsi="Times New Roman"/>
          <w:sz w:val="18"/>
          <w:szCs w:val="18"/>
          <w:color w:val="auto"/>
        </w:rPr>
      </w:pPr>
    </w:p>
    <w:p>
      <w:pPr>
        <w:jc w:val="both"/>
        <w:ind w:left="660" w:firstLine="212"/>
        <w:spacing w:after="0" w:line="261" w:lineRule="auto"/>
        <w:tabs>
          <w:tab w:leader="none" w:pos="176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 or contingent obligations of such Person arising under letters of credit (including standby and commercial), bankers’ acceptances, bank guaranties, surety bonds and similar instruments, except to the extent (i) issued as a means of trade payment in the ordinary course of business or to support or secure any other obligation of any Person unless such other obligation also constitutes Indebtedness hereunder and (ii) in an aggregate stated or principal amount at any time outstanding not to exceed $75,000,000;</w:t>
      </w:r>
    </w:p>
    <w:p>
      <w:pPr>
        <w:spacing w:after="0" w:line="179" w:lineRule="exact"/>
        <w:rPr>
          <w:rFonts w:ascii="Times New Roman" w:cs="Times New Roman" w:eastAsia="Times New Roman" w:hAnsi="Times New Roman"/>
          <w:sz w:val="18"/>
          <w:szCs w:val="18"/>
          <w:color w:val="auto"/>
        </w:rPr>
      </w:pPr>
    </w:p>
    <w:p>
      <w:pPr>
        <w:ind w:left="660" w:firstLine="212"/>
        <w:spacing w:after="0" w:line="282" w:lineRule="auto"/>
        <w:tabs>
          <w:tab w:leader="none" w:pos="171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purchase price of property or services (other than trade accounts payable in the ordinary course of business);</w:t>
      </w:r>
    </w:p>
    <w:p>
      <w:pPr>
        <w:spacing w:after="0" w:line="161" w:lineRule="exact"/>
        <w:rPr>
          <w:rFonts w:ascii="Times New Roman" w:cs="Times New Roman" w:eastAsia="Times New Roman" w:hAnsi="Times New Roman"/>
          <w:sz w:val="18"/>
          <w:szCs w:val="18"/>
          <w:color w:val="auto"/>
        </w:rPr>
      </w:pPr>
    </w:p>
    <w:p>
      <w:pPr>
        <w:jc w:val="both"/>
        <w:ind w:left="660" w:firstLine="212"/>
        <w:spacing w:after="0" w:line="266" w:lineRule="auto"/>
        <w:tabs>
          <w:tab w:leader="none" w:pos="19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5" w:lineRule="exact"/>
        <w:rPr>
          <w:rFonts w:ascii="Times New Roman" w:cs="Times New Roman" w:eastAsia="Times New Roman" w:hAnsi="Times New Roman"/>
          <w:sz w:val="18"/>
          <w:szCs w:val="18"/>
          <w:color w:val="auto"/>
        </w:rPr>
      </w:pPr>
    </w:p>
    <w:p>
      <w:pPr>
        <w:ind w:left="1660" w:hanging="788"/>
        <w:spacing w:after="0"/>
        <w:tabs>
          <w:tab w:leader="none" w:pos="1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leases and Synthetic Lease Obligations;</w:t>
      </w:r>
    </w:p>
    <w:p>
      <w:pPr>
        <w:spacing w:after="0" w:line="225" w:lineRule="exact"/>
        <w:rPr>
          <w:rFonts w:ascii="Times New Roman" w:cs="Times New Roman" w:eastAsia="Times New Roman" w:hAnsi="Times New Roman"/>
          <w:sz w:val="18"/>
          <w:szCs w:val="18"/>
          <w:color w:val="auto"/>
        </w:rPr>
      </w:pPr>
    </w:p>
    <w:p>
      <w:pPr>
        <w:jc w:val="both"/>
        <w:ind w:left="660" w:firstLine="212"/>
        <w:spacing w:after="0" w:line="261" w:lineRule="auto"/>
        <w:tabs>
          <w:tab w:leader="none" w:pos="174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of such Person to purchase, redeem, retire, defease or otherwise make any payment in respect of any Equity Interest in such Person or any other Person (other than obligations of the Company or a Subsidiary to Red Iron under the terms of the Red Iron LLC Agreement (as in effect on the Closing Date)), valued, in the case of a redeemable preferred interest, at the greater of its voluntary or involuntary liquidation preference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dividends;</w:t>
      </w:r>
    </w:p>
    <w:p>
      <w:pPr>
        <w:spacing w:after="0" w:line="179" w:lineRule="exact"/>
        <w:rPr>
          <w:rFonts w:ascii="Times New Roman" w:cs="Times New Roman" w:eastAsia="Times New Roman" w:hAnsi="Times New Roman"/>
          <w:sz w:val="18"/>
          <w:szCs w:val="18"/>
          <w:color w:val="auto"/>
        </w:rPr>
      </w:pPr>
    </w:p>
    <w:p>
      <w:pPr>
        <w:jc w:val="both"/>
        <w:ind w:left="660" w:firstLine="212"/>
        <w:spacing w:after="0" w:line="261" w:lineRule="auto"/>
        <w:tabs>
          <w:tab w:leader="none" w:pos="173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amount of all Receivables sold by any Person for which such Person has recourse liability or portion thereof for which such Person has recourse liability in cases where such recourse liability is not full except to the extent in an aggregate stated or principal amount, when taken together with amounts subject to the exception set forth in the following clause (h), at any time outstanding not to exceed $75,000,000; and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jc w:val="both"/>
        <w:ind w:left="660" w:firstLine="212"/>
        <w:spacing w:after="0" w:line="219" w:lineRule="exact"/>
        <w:tabs>
          <w:tab w:leader="none" w:pos="16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Guarantees of such Person in respect of any of the foregoing, except to the extent (i) issued as a means of providing assurance of payment of amounts due by purchasers or lessees of the products or services of such Person or Affiliates of such Person to obligees providing financing for or purchasing obligations related to the acquisition or lease of such products or services (the </w:t>
      </w:r>
      <w:r>
        <w:rPr>
          <w:rFonts w:ascii="Times New Roman" w:cs="Times New Roman" w:eastAsia="Times New Roman" w:hAnsi="Times New Roman"/>
          <w:sz w:val="18"/>
          <w:szCs w:val="18"/>
          <w:b w:val="1"/>
          <w:bCs w:val="1"/>
          <w:color w:val="auto"/>
        </w:rPr>
        <w:t>“End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User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Arrangements”</w:t>
      </w:r>
      <w:r>
        <w:rPr>
          <w:rFonts w:ascii="Times New Roman" w:cs="Times New Roman" w:eastAsia="Times New Roman" w:hAnsi="Times New Roman"/>
          <w:sz w:val="18"/>
          <w:szCs w:val="18"/>
          <w:color w:val="auto"/>
        </w:rPr>
        <w:t>); or, without duplication, (ii) to provide assurance of payments of amounts due Red Iron or TCF Canada in the ordinary course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Red Iron’s or TCF Canada’s business of financing purchases by distributors and dealers or products and services of such Person or an Affiliate of such Person (the </w:t>
      </w:r>
      <w:r>
        <w:rPr>
          <w:rFonts w:ascii="Times New Roman" w:cs="Times New Roman" w:eastAsia="Times New Roman" w:hAnsi="Times New Roman"/>
          <w:sz w:val="18"/>
          <w:szCs w:val="18"/>
          <w:b w:val="1"/>
          <w:bCs w:val="1"/>
          <w:color w:val="auto"/>
        </w:rPr>
        <w:t>“Red Iron/TCF Repurchase Obligations”</w:t>
      </w:r>
      <w:r>
        <w:rPr>
          <w:rFonts w:ascii="Times New Roman" w:cs="Times New Roman" w:eastAsia="Times New Roman" w:hAnsi="Times New Roman"/>
          <w:sz w:val="18"/>
          <w:szCs w:val="18"/>
          <w:color w:val="auto"/>
        </w:rPr>
        <w:t>), in an aggregate stated or principal amount, when taken together with amounts subject to the exception set forth in the preceding clause (g), at any time outstanding not to exceed $75,000,000.</w:t>
      </w:r>
    </w:p>
    <w:p>
      <w:pPr>
        <w:spacing w:after="0" w:line="201"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recourse to such Person. The amount of any capital lease or Synthetic Lease Obligation as of any date shall be deemed to be the amount of Attributable Indebtedness in respect thereof as of such date.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“INHAM Exemption” </w:t>
      </w:r>
      <w:r>
        <w:rPr>
          <w:rFonts w:ascii="Times New Roman" w:cs="Times New Roman" w:eastAsia="Times New Roman" w:hAnsi="Times New Roman"/>
          <w:sz w:val="18"/>
          <w:szCs w:val="18"/>
          <w:color w:val="auto"/>
        </w:rPr>
        <w:t>is defined in Section 6.2(e).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“Institutional Investor” </w:t>
      </w:r>
      <w:r>
        <w:rPr>
          <w:rFonts w:ascii="Times New Roman" w:cs="Times New Roman" w:eastAsia="Times New Roman" w:hAnsi="Times New Roman"/>
          <w:sz w:val="18"/>
          <w:szCs w:val="18"/>
          <w:color w:val="auto"/>
        </w:rPr>
        <w:t>means (a) any Purchaser of a Note, (b) any holder of a Note holding (together with one or more of its affiliates)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3% of the aggregate principal amount of the Notes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Note.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“Intellectual Property” </w:t>
      </w:r>
      <w:r>
        <w:rPr>
          <w:rFonts w:ascii="Times New Roman" w:cs="Times New Roman" w:eastAsia="Times New Roman" w:hAnsi="Times New Roman"/>
          <w:sz w:val="18"/>
          <w:szCs w:val="18"/>
          <w:color w:val="auto"/>
        </w:rPr>
        <w:t>is defined in Section 5.11(a).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“Leverage Ratio” </w:t>
      </w:r>
      <w:r>
        <w:rPr>
          <w:rFonts w:ascii="Times New Roman" w:cs="Times New Roman" w:eastAsia="Times New Roman" w:hAnsi="Times New Roman"/>
          <w:sz w:val="18"/>
          <w:szCs w:val="18"/>
          <w:color w:val="auto"/>
        </w:rPr>
        <w:t>has the meaning specified in Section 10.7.</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“Lien” </w:t>
      </w:r>
      <w:r>
        <w:rPr>
          <w:rFonts w:ascii="Times New Roman" w:cs="Times New Roman" w:eastAsia="Times New Roman" w:hAnsi="Times New Roman"/>
          <w:sz w:val="18"/>
          <w:szCs w:val="18"/>
          <w:color w:val="auto"/>
        </w:rPr>
        <w:t>means, with respect to any Person, any mortgage, lien, pledge, charge, security interest or other encumbrance, or any interest or title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52"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b w:val="1"/>
          <w:bCs w:val="1"/>
          <w:color w:val="auto"/>
        </w:rPr>
        <w:t>“Make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Whole Amount” </w:t>
      </w:r>
      <w:r>
        <w:rPr>
          <w:rFonts w:ascii="Times New Roman" w:cs="Times New Roman" w:eastAsia="Times New Roman" w:hAnsi="Times New Roman"/>
          <w:sz w:val="18"/>
          <w:szCs w:val="18"/>
          <w:color w:val="auto"/>
        </w:rPr>
        <w:t>is defined in Section 8.6.</w:t>
      </w:r>
    </w:p>
    <w:p>
      <w:pPr>
        <w:spacing w:after="0" w:line="25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“Material” </w:t>
      </w:r>
      <w:r>
        <w:rPr>
          <w:rFonts w:ascii="Times New Roman" w:cs="Times New Roman" w:eastAsia="Times New Roman" w:hAnsi="Times New Roman"/>
          <w:sz w:val="18"/>
          <w:szCs w:val="18"/>
          <w:color w:val="auto"/>
        </w:rPr>
        <w:t>means material in relation to the business, operations, affairs, financial condition, assets, or properties of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taken as a whole.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“Material Adverse Effect” </w:t>
      </w:r>
      <w:r>
        <w:rPr>
          <w:rFonts w:ascii="Times New Roman" w:cs="Times New Roman" w:eastAsia="Times New Roman" w:hAnsi="Times New Roman"/>
          <w:sz w:val="18"/>
          <w:szCs w:val="18"/>
          <w:color w:val="auto"/>
        </w:rPr>
        <w:t>means a material adverse effect on (a) the business, operations, affairs, financial condition, assets or properties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its Subsidiaries taken as a whole, (b) the ability of the Company to perform its obligations under this Agreement and the Notes, (c) the ability of any Subsidiary Guarantor to perform its obligations under its Subsidiary Guaranty, or (d) the validity or enforceability of this Agreement, the Notes or any Subsidiary Guaranty.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“Material Credit Facility” </w:t>
      </w:r>
      <w:r>
        <w:rPr>
          <w:rFonts w:ascii="Times New Roman" w:cs="Times New Roman" w:eastAsia="Times New Roman" w:hAnsi="Times New Roman"/>
          <w:sz w:val="18"/>
          <w:szCs w:val="18"/>
          <w:color w:val="auto"/>
        </w:rPr>
        <w:t>means, as to the Company and its Subsidiaries,</w:t>
      </w:r>
    </w:p>
    <w:p>
      <w:pPr>
        <w:spacing w:after="0" w:line="229" w:lineRule="exact"/>
        <w:rPr>
          <w:sz w:val="20"/>
          <w:szCs w:val="20"/>
          <w:color w:val="auto"/>
        </w:rPr>
      </w:pPr>
    </w:p>
    <w:p>
      <w:pPr>
        <w:jc w:val="both"/>
        <w:ind w:left="660" w:firstLine="212"/>
        <w:spacing w:after="0" w:line="261" w:lineRule="auto"/>
        <w:tabs>
          <w:tab w:leader="none" w:pos="169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Amended and Restated Credit Agreement dated as of October 5, 2021 among the Company, Toro Luxembourg, certain other Subsidiaries, as borrowers, Bank of America, N.A. as Administrative Agent, Swing Line Lender and L/C Issuer, Wells Fargo Bank, National Association, as syndication agent, BMO Harris Bank, N.A., HSBC Bank USA, National Association, and U.S. Bank National Association, as co-documentation agents and the other lenders party thereto, (the </w:t>
      </w:r>
      <w:r>
        <w:rPr>
          <w:rFonts w:ascii="Times New Roman" w:cs="Times New Roman" w:eastAsia="Times New Roman" w:hAnsi="Times New Roman"/>
          <w:sz w:val="18"/>
          <w:szCs w:val="18"/>
          <w:b w:val="1"/>
          <w:bCs w:val="1"/>
          <w:color w:val="auto"/>
        </w:rPr>
        <w:t>“2021 Credit Agreement”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firstLine="212"/>
        <w:spacing w:after="0" w:line="266" w:lineRule="auto"/>
        <w:tabs>
          <w:tab w:leader="none" w:pos="178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Loan Credit Agreement dated as of April 27, 2022 among the Company, as borrower, Bank of America, N.A., as Administrative Agent, Wells Fargo Bank, National Association and U.S. Bank National Association as co-syndication agents, and certain other lenders party thereto (the </w:t>
      </w:r>
      <w:r>
        <w:rPr>
          <w:rFonts w:ascii="Times New Roman" w:cs="Times New Roman" w:eastAsia="Times New Roman" w:hAnsi="Times New Roman"/>
          <w:sz w:val="18"/>
          <w:szCs w:val="18"/>
          <w:b w:val="1"/>
          <w:bCs w:val="1"/>
          <w:color w:val="auto"/>
        </w:rPr>
        <w:t>“2022 Credit 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firstLine="232"/>
        <w:spacing w:after="0" w:line="266" w:lineRule="auto"/>
        <w:tabs>
          <w:tab w:leader="none" w:pos="166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 Purchase Agreement dated as of April 30, 2019 among the Company and the Institutional Investors from time to time party thereto (as amended, restated or supplemented from time to time, the </w:t>
      </w:r>
      <w:r>
        <w:rPr>
          <w:rFonts w:ascii="Times New Roman" w:cs="Times New Roman" w:eastAsia="Times New Roman" w:hAnsi="Times New Roman"/>
          <w:sz w:val="18"/>
          <w:szCs w:val="18"/>
          <w:b w:val="1"/>
          <w:bCs w:val="1"/>
          <w:color w:val="auto"/>
        </w:rPr>
        <w:t>“2019 Note Purchase Agreement”</w:t>
      </w:r>
      <w:r>
        <w:rPr>
          <w:rFonts w:ascii="Times New Roman" w:cs="Times New Roman" w:eastAsia="Times New Roman" w:hAnsi="Times New Roman"/>
          <w:sz w:val="18"/>
          <w:szCs w:val="18"/>
          <w:color w:val="auto"/>
        </w:rPr>
        <w:t>), pursuant to which the Company issued its $200,000,000 Senior Notes due June 15, 2029 and June 15, 2031, for so long as any such notes remain outstanding; and</w:t>
      </w:r>
    </w:p>
    <w:p>
      <w:pPr>
        <w:spacing w:after="0" w:line="175" w:lineRule="exact"/>
        <w:rPr>
          <w:rFonts w:ascii="Times New Roman" w:cs="Times New Roman" w:eastAsia="Times New Roman" w:hAnsi="Times New Roman"/>
          <w:sz w:val="18"/>
          <w:szCs w:val="18"/>
          <w:color w:val="auto"/>
        </w:rPr>
      </w:pPr>
    </w:p>
    <w:p>
      <w:pPr>
        <w:jc w:val="both"/>
        <w:ind w:left="660" w:firstLine="212"/>
        <w:spacing w:after="0" w:line="255" w:lineRule="auto"/>
        <w:tabs>
          <w:tab w:leader="none" w:pos="207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agreement(s) (other than the Receivables Purchase Facility), including any renewals, extensions, amendments, supplements, restatements, replacements or refinancings of the 2021 Credit Agreement and/or the 2022 Credit Agreement, creating or evidencing indebtedness for borrowed money entered into by the Company or any Subsidiary, or in respect of which the Company or any Subsidiary is an obligor or otherwise provides a guarantee or other credit support (</w:t>
      </w:r>
      <w:r>
        <w:rPr>
          <w:rFonts w:ascii="Times New Roman" w:cs="Times New Roman" w:eastAsia="Times New Roman" w:hAnsi="Times New Roman"/>
          <w:sz w:val="18"/>
          <w:szCs w:val="18"/>
          <w:b w:val="1"/>
          <w:bCs w:val="1"/>
          <w:color w:val="auto"/>
        </w:rPr>
        <w:t>“Credit Facility”</w:t>
      </w:r>
      <w:r>
        <w:rPr>
          <w:rFonts w:ascii="Times New Roman" w:cs="Times New Roman" w:eastAsia="Times New Roman" w:hAnsi="Times New Roman"/>
          <w:sz w:val="18"/>
          <w:szCs w:val="18"/>
          <w:color w:val="auto"/>
        </w:rPr>
        <w:t>), in a principal amount outstanding or available for borrowing equal to or greater than $50,000,000 (or the equivalent of such amount in the relevant currency of payment, determined as of the date of the closing of such facility based on the exchange rate of such other currency); and if no Credit Facility or Credit Facilities equal or exceed such amounts, then the largest Credit Facility shall be deemed to be a Material Credit Facility</w:t>
      </w:r>
      <w:r>
        <w:rPr>
          <w:rFonts w:ascii="Times New Roman" w:cs="Times New Roman" w:eastAsia="Times New Roman" w:hAnsi="Times New Roman"/>
          <w:sz w:val="18"/>
          <w:szCs w:val="18"/>
          <w:i w:val="1"/>
          <w:iCs w:val="1"/>
          <w:color w:val="auto"/>
        </w:rPr>
        <w:t>.</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“Material Subsidiary” </w:t>
      </w:r>
      <w:r>
        <w:rPr>
          <w:rFonts w:ascii="Times New Roman" w:cs="Times New Roman" w:eastAsia="Times New Roman" w:hAnsi="Times New Roman"/>
          <w:sz w:val="18"/>
          <w:szCs w:val="18"/>
          <w:color w:val="auto"/>
        </w:rPr>
        <w:t>means, at any time of determination, any Subsidiary having at such time either (i) 10% or more of the net book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Total Assets as of the last day of the preceding fiscal quarter or (ii) 5% or more of the consolidated total (gross) revenues of the Company and its Subsidiaries for the preceding four fiscal quarter period, in each case, based upon the Company’s most recent annual or quarterly consolidated financial statements.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18"/>
          <w:szCs w:val="18"/>
          <w:color w:val="auto"/>
        </w:rPr>
        <w:t>is defined in the first paragraph of each Note.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“Multiemployer Plan” </w:t>
      </w:r>
      <w:r>
        <w:rPr>
          <w:rFonts w:ascii="Times New Roman" w:cs="Times New Roman" w:eastAsia="Times New Roman" w:hAnsi="Times New Roman"/>
          <w:sz w:val="18"/>
          <w:szCs w:val="18"/>
          <w:color w:val="auto"/>
        </w:rPr>
        <w:t>means any Plan that is a “multiemployer plan” (as such term is defined in section 4001(a)(3) of ERISA).</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“NAIC” </w:t>
      </w:r>
      <w:r>
        <w:rPr>
          <w:rFonts w:ascii="Times New Roman" w:cs="Times New Roman" w:eastAsia="Times New Roman" w:hAnsi="Times New Roman"/>
          <w:sz w:val="18"/>
          <w:szCs w:val="18"/>
          <w:color w:val="auto"/>
        </w:rPr>
        <w:t>means the National Association of Insurance Commissioners.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“90-Day Period” </w:t>
      </w:r>
      <w:r>
        <w:rPr>
          <w:rFonts w:ascii="Times New Roman" w:cs="Times New Roman" w:eastAsia="Times New Roman" w:hAnsi="Times New Roman"/>
          <w:sz w:val="18"/>
          <w:szCs w:val="18"/>
          <w:color w:val="auto"/>
        </w:rPr>
        <w:t>is defined in Section 8.2(b).</w:t>
      </w:r>
    </w:p>
    <w:p>
      <w:pPr>
        <w:spacing w:after="0" w:line="200"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U.S. Plan” </w:t>
      </w:r>
      <w:r>
        <w:rPr>
          <w:rFonts w:ascii="Times New Roman" w:cs="Times New Roman" w:eastAsia="Times New Roman" w:hAnsi="Times New Roman"/>
          <w:sz w:val="18"/>
          <w:szCs w:val="18"/>
          <w:color w:val="auto"/>
        </w:rPr>
        <w:t>means any plan, fund or other similar program that (a) is established or maintained outside the United States of America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“Notes” </w:t>
      </w:r>
      <w:r>
        <w:rPr>
          <w:rFonts w:ascii="Times New Roman" w:cs="Times New Roman" w:eastAsia="Times New Roman" w:hAnsi="Times New Roman"/>
          <w:sz w:val="18"/>
          <w:szCs w:val="18"/>
          <w:color w:val="auto"/>
        </w:rPr>
        <w:t>is defined in Section 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“OFAC” </w:t>
      </w:r>
      <w:r>
        <w:rPr>
          <w:rFonts w:ascii="Times New Roman" w:cs="Times New Roman" w:eastAsia="Times New Roman" w:hAnsi="Times New Roman"/>
          <w:sz w:val="18"/>
          <w:szCs w:val="18"/>
          <w:color w:val="auto"/>
        </w:rPr>
        <w:t>means the Office of Foreign Assets Control of the United States Department of the Treasury.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“OFAC Sanctions Program” </w:t>
      </w:r>
      <w:r>
        <w:rPr>
          <w:rFonts w:ascii="Times New Roman" w:cs="Times New Roman" w:eastAsia="Times New Roman" w:hAnsi="Times New Roman"/>
          <w:sz w:val="18"/>
          <w:szCs w:val="18"/>
          <w:color w:val="auto"/>
        </w:rPr>
        <w:t>means any economic or trade sanction that OFAC is responsible for administering and enforcing. A list of OFAC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Sanctions Programs may be found at </w:t>
      </w:r>
      <w:r>
        <w:rPr>
          <w:rFonts w:ascii="Times New Roman" w:cs="Times New Roman" w:eastAsia="Times New Roman" w:hAnsi="Times New Roman"/>
          <w:sz w:val="18"/>
          <w:szCs w:val="18"/>
          <w:u w:val="single" w:color="auto"/>
          <w:color w:val="auto"/>
        </w:rPr>
        <w:t>http://www.treasury.gov/resource-center/sanctions/Programs/Pages/Programs.as</w:t>
      </w:r>
      <w:r>
        <w:rPr>
          <w:rFonts w:ascii="Times New Roman" w:cs="Times New Roman" w:eastAsia="Times New Roman" w:hAnsi="Times New Roman"/>
          <w:sz w:val="18"/>
          <w:szCs w:val="18"/>
          <w:color w:val="auto"/>
        </w:rPr>
        <w:t>px.</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“Officer’s Certificate” </w:t>
      </w:r>
      <w:r>
        <w:rPr>
          <w:rFonts w:ascii="Times New Roman" w:cs="Times New Roman" w:eastAsia="Times New Roman" w:hAnsi="Times New Roman"/>
          <w:sz w:val="18"/>
          <w:szCs w:val="18"/>
          <w:color w:val="auto"/>
        </w:rPr>
        <w:t>means a certificate of a Senior Financial Officer or of any other officer of the Company whose responsibilities extend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subject matter of such certificate.</w:t>
      </w:r>
    </w:p>
    <w:p>
      <w:pPr>
        <w:spacing w:after="0" w:line="130"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“Originators” </w:t>
      </w:r>
      <w:r>
        <w:rPr>
          <w:rFonts w:ascii="Times New Roman" w:cs="Times New Roman" w:eastAsia="Times New Roman" w:hAnsi="Times New Roman"/>
          <w:sz w:val="18"/>
          <w:szCs w:val="18"/>
          <w:color w:val="auto"/>
        </w:rPr>
        <w:t>means the Company and/or any of its domestic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Subsidiaries in their respective capacities as parties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related to any Receivables Purchase Facility, as sellers or transferors of any Receivables and related security in connection with a Permitted Receivables Transfer.</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“PBGC” </w:t>
      </w:r>
      <w:r>
        <w:rPr>
          <w:rFonts w:ascii="Times New Roman" w:cs="Times New Roman" w:eastAsia="Times New Roman" w:hAnsi="Times New Roman"/>
          <w:sz w:val="18"/>
          <w:szCs w:val="18"/>
          <w:color w:val="auto"/>
        </w:rPr>
        <w:t>means the Pension Benefit Guaranty Corporation referred to and defined in ERISA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“Pending Transaction Debt” </w:t>
      </w:r>
      <w:r>
        <w:rPr>
          <w:rFonts w:ascii="Times New Roman" w:cs="Times New Roman" w:eastAsia="Times New Roman" w:hAnsi="Times New Roman"/>
          <w:sz w:val="18"/>
          <w:szCs w:val="18"/>
          <w:color w:val="auto"/>
        </w:rPr>
        <w:t>means as of any date of determination, the lesser of:</w:t>
      </w:r>
    </w:p>
    <w:p>
      <w:pPr>
        <w:spacing w:after="0" w:line="229" w:lineRule="exact"/>
        <w:rPr>
          <w:sz w:val="20"/>
          <w:szCs w:val="20"/>
          <w:color w:val="auto"/>
        </w:rPr>
      </w:pPr>
    </w:p>
    <w:p>
      <w:pPr>
        <w:jc w:val="both"/>
        <w:ind w:left="1300" w:firstLine="220"/>
        <w:spacing w:after="0" w:line="266" w:lineRule="auto"/>
        <w:tabs>
          <w:tab w:leader="none" w:pos="226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proceeds received and held by or on behalf of the Company or its Subsidiaries in connection with any offering, issuance or other incurrence of Indebtedness (</w:t>
      </w:r>
      <w:r>
        <w:rPr>
          <w:rFonts w:ascii="Times New Roman" w:cs="Times New Roman" w:eastAsia="Times New Roman" w:hAnsi="Times New Roman"/>
          <w:sz w:val="18"/>
          <w:szCs w:val="18"/>
          <w:b w:val="1"/>
          <w:bCs w:val="1"/>
          <w:color w:val="auto"/>
        </w:rPr>
        <w:t>“Specified Indebtedness”</w:t>
      </w:r>
      <w:r>
        <w:rPr>
          <w:rFonts w:ascii="Times New Roman" w:cs="Times New Roman" w:eastAsia="Times New Roman" w:hAnsi="Times New Roman"/>
          <w:sz w:val="18"/>
          <w:szCs w:val="18"/>
          <w:color w:val="auto"/>
        </w:rPr>
        <w:t>) in connection with a Pending Transaction;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7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maximum amount (for the avoidance of doubt, not to be less than $0) that may be deducted as of such date when calculating “Indebtedness” (or other corresponding definition) for purposes of determining compliance with any leverage ratio financial covenant (or other corresponding provision) in any Material Credit Facility.</w:t>
      </w:r>
    </w:p>
    <w:p>
      <w:pPr>
        <w:spacing w:after="0" w:line="17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may only deduct the aggregate amount of cash proceeds received and held by or on behalf of the Company or its Subsidiaries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Specified Indebtedness for purposes of clause (1) above in connection with not more than three Pending Transactions; and</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if the Company shall not have delivered to the holders of the Notes evidence of an investment grade rating from at least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accredited nationally recognized rating agencies (other than Egan Jones)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for a Pending Transaction prior to incurring such Specified Indebtedness, the aggregate amount of cash proceeds received and held by or on behalf of the Company or its Subsidiaries in connection with such Specified Indebtedness for purposes of clause (1) shall be deemed to be $0; and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 Pending Acquisition Transaction is not consummated by the date that is 270 days after the offering, issuance or other incurrence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such Specified Indebtedness (the </w:t>
      </w:r>
      <w:r>
        <w:rPr>
          <w:rFonts w:ascii="Times New Roman" w:cs="Times New Roman" w:eastAsia="Times New Roman" w:hAnsi="Times New Roman"/>
          <w:sz w:val="18"/>
          <w:szCs w:val="18"/>
          <w:b w:val="1"/>
          <w:bCs w:val="1"/>
          <w:color w:val="auto"/>
        </w:rPr>
        <w:t>“Pending Acquisition Transaction Effective Date”</w:t>
      </w:r>
      <w:r>
        <w:rPr>
          <w:rFonts w:ascii="Times New Roman" w:cs="Times New Roman" w:eastAsia="Times New Roman" w:hAnsi="Times New Roman"/>
          <w:sz w:val="18"/>
          <w:szCs w:val="18"/>
          <w:color w:val="auto"/>
        </w:rPr>
        <w:t>), then from and after the Pending Acquisition Transaction Effective Date (or such later date as the Required Holders may agree), the aggregate amount of cash proceeds received and held by or on behalf of the Company or its Subsidiaries in connection with such Specified Indebtedness for purposes of clause (1) shall be deemed to be $0; and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if a Pending Refinancing Transaction is not consummated by the date that is 60 days after the offering, issuance or other incurrence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such Specified Indebtedness (the </w:t>
      </w:r>
      <w:r>
        <w:rPr>
          <w:rFonts w:ascii="Times New Roman" w:cs="Times New Roman" w:eastAsia="Times New Roman" w:hAnsi="Times New Roman"/>
          <w:sz w:val="18"/>
          <w:szCs w:val="18"/>
          <w:b w:val="1"/>
          <w:bCs w:val="1"/>
          <w:color w:val="auto"/>
        </w:rPr>
        <w:t>“Pending Refinancing Transaction Effective Date”</w:t>
      </w:r>
      <w:r>
        <w:rPr>
          <w:rFonts w:ascii="Times New Roman" w:cs="Times New Roman" w:eastAsia="Times New Roman" w:hAnsi="Times New Roman"/>
          <w:sz w:val="18"/>
          <w:szCs w:val="18"/>
          <w:color w:val="auto"/>
        </w:rPr>
        <w:t>), then from and after the Pending Refinancing Transaction Effective Date (or such later date as the Required Holders may agree), the aggregate amount of cash proceeds received and held by or on behalf of the Company or its Subsidiaries in connection with such Specified Indebtedness for purposes of clause (1) shall be deemed to be $0; and</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upon and after the consummation of a Pending Transaction, the aggregate amount of any cash proceeds received and still held by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behalf of the Company or its Subsidiaries in connection with such Specified Indebtedness for purposes of clause (1) above shall be deemed to be $0.</w:t>
      </w:r>
    </w:p>
    <w:p>
      <w:pPr>
        <w:spacing w:after="0" w:line="15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“Pending Acquisition Transaction” </w:t>
      </w:r>
      <w:r>
        <w:rPr>
          <w:rFonts w:ascii="Times New Roman" w:cs="Times New Roman" w:eastAsia="Times New Roman" w:hAnsi="Times New Roman"/>
          <w:sz w:val="18"/>
          <w:szCs w:val="18"/>
          <w:color w:val="auto"/>
        </w:rPr>
        <w:t>means any pending acquisition or investment not prohibited under this Agreement having a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(as determined by the Company in good faith) in excess of $75,000,000.</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“Pending Refinancing Transaction” </w:t>
      </w:r>
      <w:r>
        <w:rPr>
          <w:rFonts w:ascii="Times New Roman" w:cs="Times New Roman" w:eastAsia="Times New Roman" w:hAnsi="Times New Roman"/>
          <w:sz w:val="18"/>
          <w:szCs w:val="18"/>
          <w:color w:val="auto"/>
        </w:rPr>
        <w:t>means any refinancing, prepayment, repayment, redemption, repurchase, settlement, discharge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defeasance of debt securities (whether issued in a registered transaction, 144A offering or other private placement) or term loan facilities.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“Pending Refinancing Transaction Effective Date” </w:t>
      </w:r>
      <w:r>
        <w:rPr>
          <w:rFonts w:ascii="Times New Roman" w:cs="Times New Roman" w:eastAsia="Times New Roman" w:hAnsi="Times New Roman"/>
          <w:sz w:val="18"/>
          <w:szCs w:val="18"/>
          <w:color w:val="auto"/>
        </w:rPr>
        <w:t>has the meaning set forth in the definition of “Pending Transaction Debt”.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“Pending Transaction” </w:t>
      </w:r>
      <w:r>
        <w:rPr>
          <w:rFonts w:ascii="Times New Roman" w:cs="Times New Roman" w:eastAsia="Times New Roman" w:hAnsi="Times New Roman"/>
          <w:sz w:val="18"/>
          <w:szCs w:val="18"/>
          <w:color w:val="auto"/>
        </w:rPr>
        <w:t>means a Pending Acquisition Transaction or a Pending Refinancing Transaction.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is defined in Section 10.6.</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“Person” </w:t>
      </w:r>
      <w:r>
        <w:rPr>
          <w:rFonts w:ascii="Times New Roman" w:cs="Times New Roman" w:eastAsia="Times New Roman" w:hAnsi="Times New Roman"/>
          <w:sz w:val="18"/>
          <w:szCs w:val="18"/>
          <w:color w:val="auto"/>
        </w:rPr>
        <w:t>means an individual, partnership, corporation, limited liability company, association, trust, unincorporated organization, business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Governmental Authority.</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means an “employee benefit plan” (as defined in section 3(3) of ERISA) subject to Title I of ERISA that is or, within the preceding 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“Preferred Stock” </w:t>
      </w:r>
      <w:r>
        <w:rPr>
          <w:rFonts w:ascii="Times New Roman" w:cs="Times New Roman" w:eastAsia="Times New Roman" w:hAnsi="Times New Roman"/>
          <w:sz w:val="18"/>
          <w:szCs w:val="18"/>
          <w:color w:val="auto"/>
        </w:rPr>
        <w:t>means any class of capital stock of a Person that is preferred over any other class of capital stock (or similar equity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Person as to the payment of dividends or the payment of any amount upon liquidation or dissolution of such Person.</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“Priority Indebtedness” </w:t>
      </w:r>
      <w:r>
        <w:rPr>
          <w:rFonts w:ascii="Times New Roman" w:cs="Times New Roman" w:eastAsia="Times New Roman" w:hAnsi="Times New Roman"/>
          <w:sz w:val="18"/>
          <w:szCs w:val="18"/>
          <w:color w:val="auto"/>
        </w:rPr>
        <w:t>means (without duplication), as of the date of any determination thereof, the sum of (i) all unsecured Indebtedness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Subsidiaries (including all Guarantees of Indebtedness of the Company or any Subsidiary but excluding (w) up to $200,000,000 of Indebtedness of a Wholly-Owned Subsidiary outstanding under the Receivables Purchase Facility, (x) unsecured Indebtedness owing to the Company or any other Subsidiary, (y) unsecured Indebtedness outstanding at the time such Person became a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Indebtedness shall have not been incurred in contemplation of such person becoming a Subsidiary, and (z) unsecured Indebtedness of Subsidiary Guarantors), and (ii) all Indebtedness of the Company and its Subsidiaries secured by Liens other than Indebtedness secured by Liens permitted by subparagraphs (a) through (i), inclusive, of Section 10.6. For the avoidance of doubt, all Indebtedness of any Foreign Subsidiary party to a Material Credit Facility that does not become a Subsidiary Guarantor under the terms of this Agreement shall constitute Priority Indebtedness for all purposes of this Agreement, including without limitation, all Indebtedness of Toro Luxembourg under the Existing Credit Agreement.</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“property”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“properties” </w:t>
      </w:r>
      <w:r>
        <w:rPr>
          <w:rFonts w:ascii="Times New Roman" w:cs="Times New Roman" w:eastAsia="Times New Roman" w:hAnsi="Times New Roman"/>
          <w:sz w:val="18"/>
          <w:szCs w:val="18"/>
          <w:color w:val="auto"/>
        </w:rPr>
        <w:t>means, unless otherwise specifically limited, real or personal property of any kind, tangible or intangible, choate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inchoate.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“PTE” </w:t>
      </w:r>
      <w:r>
        <w:rPr>
          <w:rFonts w:ascii="Times New Roman" w:cs="Times New Roman" w:eastAsia="Times New Roman" w:hAnsi="Times New Roman"/>
          <w:sz w:val="18"/>
          <w:szCs w:val="18"/>
          <w:color w:val="auto"/>
        </w:rPr>
        <w:t>is defined in Section 6.2(a).</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“Purchaser”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“Purchasers” </w:t>
      </w:r>
      <w:r>
        <w:rPr>
          <w:rFonts w:ascii="Times New Roman" w:cs="Times New Roman" w:eastAsia="Times New Roman" w:hAnsi="Times New Roman"/>
          <w:sz w:val="18"/>
          <w:szCs w:val="18"/>
          <w:color w:val="auto"/>
        </w:rPr>
        <w:t>means each of the purchasers that has executed and delivered this Agreement to the Company and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Purchaser’s successors and assigns (so long as any such assignment complies with Section 13.2),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Purchaser of a Note that ceases to be the registered holder or a beneficial owner (through a nominee) of such Note as the result of a transfer thereof pursuant to Section 13.2 shall cease to be included within the meaning of “Purchaser” of such Note for the purposes of this Agreement upon such transfer.</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Schedule</w:t>
      </w:r>
      <w:r>
        <w:rPr>
          <w:rFonts w:ascii="Times New Roman" w:cs="Times New Roman" w:eastAsia="Times New Roman" w:hAnsi="Times New Roman"/>
          <w:sz w:val="18"/>
          <w:szCs w:val="18"/>
          <w:color w:val="auto"/>
        </w:rPr>
        <w:t>” means the Purchaser Schedule to this Agreement listing the Purchasers of the Notes and including their notice and payment information.</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“Qualified Institutional Buyer” </w:t>
      </w:r>
      <w:r>
        <w:rPr>
          <w:rFonts w:ascii="Times New Roman" w:cs="Times New Roman" w:eastAsia="Times New Roman" w:hAnsi="Times New Roman"/>
          <w:sz w:val="18"/>
          <w:szCs w:val="18"/>
          <w:color w:val="auto"/>
        </w:rPr>
        <w:t>means any Person who is a “qualified institutional buyer” within the meaning of such term as set forth in Rule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144A(a)(1) under the Securities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“QPAM Exemption” </w:t>
      </w:r>
      <w:r>
        <w:rPr>
          <w:rFonts w:ascii="Times New Roman" w:cs="Times New Roman" w:eastAsia="Times New Roman" w:hAnsi="Times New Roman"/>
          <w:sz w:val="18"/>
          <w:szCs w:val="18"/>
          <w:color w:val="auto"/>
        </w:rPr>
        <w:t>is defined in Section 6.2(d).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“Ratable Portion” </w:t>
      </w:r>
      <w:r>
        <w:rPr>
          <w:rFonts w:ascii="Times New Roman" w:cs="Times New Roman" w:eastAsia="Times New Roman" w:hAnsi="Times New Roman"/>
          <w:sz w:val="18"/>
          <w:szCs w:val="18"/>
          <w:color w:val="auto"/>
        </w:rPr>
        <w:t>means, with respect to any Note, an amount equal to the product of (x) the amount equal to the net proceeds being so applied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prepayment of Indebtedness in accordance with Section 10.3(2), multiplied by (y) a fraction the numerator of which is the outstanding principal amount of such Note and the denominator of which is the aggregate principal amount of Indebtedness of the Company and its Subsidiaries being prepaid pursuant to Section 10.3(2).</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“Receivables” </w:t>
      </w:r>
      <w:r>
        <w:rPr>
          <w:rFonts w:ascii="Times New Roman" w:cs="Times New Roman" w:eastAsia="Times New Roman" w:hAnsi="Times New Roman"/>
          <w:sz w:val="18"/>
          <w:szCs w:val="18"/>
          <w:color w:val="auto"/>
        </w:rPr>
        <w:t>shall mean, with respect to any Person, all obligations of any obligor (whether now existing or hereafter arising) under a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sale of goods or services by such Person or any of them, which shall include any obligation of such obligor (whether now existing or hereafter arising) to pay interest, finance charges or amounts with respect thereto, and, with respect to any of the foregoing receivables or obligations, (a) all of the interest of such Person in the goods (including returned goods) the sale of which gave rise to such receivable or obligation after the passage of title thereto to any obligor, (b) all other Liens and property subject thereto from time to time purporting to secure payment of such receivables or obligations, (c) all guarantees, insurance, letters of credit and other agreements or arrangements of whatever character from time to time supporting or securing payment of any such receivables or obligations, (d) all Records and (e) all proceeds of the foregoing.</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“Receivables Purchase Facility” </w:t>
      </w:r>
      <w:r>
        <w:rPr>
          <w:rFonts w:ascii="Times New Roman" w:cs="Times New Roman" w:eastAsia="Times New Roman" w:hAnsi="Times New Roman"/>
          <w:sz w:val="18"/>
          <w:szCs w:val="18"/>
          <w:color w:val="auto"/>
        </w:rPr>
        <w:t>shall mean any agreement of any Originator providing for sales, transfers or conveyances of Receivables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Originator purporting to be sales (and considered sales under GAAP) that do not provide, directly or indirectly, for recourse against the seller of such Receivables (or against any of such seller’s Affiliates) by way of a guaranty or any other support arrangement, with respect to the amount of such Receivables (based on the financial condition or circumstances of the obligor thereunder), other than such limited recourse as is reasonable given market standards for transactions of a similar type, taking into account such factors as historical bad debt loss experience and obligor concentration levels.</w:t>
      </w:r>
    </w:p>
    <w:p>
      <w:pPr>
        <w:spacing w:after="0" w:line="179"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“Red Iron” </w:t>
      </w:r>
      <w:r>
        <w:rPr>
          <w:rFonts w:ascii="Times New Roman" w:cs="Times New Roman" w:eastAsia="Times New Roman" w:hAnsi="Times New Roman"/>
          <w:sz w:val="18"/>
          <w:szCs w:val="18"/>
          <w:color w:val="auto"/>
        </w:rPr>
        <w:t>means Red Iron Acceptance, LLC, a Delaware limited liability company. For avoidance of doubt, for so long as Red Iron is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Red Iron LLC Agreement as in effect on the Closing Date, except for amendments that do not change the ownership interests of its members or materially change the overall management structure of Red Iron in a manner that would cause Red Iron to be considered a Subsidiary of the Company, any obligations of Red Iron shall not be considered an obligation of Toro or Red Iron Holding Corporation, a Delaware corporation.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“Red Iron LLC Agreement” </w:t>
      </w:r>
      <w:r>
        <w:rPr>
          <w:rFonts w:ascii="Times New Roman" w:cs="Times New Roman" w:eastAsia="Times New Roman" w:hAnsi="Times New Roman"/>
          <w:sz w:val="18"/>
          <w:szCs w:val="18"/>
          <w:color w:val="auto"/>
        </w:rPr>
        <w:t>means that certain limited liability company agreement of Red Iron Acceptance, LLC, dated as of August 12, 2009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 amended as of May 31, 2011, as of June 6, 2012 and as of November 29, 2016, by and among Red Iron Holding Corporation, a Delaware corporation and a Subsidiary of the Company, and TCFIF Joint Venture I, LLC, a Minnesota limited liability company.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“Red Iron/TCF Repurchase Obligations” </w:t>
      </w:r>
      <w:r>
        <w:rPr>
          <w:rFonts w:ascii="Times New Roman" w:cs="Times New Roman" w:eastAsia="Times New Roman" w:hAnsi="Times New Roman"/>
          <w:sz w:val="18"/>
          <w:szCs w:val="18"/>
          <w:color w:val="auto"/>
        </w:rPr>
        <w:t>has the meaning specified in the definition of “Indebtedness.”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“Related Fund” </w:t>
      </w:r>
      <w:r>
        <w:rPr>
          <w:rFonts w:ascii="Times New Roman" w:cs="Times New Roman" w:eastAsia="Times New Roman" w:hAnsi="Times New Roman"/>
          <w:sz w:val="18"/>
          <w:szCs w:val="18"/>
          <w:color w:val="auto"/>
        </w:rPr>
        <w:t>means, with respect to any holder of any Note, any fund or entity that (a) invests in Securities or bank loans, and (b) is advised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managed by such holder, the same investment advisor as such holder or by an affiliate of such holder or such investment advisor.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“Required Holders” </w:t>
      </w:r>
      <w:r>
        <w:rPr>
          <w:rFonts w:ascii="Times New Roman" w:cs="Times New Roman" w:eastAsia="Times New Roman" w:hAnsi="Times New Roman"/>
          <w:sz w:val="18"/>
          <w:szCs w:val="18"/>
          <w:color w:val="auto"/>
        </w:rPr>
        <w:t>means at any time on or after the Closing, the holders of at least 51% in principal amount of the Notes at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(exclusive of Notes then owned by the Company or any of its Affiliates).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“Responsible Officer” </w:t>
      </w:r>
      <w:r>
        <w:rPr>
          <w:rFonts w:ascii="Times New Roman" w:cs="Times New Roman" w:eastAsia="Times New Roman" w:hAnsi="Times New Roman"/>
          <w:sz w:val="18"/>
          <w:szCs w:val="18"/>
          <w:color w:val="auto"/>
        </w:rPr>
        <w:t>means any Senior Financial Officer and any other officer of the Company with responsibility for the administration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portion of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“Restricted Payment” </w:t>
      </w:r>
      <w:r>
        <w:rPr>
          <w:rFonts w:ascii="Times New Roman" w:cs="Times New Roman" w:eastAsia="Times New Roman" w:hAnsi="Times New Roman"/>
          <w:sz w:val="18"/>
          <w:szCs w:val="18"/>
          <w:color w:val="auto"/>
        </w:rPr>
        <w:t>has the meaning set forth in Section 10.11.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 </w:t>
      </w:r>
      <w:r>
        <w:rPr>
          <w:rFonts w:ascii="Times New Roman" w:cs="Times New Roman" w:eastAsia="Times New Roman" w:hAnsi="Times New Roman"/>
          <w:sz w:val="18"/>
          <w:szCs w:val="18"/>
          <w:color w:val="auto"/>
        </w:rPr>
        <w:t>means the Securities and Exchange Commission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“Security” </w:t>
      </w:r>
      <w:r>
        <w:rPr>
          <w:rFonts w:ascii="Times New Roman" w:cs="Times New Roman" w:eastAsia="Times New Roman" w:hAnsi="Times New Roman"/>
          <w:sz w:val="18"/>
          <w:szCs w:val="18"/>
          <w:color w:val="auto"/>
        </w:rPr>
        <w:t>shall have the meaning specified in section 2(1) of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“Securities Act” </w:t>
      </w:r>
      <w:r>
        <w:rPr>
          <w:rFonts w:ascii="Times New Roman" w:cs="Times New Roman" w:eastAsia="Times New Roman" w:hAnsi="Times New Roman"/>
          <w:sz w:val="18"/>
          <w:szCs w:val="18"/>
          <w:color w:val="auto"/>
        </w:rPr>
        <w:t>means the Securities Act of 1933 and the rules and regulations promulgated thereunder from time to time in effect.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“Senior Financial Officer” </w:t>
      </w:r>
      <w:r>
        <w:rPr>
          <w:rFonts w:ascii="Times New Roman" w:cs="Times New Roman" w:eastAsia="Times New Roman" w:hAnsi="Times New Roman"/>
          <w:sz w:val="18"/>
          <w:szCs w:val="18"/>
          <w:color w:val="auto"/>
        </w:rPr>
        <w:t>means the chief financial officer, principal accounting officer, treasurer or comptroller of the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“Senior Indebtedness” </w:t>
      </w:r>
      <w:r>
        <w:rPr>
          <w:rFonts w:ascii="Times New Roman" w:cs="Times New Roman" w:eastAsia="Times New Roman" w:hAnsi="Times New Roman"/>
          <w:sz w:val="18"/>
          <w:szCs w:val="18"/>
          <w:color w:val="auto"/>
        </w:rPr>
        <w:t>means all Indebtedness of the Company or any Subsidiary which is not expressed to be subordinate or junior in rank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Indebtedness of the Company or such Subsidiary.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“Source” </w:t>
      </w:r>
      <w:r>
        <w:rPr>
          <w:rFonts w:ascii="Times New Roman" w:cs="Times New Roman" w:eastAsia="Times New Roman" w:hAnsi="Times New Roman"/>
          <w:sz w:val="18"/>
          <w:szCs w:val="18"/>
          <w:color w:val="auto"/>
        </w:rPr>
        <w:t>is defined in Section 6.2.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“Specified Indebtedness” </w:t>
      </w:r>
      <w:r>
        <w:rPr>
          <w:rFonts w:ascii="Times New Roman" w:cs="Times New Roman" w:eastAsia="Times New Roman" w:hAnsi="Times New Roman"/>
          <w:sz w:val="18"/>
          <w:szCs w:val="18"/>
          <w:color w:val="auto"/>
        </w:rPr>
        <w:t>is defined in the definition of “Pending Transaction Debt”.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 Sanctions List</w:t>
      </w:r>
      <w:r>
        <w:rPr>
          <w:rFonts w:ascii="Times New Roman" w:cs="Times New Roman" w:eastAsia="Times New Roman" w:hAnsi="Times New Roman"/>
          <w:sz w:val="18"/>
          <w:szCs w:val="18"/>
          <w:color w:val="auto"/>
        </w:rPr>
        <w:t>” means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means, as to any Person, any other Person in which such first Person or one or more of its Subsidiaries or such first Person and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“Subsidiary Guarantor” </w:t>
      </w:r>
      <w:r>
        <w:rPr>
          <w:rFonts w:ascii="Times New Roman" w:cs="Times New Roman" w:eastAsia="Times New Roman" w:hAnsi="Times New Roman"/>
          <w:sz w:val="18"/>
          <w:szCs w:val="18"/>
          <w:color w:val="auto"/>
        </w:rPr>
        <w:t>means each Subsidiary that has executed and delivered a Subsidiary Guaranty.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“Subsidiary Guaranty” </w:t>
      </w:r>
      <w:r>
        <w:rPr>
          <w:rFonts w:ascii="Times New Roman" w:cs="Times New Roman" w:eastAsia="Times New Roman" w:hAnsi="Times New Roman"/>
          <w:sz w:val="18"/>
          <w:szCs w:val="18"/>
          <w:color w:val="auto"/>
        </w:rPr>
        <w:t>is defined in Section 9.7(a).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“Substitute Purchaser” </w:t>
      </w:r>
      <w:r>
        <w:rPr>
          <w:rFonts w:ascii="Times New Roman" w:cs="Times New Roman" w:eastAsia="Times New Roman" w:hAnsi="Times New Roman"/>
          <w:sz w:val="18"/>
          <w:szCs w:val="18"/>
          <w:color w:val="auto"/>
        </w:rPr>
        <w:t>is defined in Section 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“SVO” </w:t>
      </w:r>
      <w:r>
        <w:rPr>
          <w:rFonts w:ascii="Times New Roman" w:cs="Times New Roman" w:eastAsia="Times New Roman" w:hAnsi="Times New Roman"/>
          <w:sz w:val="18"/>
          <w:szCs w:val="18"/>
          <w:color w:val="auto"/>
        </w:rPr>
        <w:t>means the Securities Valuation Office of the NAIC.</w:t>
      </w:r>
    </w:p>
    <w:p>
      <w:pPr>
        <w:spacing w:after="0" w:line="200"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“Synthetic Lease Obligation” </w:t>
      </w:r>
      <w:r>
        <w:rPr>
          <w:rFonts w:ascii="Times New Roman" w:cs="Times New Roman" w:eastAsia="Times New Roman" w:hAnsi="Times New Roman"/>
          <w:sz w:val="18"/>
          <w:szCs w:val="18"/>
          <w:color w:val="auto"/>
        </w:rPr>
        <w:t>means the monetary obligation of a Person under (a) a so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called synthetic,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or tax retention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“TCF Canada” </w:t>
      </w:r>
      <w:r>
        <w:rPr>
          <w:rFonts w:ascii="Times New Roman" w:cs="Times New Roman" w:eastAsia="Times New Roman" w:hAnsi="Times New Roman"/>
          <w:sz w:val="18"/>
          <w:szCs w:val="18"/>
          <w:color w:val="auto"/>
        </w:rPr>
        <w:t>means TCF Commercial Finance Canada, Inc., a Canada corporation.</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“Toro Luxembourg” </w:t>
      </w:r>
      <w:r>
        <w:rPr>
          <w:rFonts w:ascii="Times New Roman" w:cs="Times New Roman" w:eastAsia="Times New Roman" w:hAnsi="Times New Roman"/>
          <w:sz w:val="18"/>
          <w:szCs w:val="18"/>
          <w:color w:val="auto"/>
        </w:rPr>
        <w:t>means Toro Luxembourg S.A.R.L., a Luxembourg limited liability company (société à responsabilité limitée)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existing under the laws of the Grand Duchy of Luxembourg, and registered with the Luxembourg trade and companies register (Registre de Commerce et des Sociétés de Luxembourg) under registration number B 131.092.</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“United States Person</w:t>
      </w:r>
      <w:r>
        <w:rPr>
          <w:rFonts w:ascii="Times New Roman" w:cs="Times New Roman" w:eastAsia="Times New Roman" w:hAnsi="Times New Roman"/>
          <w:sz w:val="18"/>
          <w:szCs w:val="18"/>
          <w:color w:val="auto"/>
        </w:rPr>
        <w:t>” has the meaning set forth in Section 7701(a)(30) of the Code.</w:t>
      </w:r>
    </w:p>
    <w:p>
      <w:pPr>
        <w:spacing w:after="0" w:line="200" w:lineRule="exact"/>
        <w:rPr>
          <w:sz w:val="20"/>
          <w:szCs w:val="20"/>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b w:val="1"/>
          <w:bCs w:val="1"/>
          <w:color w:val="auto"/>
        </w:rPr>
        <w:t xml:space="preserve">“USA PATRIOT Act” </w:t>
      </w:r>
      <w:r>
        <w:rPr>
          <w:rFonts w:ascii="Times New Roman" w:cs="Times New Roman" w:eastAsia="Times New Roman" w:hAnsi="Times New Roman"/>
          <w:sz w:val="18"/>
          <w:szCs w:val="18"/>
          <w:color w:val="auto"/>
        </w:rPr>
        <w:t>means United States Public Law 107</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56, Uniting and Strengthening America by Providing Appropriate Tools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Intercept and Obstruct Terrorism (USA PATRIOT ACT) Act of 2001 and the rules and regulations promulgated thereunder from time to time in effect.</w:t>
      </w:r>
    </w:p>
    <w:p>
      <w:pPr>
        <w:spacing w:after="0" w:line="19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 Economic Sanctions Laws” </w:t>
      </w:r>
      <w:r>
        <w:rPr>
          <w:rFonts w:ascii="Times New Roman" w:cs="Times New Roman" w:eastAsia="Times New Roman" w:hAnsi="Times New Roman"/>
          <w:sz w:val="18"/>
          <w:szCs w:val="18"/>
          <w:color w:val="auto"/>
        </w:rPr>
        <w:t>means those laws, executive orders, enabling legislation or regulations administered and enforced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spacing w:after="0" w:line="152" w:lineRule="exact"/>
        <w:rPr>
          <w:sz w:val="20"/>
          <w:szCs w:val="20"/>
          <w:color w:val="auto"/>
        </w:rPr>
      </w:pPr>
    </w:p>
    <w:p>
      <w:pPr>
        <w:jc w:val="both"/>
        <w:ind w:right="20" w:firstLine="648"/>
        <w:spacing w:after="0" w:line="250" w:lineRule="exact"/>
        <w:rPr>
          <w:sz w:val="20"/>
          <w:szCs w:val="20"/>
          <w:color w:val="auto"/>
        </w:rPr>
      </w:pPr>
      <w:r>
        <w:rPr>
          <w:rFonts w:ascii="Times New Roman" w:cs="Times New Roman" w:eastAsia="Times New Roman" w:hAnsi="Times New Roman"/>
          <w:sz w:val="18"/>
          <w:szCs w:val="18"/>
          <w:b w:val="1"/>
          <w:bCs w:val="1"/>
          <w:color w:val="auto"/>
        </w:rPr>
        <w:t>“Wholly</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Owned Subsidiary” </w:t>
      </w:r>
      <w:r>
        <w:rPr>
          <w:rFonts w:ascii="Times New Roman" w:cs="Times New Roman" w:eastAsia="Times New Roman" w:hAnsi="Times New Roman"/>
          <w:sz w:val="18"/>
          <w:szCs w:val="18"/>
          <w:color w:val="auto"/>
        </w:rPr>
        <w:t>means, at any time, any Subsidiary all of the equity interests (except directors’ qualifying shares) and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of which are owned by any one or more of the Company and the Company’s other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Subsidiaries at such time.</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orm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oro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3.97% S</w:t>
      </w:r>
      <w:r>
        <w:rPr>
          <w:rFonts w:ascii="Times New Roman" w:cs="Times New Roman" w:eastAsia="Times New Roman" w:hAnsi="Times New Roman"/>
          <w:sz w:val="12"/>
          <w:szCs w:val="12"/>
          <w:b w:val="1"/>
          <w:bCs w:val="1"/>
          <w:color w:val="auto"/>
        </w:rPr>
        <w:t>enior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ue</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une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30, 2032</w:t>
      </w:r>
    </w:p>
    <w:p>
      <w:pPr>
        <w:spacing w:after="0" w:line="211" w:lineRule="exact"/>
        <w:rPr>
          <w:sz w:val="20"/>
          <w:szCs w:val="20"/>
          <w:color w:val="auto"/>
        </w:rPr>
      </w:pPr>
    </w:p>
    <w:p>
      <w:pPr>
        <w:sectPr>
          <w:pgSz w:w="11900" w:h="16838" w:orient="portrait"/>
          <w:cols w:equalWidth="0" w:num="2">
            <w:col w:w="6360" w:space="100"/>
            <w:col w:w="478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PPN: 891092 B#4</w:t>
      </w:r>
    </w:p>
    <w:p>
      <w:pPr>
        <w:spacing w:after="0" w:line="211" w:lineRule="exact"/>
        <w:rPr>
          <w:sz w:val="20"/>
          <w:szCs w:val="20"/>
          <w:color w:val="auto"/>
        </w:rPr>
      </w:pPr>
    </w:p>
    <w:p>
      <w:pPr>
        <w:sectPr>
          <w:pgSz w:w="11900" w:h="16838" w:orient="portrait"/>
          <w:cols w:equalWidth="0" w:num="2">
            <w:col w:w="9220" w:space="720"/>
            <w:col w:w="1300"/>
          </w:cols>
          <w:pgMar w:left="320" w:top="117" w:right="339" w:bottom="1440" w:gutter="0" w:footer="0" w:header="0"/>
          <w:type w:val="continuous"/>
        </w:sectPr>
      </w:pPr>
    </w:p>
    <w:p>
      <w:pPr>
        <w:spacing w:after="0" w:line="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or</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alue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eceived</w:t>
      </w:r>
      <w:r>
        <w:rPr>
          <w:rFonts w:ascii="Times New Roman" w:cs="Times New Roman" w:eastAsia="Times New Roman" w:hAnsi="Times New Roman"/>
          <w:sz w:val="18"/>
          <w:szCs w:val="18"/>
          <w:color w:val="auto"/>
        </w:rPr>
        <w:t xml:space="preserve">, the undersigned, </w:t>
      </w:r>
      <w:r>
        <w:rPr>
          <w:rFonts w:ascii="Times New Roman" w:cs="Times New Roman" w:eastAsia="Times New Roman" w:hAnsi="Times New Roman"/>
          <w:sz w:val="18"/>
          <w:szCs w:val="18"/>
          <w:b w:val="1"/>
          <w:bCs w:val="1"/>
          <w:color w:val="auto"/>
        </w:rPr>
        <w:t>The Toro Company</w:t>
      </w:r>
      <w:r>
        <w:rPr>
          <w:rFonts w:ascii="Times New Roman" w:cs="Times New Roman" w:eastAsia="Times New Roman" w:hAnsi="Times New Roman"/>
          <w:sz w:val="18"/>
          <w:szCs w:val="18"/>
          <w:color w:val="auto"/>
        </w:rPr>
        <w:t xml:space="preserve"> (herein called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corporation organized and existing under the laws of the State of Delaware, hereby promises to pay to [____________], or registered assigns, the principal sum of [_____________________] D</w:t>
      </w:r>
      <w:r>
        <w:rPr>
          <w:rFonts w:ascii="Times New Roman" w:cs="Times New Roman" w:eastAsia="Times New Roman" w:hAnsi="Times New Roman"/>
          <w:sz w:val="12"/>
          <w:szCs w:val="12"/>
          <w:color w:val="auto"/>
        </w:rPr>
        <w:t>ollars</w:t>
      </w:r>
      <w:r>
        <w:rPr>
          <w:rFonts w:ascii="Times New Roman" w:cs="Times New Roman" w:eastAsia="Times New Roman" w:hAnsi="Times New Roman"/>
          <w:sz w:val="18"/>
          <w:szCs w:val="18"/>
          <w:color w:val="auto"/>
        </w:rPr>
        <w:t xml:space="preserve"> (or so</w:t>
      </w:r>
    </w:p>
    <w:p>
      <w:pPr>
        <w:spacing w:after="0" w:line="1"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 xml:space="preserve">much thereof as shall not have been prepaid) on June 30, 2032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with interest (computed on the basis of a 360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year of twelve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months) (a) on the unpaid balance hereof at the rate of 3.97% per annum from the date hereof, payable semiannually, on the 30th day of June and December in each year, commencing on December 30, 2022, and on the Maturity Date, until the principal hereof shall have become due and payable, and</w:t>
      </w:r>
    </w:p>
    <w:p>
      <w:pPr>
        <w:spacing w:after="0" w:line="1" w:lineRule="exact"/>
        <w:rPr>
          <w:sz w:val="20"/>
          <w:szCs w:val="20"/>
          <w:color w:val="auto"/>
        </w:rPr>
      </w:pPr>
    </w:p>
    <w:p>
      <w:pPr>
        <w:jc w:val="both"/>
        <w:ind w:firstLine="8"/>
        <w:spacing w:after="0" w:line="216" w:lineRule="exact"/>
        <w:tabs>
          <w:tab w:leader="none" w:pos="2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(x) on any overdue payment of interest and (y) during the continuance of an Event of Default, on such unpaid balance and on any overdue payment of any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 at a rate per annum from time to time equal to the greater of (i) 2.0% over the coupon or (ii) 2.0% over the rate of interest publicly announced by Bank of America, N.A. from time to time in New York, New York as its “base” or “prime” rate, payable semiannually as aforesaid (or, at the option of the registered holder hereof, on demand).</w:t>
      </w:r>
    </w:p>
    <w:p>
      <w:pPr>
        <w:spacing w:after="0" w:line="171"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Payments of principal of, interest on and any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 with respect to this Note are to be made in lawful money of the United States of America at Bank of America, N.A. or at such other place as the Company shall have designated by written notice to the holder of this Note as provided in the Note Purchase Agreement referred to below.</w:t>
      </w:r>
    </w:p>
    <w:p>
      <w:pPr>
        <w:spacing w:after="0" w:line="19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This Note is one of a series of Senior Notes (herein called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xml:space="preserve">) issued pursuant to the Note Purchase Agreement, dated June 30, 2022 (as from time to time amended, the </w:t>
      </w:r>
      <w:r>
        <w:rPr>
          <w:rFonts w:ascii="Times New Roman" w:cs="Times New Roman" w:eastAsia="Times New Roman" w:hAnsi="Times New Roman"/>
          <w:sz w:val="18"/>
          <w:szCs w:val="18"/>
          <w:b w:val="1"/>
          <w:bCs w:val="1"/>
          <w:color w:val="auto"/>
        </w:rPr>
        <w:t>“Note Purchase Agreement”</w:t>
      </w:r>
      <w:r>
        <w:rPr>
          <w:rFonts w:ascii="Times New Roman" w:cs="Times New Roman" w:eastAsia="Times New Roman" w:hAnsi="Times New Roman"/>
          <w:sz w:val="18"/>
          <w:szCs w:val="18"/>
          <w:color w:val="auto"/>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w:t>
      </w:r>
      <w:r>
        <w:rPr>
          <w:rFonts w:ascii="Times New Roman" w:cs="Times New Roman" w:eastAsia="Times New Roman" w:hAnsi="Times New Roman"/>
          <w:sz w:val="18"/>
          <w:szCs w:val="18"/>
          <w:color w:val="auto"/>
        </w:rPr>
        <w:t xml:space="preserv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9" w:name="page80"/>
    <w:bookmarkEnd w:id="7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Note is subject to optional prepayment, in whole or from time to time in part, at the times and on the terms specified in the Note Purchase Agreement, but not otherwise.</w:t>
      </w:r>
    </w:p>
    <w:p>
      <w:pPr>
        <w:spacing w:after="0" w:line="162" w:lineRule="exact"/>
        <w:rPr>
          <w:sz w:val="20"/>
          <w:szCs w:val="20"/>
          <w:color w:val="auto"/>
        </w:rPr>
      </w:pPr>
    </w:p>
    <w:p>
      <w:pPr>
        <w:jc w:val="both"/>
        <w:ind w:firstLine="648"/>
        <w:spacing w:after="0" w:line="235" w:lineRule="exact"/>
        <w:rPr>
          <w:sz w:val="20"/>
          <w:szCs w:val="20"/>
          <w:color w:val="auto"/>
        </w:rPr>
      </w:pPr>
      <w:r>
        <w:rPr>
          <w:rFonts w:ascii="Times New Roman" w:cs="Times New Roman" w:eastAsia="Times New Roman" w:hAnsi="Times New Roman"/>
          <w:sz w:val="18"/>
          <w:szCs w:val="18"/>
          <w:color w:val="auto"/>
        </w:rPr>
        <w:t>If an Event of Default occurs and is continuing, the principal of this Note may be declared or otherwise become due and payable in the manner, at the price (including any applicable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 and with the effect provided in the Note Purchase Agreement.</w:t>
      </w:r>
    </w:p>
    <w:p>
      <w:pPr>
        <w:spacing w:after="0" w:line="179"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This Note shall be construed and enforced in accordance with, and the rights of the Company and the holder of this Note shall be governed by, the law of the State of New York excluding choice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 principles of the law of such State that would permit the application of the laws of a jurisdiction other than such State.</w:t>
      </w:r>
    </w:p>
    <w:p>
      <w:pPr>
        <w:spacing w:after="0" w:line="19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oro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orm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pinion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pecial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ounsel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 xml:space="preserve">for the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2"/>
          <w:szCs w:val="12"/>
          <w:b w:val="1"/>
          <w:bCs w:val="1"/>
          <w:color w:val="auto"/>
        </w:rPr>
        <w:t>ompany</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opinions are to be provided by special counsel for the Company, subject to customary assumptions, limitations and qualifications.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capitalized terms used herein without definition shall have the meanings ascribed thereto in the Note Purchase Agreement.</w:t>
      </w:r>
    </w:p>
    <w:p>
      <w:pPr>
        <w:spacing w:after="0" w:line="200" w:lineRule="exact"/>
        <w:rPr>
          <w:sz w:val="20"/>
          <w:szCs w:val="20"/>
          <w:color w:val="auto"/>
        </w:rPr>
      </w:pPr>
    </w:p>
    <w:p>
      <w:pPr>
        <w:spacing w:after="0" w:line="223" w:lineRule="exact"/>
        <w:rPr>
          <w:sz w:val="20"/>
          <w:szCs w:val="20"/>
          <w:color w:val="auto"/>
        </w:rPr>
      </w:pPr>
    </w:p>
    <w:p>
      <w:pPr>
        <w:ind w:firstLine="8"/>
        <w:spacing w:after="0" w:line="282" w:lineRule="auto"/>
        <w:tabs>
          <w:tab w:leader="none" w:pos="66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under the DGCL with corporate power and authority to enter into the Note Purchase Agreement and the Notes and to perform its obligations thereunder.</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78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Note Purchase Agreement and the Notes has been duly authorized by all necessary corporate action of the Company, and each of the Note Purchase Agreement and the Notes has been duly executed and delivered by the Company.</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64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Note Purchase Agreement and the Notes is the legally valid and binding agreement of the Company, enforceable against the Company in accordance with its terms.</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the Note Purchase Agreement and the Notes does not on the date hereof:</w:t>
      </w:r>
    </w:p>
    <w:p>
      <w:pPr>
        <w:spacing w:after="0" w:line="225" w:lineRule="exact"/>
        <w:rPr>
          <w:rFonts w:ascii="Times New Roman" w:cs="Times New Roman" w:eastAsia="Times New Roman" w:hAnsi="Times New Roman"/>
          <w:sz w:val="18"/>
          <w:szCs w:val="18"/>
          <w:color w:val="auto"/>
        </w:rPr>
      </w:pPr>
    </w:p>
    <w:p>
      <w:pPr>
        <w:ind w:left="1680" w:hanging="619"/>
        <w:spacing w:after="0"/>
        <w:tabs>
          <w:tab w:leader="none" w:pos="16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the provisions of the certificate of incorporation and the bylaws of the Company;</w:t>
      </w:r>
    </w:p>
    <w:p>
      <w:pPr>
        <w:spacing w:after="0" w:line="225" w:lineRule="exact"/>
        <w:rPr>
          <w:rFonts w:ascii="Times New Roman" w:cs="Times New Roman" w:eastAsia="Times New Roman" w:hAnsi="Times New Roman"/>
          <w:sz w:val="18"/>
          <w:szCs w:val="18"/>
          <w:color w:val="auto"/>
        </w:rPr>
      </w:pPr>
    </w:p>
    <w:p>
      <w:pPr>
        <w:jc w:val="both"/>
        <w:ind w:left="1700" w:hanging="639"/>
        <w:spacing w:after="0" w:line="266" w:lineRule="auto"/>
        <w:tabs>
          <w:tab w:leader="none" w:pos="173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federal or New York statute, rule or regulation applicable to the Company (including, without limitation, Regulation T, U or X of the Board of Governors of the Federal Reserve System, assuming the Company complies with the provisions of the Note Purchase Agreement and the Notes relating to the use of proceeds) or the DGCL; or</w:t>
      </w:r>
    </w:p>
    <w:p>
      <w:pPr>
        <w:spacing w:after="0" w:line="175" w:lineRule="exact"/>
        <w:rPr>
          <w:rFonts w:ascii="Times New Roman" w:cs="Times New Roman" w:eastAsia="Times New Roman" w:hAnsi="Times New Roman"/>
          <w:sz w:val="18"/>
          <w:szCs w:val="18"/>
          <w:color w:val="auto"/>
        </w:rPr>
      </w:pPr>
    </w:p>
    <w:p>
      <w:pPr>
        <w:jc w:val="both"/>
        <w:ind w:left="1700" w:right="20" w:hanging="639"/>
        <w:spacing w:after="0" w:line="266" w:lineRule="auto"/>
        <w:tabs>
          <w:tab w:leader="none" w:pos="177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consents, approvals or authorizations to be obtained by the Company from, or any registrations, declarations or filings to be made by the Company with, any governmental authority under any federal or New York statute, rule or regulation or the DGCL, that have not been obtained or made prior to the date hereof.</w:t>
      </w:r>
    </w:p>
    <w:p>
      <w:pPr>
        <w:spacing w:after="0" w:line="175" w:lineRule="exact"/>
        <w:rPr>
          <w:rFonts w:ascii="Times New Roman" w:cs="Times New Roman" w:eastAsia="Times New Roman" w:hAnsi="Times New Roman"/>
          <w:sz w:val="18"/>
          <w:szCs w:val="18"/>
          <w:color w:val="auto"/>
        </w:rPr>
      </w:pPr>
    </w:p>
    <w:p>
      <w:pPr>
        <w:ind w:left="740" w:hanging="732"/>
        <w:spacing w:after="0"/>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be registered as an “investment company” within the meaning of the Investment Company Act of 1940,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w:t>
      </w:r>
    </w:p>
    <w:p>
      <w:pPr>
        <w:spacing w:after="0" w:line="206" w:lineRule="exact"/>
        <w:rPr>
          <w:rFonts w:ascii="Times New Roman" w:cs="Times New Roman" w:eastAsia="Times New Roman" w:hAnsi="Times New Roman"/>
          <w:sz w:val="18"/>
          <w:szCs w:val="18"/>
          <w:color w:val="auto"/>
        </w:rPr>
      </w:pPr>
    </w:p>
    <w:p>
      <w:pPr>
        <w:jc w:val="both"/>
        <w:ind w:firstLine="8"/>
        <w:spacing w:after="0" w:line="266" w:lineRule="auto"/>
        <w:tabs>
          <w:tab w:leader="none" w:pos="66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registration of the Notes under the Securities Act of 1933, as amended, and no qualification of an indenture under the Trust Indenture Act of 1939, as amended, is required for the purchase of the Notes by the Purchasers in the manner contemplated by the Note Purchase Agreement. We express no opinion, however, as to when or under what circumstances any Notes initially purchased by the Purchasers may be reoffered or resold.</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w:t>
      </w:r>
      <w:r>
        <w:rPr>
          <w:rFonts w:ascii="Times New Roman" w:cs="Times New Roman" w:eastAsia="Times New Roman" w:hAnsi="Times New Roman"/>
          <w:sz w:val="18"/>
          <w:szCs w:val="18"/>
          <w:color w:val="auto"/>
        </w:rPr>
        <w:t xml:space="preserve"> 4.4(a)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ompliance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Reference is hereby made to the Note Purchase Agreement dated as of June 30, 2022 (as amended, supplemented or otherwise modified from time to time, the </w:t>
      </w:r>
      <w:r>
        <w:rPr>
          <w:rFonts w:ascii="Times New Roman" w:cs="Times New Roman" w:eastAsia="Times New Roman" w:hAnsi="Times New Roman"/>
          <w:sz w:val="18"/>
          <w:szCs w:val="18"/>
          <w:b w:val="1"/>
          <w:bCs w:val="1"/>
          <w:color w:val="auto"/>
        </w:rPr>
        <w:t>“Note Purchase Agreement”</w:t>
      </w:r>
      <w:r>
        <w:rPr>
          <w:rFonts w:ascii="Times New Roman" w:cs="Times New Roman" w:eastAsia="Times New Roman" w:hAnsi="Times New Roman"/>
          <w:sz w:val="18"/>
          <w:szCs w:val="18"/>
          <w:color w:val="auto"/>
        </w:rPr>
        <w:t xml:space="preserve">), among The Toro Company,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holder of Notes and each lender from time to time party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provisions of the Note Purchase Agreement, the undersigned hereby certifies that:</w:t>
      </w:r>
    </w:p>
    <w:p>
      <w:pPr>
        <w:spacing w:after="0" w:line="225"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sole record and beneficial owner of the Notes in respect of which it is providing this certificate;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bank within the meaning of Section 881(c)(3)(A) of the Code;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ten percent shareholder of the Company within the meaning of Section 871(h)(3)(B) of the Code;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controlled foreign corporation related to the Company as described in Section 881(c)(3)(C) of the Code.</w:t>
      </w:r>
    </w:p>
    <w:p>
      <w:pPr>
        <w:spacing w:after="0" w:line="196"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The undersigned has furnished the Company with a certificate of its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Person status on IRS Form W-8BEN, IRS Form W-8ECI or IRS Form W-8BEN-E. By executing this certificate, the undersigned agrees that (1) if the information provided in this certificate changes, the undersigned shall promptly so inform the Company, and (2) the undersigned shall have at all times furnished the Company with a properly completed and currently effective certificate in either the calendar year in which each payment is to be made to the undersigned, or in either of the two calendar years preceding such payments.</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Note Purchase Agreement and used herein shall have the meanings given to them in the Note Purchase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 20[__]</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urchaser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chedule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oro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214630</wp:posOffset>
            </wp:positionV>
            <wp:extent cx="214312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w:t>
      </w:r>
      <w:r>
        <w:rPr>
          <w:rFonts w:ascii="Times New Roman" w:cs="Times New Roman" w:eastAsia="Times New Roman" w:hAnsi="Times New Roman"/>
          <w:sz w:val="12"/>
          <w:szCs w:val="12"/>
          <w:color w:val="auto"/>
        </w:rPr>
        <w:t>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June 30, 2022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ote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203200</wp:posOffset>
            </wp:positionV>
            <wp:extent cx="214312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3180"/>
        <w:spacing w:after="0"/>
        <w:rPr>
          <w:sz w:val="20"/>
          <w:szCs w:val="20"/>
          <w:color w:val="auto"/>
        </w:rPr>
      </w:pPr>
      <w:r>
        <w:rPr>
          <w:rFonts w:ascii="Times New Roman" w:cs="Times New Roman" w:eastAsia="Times New Roman" w:hAnsi="Times New Roman"/>
          <w:sz w:val="18"/>
          <w:szCs w:val="18"/>
          <w:color w:val="auto"/>
        </w:rPr>
        <w:t>Re: $100,000,000 3.81% Senior Notes, Series A, due June 15, 2029</w:t>
      </w:r>
    </w:p>
    <w:p>
      <w:pPr>
        <w:spacing w:after="0" w:line="27" w:lineRule="exact"/>
        <w:rPr>
          <w:sz w:val="20"/>
          <w:szCs w:val="20"/>
          <w:color w:val="auto"/>
        </w:rPr>
      </w:pPr>
    </w:p>
    <w:p>
      <w:pPr>
        <w:jc w:val="right"/>
        <w:ind w:right="3200"/>
        <w:spacing w:after="0"/>
        <w:rPr>
          <w:sz w:val="20"/>
          <w:szCs w:val="20"/>
          <w:color w:val="auto"/>
        </w:rPr>
      </w:pPr>
      <w:r>
        <w:rPr>
          <w:rFonts w:ascii="Times New Roman" w:cs="Times New Roman" w:eastAsia="Times New Roman" w:hAnsi="Times New Roman"/>
          <w:sz w:val="18"/>
          <w:szCs w:val="18"/>
          <w:color w:val="auto"/>
        </w:rPr>
        <w:t>$100,000,000 3.91% Senior Notes, Series B, due June 15,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econd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mendment to</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his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econd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xml:space="preserve"> dated as of June 30, 2022 (the or this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xml:space="preserve">) to the Note Purchase Agreement dated April 30, 2019 is between The Toro Company,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each of the institutions which is a signatory to this Second Amendment (collectively, the </w:t>
      </w:r>
      <w:r>
        <w:rPr>
          <w:rFonts w:ascii="Times New Roman" w:cs="Times New Roman" w:eastAsia="Times New Roman" w:hAnsi="Times New Roman"/>
          <w:sz w:val="18"/>
          <w:szCs w:val="18"/>
          <w:b w:val="1"/>
          <w:bCs w:val="1"/>
          <w:color w:val="auto"/>
        </w:rPr>
        <w:t>“Noteholders”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ecitals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710"/>
        <w:spacing w:after="0" w:line="259" w:lineRule="auto"/>
        <w:tabs>
          <w:tab w:leader="none" w:pos="138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each of the Noteholders have heretofore entered into the Note Purchase Agreement dated April 30, 2019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The Company has heretofore issued (i) $100,000,000 aggregate principal amount of its 3.81% Senior Notes, Series A, due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15, 2029 (the </w:t>
      </w:r>
      <w:r>
        <w:rPr>
          <w:rFonts w:ascii="Times New Roman" w:cs="Times New Roman" w:eastAsia="Times New Roman" w:hAnsi="Times New Roman"/>
          <w:sz w:val="18"/>
          <w:szCs w:val="18"/>
          <w:b w:val="1"/>
          <w:bCs w:val="1"/>
          <w:color w:val="auto"/>
        </w:rPr>
        <w:t>“Series A Notes”</w:t>
      </w:r>
      <w:r>
        <w:rPr>
          <w:rFonts w:ascii="Times New Roman" w:cs="Times New Roman" w:eastAsia="Times New Roman" w:hAnsi="Times New Roman"/>
          <w:sz w:val="18"/>
          <w:szCs w:val="18"/>
          <w:color w:val="auto"/>
        </w:rPr>
        <w:t xml:space="preserve">) and (ii) $100,000,000 aggregate principal amount of its 3.91% Senior Notes, Series B, due June 15, 2031 (the </w:t>
      </w:r>
      <w:r>
        <w:rPr>
          <w:rFonts w:ascii="Times New Roman" w:cs="Times New Roman" w:eastAsia="Times New Roman" w:hAnsi="Times New Roman"/>
          <w:sz w:val="18"/>
          <w:szCs w:val="18"/>
          <w:b w:val="1"/>
          <w:bCs w:val="1"/>
          <w:color w:val="auto"/>
        </w:rPr>
        <w:t>“Series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collectively with the Series B Notes, the</w:t>
      </w:r>
      <w:r>
        <w:rPr>
          <w:rFonts w:ascii="Times New Roman" w:cs="Times New Roman" w:eastAsia="Times New Roman" w:hAnsi="Times New Roman"/>
          <w:sz w:val="18"/>
          <w:szCs w:val="18"/>
          <w:b w:val="1"/>
          <w:bCs w:val="1"/>
          <w:color w:val="auto"/>
        </w:rPr>
        <w:t xml:space="preserve"> “Notes”</w:t>
      </w:r>
      <w:r>
        <w:rPr>
          <w:rFonts w:ascii="Times New Roman" w:cs="Times New Roman" w:eastAsia="Times New Roman" w:hAnsi="Times New Roman"/>
          <w:sz w:val="18"/>
          <w:szCs w:val="18"/>
          <w:color w:val="auto"/>
        </w:rPr>
        <w:t>) pursuant to the Note Purchase Agreement. The Noteholders are the holders of at least 51%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outstanding principal amount of the Notes.</w:t>
      </w:r>
    </w:p>
    <w:p>
      <w:pPr>
        <w:spacing w:after="0" w:line="183" w:lineRule="exact"/>
        <w:rPr>
          <w:rFonts w:ascii="Times New Roman" w:cs="Times New Roman" w:eastAsia="Times New Roman" w:hAnsi="Times New Roman"/>
          <w:sz w:val="18"/>
          <w:szCs w:val="18"/>
          <w:color w:val="auto"/>
        </w:rPr>
      </w:pPr>
    </w:p>
    <w:p>
      <w:pPr>
        <w:ind w:left="1580" w:hanging="870"/>
        <w:spacing w:after="0"/>
        <w:tabs>
          <w:tab w:leader="none" w:pos="15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Noteholders now desire to amend the Note Purchase Agreement in the respects, but only in the respects,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hereinafter set forth.</w:t>
      </w:r>
    </w:p>
    <w:p>
      <w:pPr>
        <w:spacing w:after="0" w:line="206" w:lineRule="exact"/>
        <w:rPr>
          <w:rFonts w:ascii="Times New Roman" w:cs="Times New Roman" w:eastAsia="Times New Roman" w:hAnsi="Times New Roman"/>
          <w:sz w:val="18"/>
          <w:szCs w:val="18"/>
          <w:color w:val="auto"/>
        </w:rPr>
      </w:pPr>
    </w:p>
    <w:p>
      <w:pPr>
        <w:ind w:right="20" w:firstLine="710"/>
        <w:spacing w:after="0" w:line="282" w:lineRule="auto"/>
        <w:tabs>
          <w:tab w:leader="none" w:pos="13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herein shall have the respective meanings ascribed thereto in the Note Purchase Agreement unless herein defined or the context shall otherwise require.</w:t>
      </w:r>
    </w:p>
    <w:p>
      <w:pPr>
        <w:spacing w:after="0" w:line="161" w:lineRule="exact"/>
        <w:rPr>
          <w:rFonts w:ascii="Times New Roman" w:cs="Times New Roman" w:eastAsia="Times New Roman" w:hAnsi="Times New Roman"/>
          <w:sz w:val="18"/>
          <w:szCs w:val="18"/>
          <w:color w:val="auto"/>
        </w:rPr>
      </w:pPr>
    </w:p>
    <w:p>
      <w:pPr>
        <w:ind w:firstLine="710"/>
        <w:spacing w:after="0" w:line="282" w:lineRule="auto"/>
        <w:tabs>
          <w:tab w:leader="none" w:pos="136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requirements of law have been fully complied with and all other acts and things necessary to make this Second Amendment a valid, legal and binding instrument according to its terms for the purposes herein expressed have been done or performed.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therefore</w:t>
      </w:r>
      <w:r>
        <w:rPr>
          <w:rFonts w:ascii="Times New Roman" w:cs="Times New Roman" w:eastAsia="Times New Roman" w:hAnsi="Times New Roman"/>
          <w:sz w:val="18"/>
          <w:szCs w:val="18"/>
          <w:color w:val="auto"/>
        </w:rPr>
        <w:t xml:space="preserve">, upon the full and complete satisfaction of the conditions precedent to the effectiveness of this Second Amendment set forth in </w:t>
      </w: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color w:val="auto"/>
        </w:rPr>
        <w:t>hereof, and in consideration of good and valuable consideration the receipt and sufficiency of which is hereby acknowledged,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Noteholders do hereby agree as follows:</w:t>
      </w:r>
    </w:p>
    <w:p>
      <w:pPr>
        <w:spacing w:after="0" w:line="17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w:t>
      </w:r>
      <w:r>
        <w:rPr>
          <w:sz w:val="20"/>
          <w:szCs w:val="20"/>
          <w:color w:val="auto"/>
        </w:rPr>
        <w:tab/>
      </w: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mendments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2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Section 1.1.</w:t>
      </w:r>
      <w:r>
        <w:rPr>
          <w:sz w:val="20"/>
          <w:szCs w:val="20"/>
          <w:color w:val="auto"/>
        </w:rPr>
        <w:tab/>
      </w:r>
      <w:r>
        <w:rPr>
          <w:rFonts w:ascii="Times New Roman" w:cs="Times New Roman" w:eastAsia="Times New Roman" w:hAnsi="Times New Roman"/>
          <w:sz w:val="17"/>
          <w:szCs w:val="17"/>
          <w:color w:val="auto"/>
        </w:rPr>
        <w:t>Section 10.7 of the Note Purchase Agreement shall be and is hereby deleted in its entirety and replaced with “[Reserved]”.</w:t>
      </w:r>
    </w:p>
    <w:p>
      <w:pPr>
        <w:spacing w:after="0" w:line="225" w:lineRule="exact"/>
        <w:rPr>
          <w:sz w:val="20"/>
          <w:szCs w:val="20"/>
          <w:color w:val="auto"/>
        </w:rPr>
      </w:pPr>
    </w:p>
    <w:p>
      <w:pPr>
        <w:ind w:left="2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Section 1.2.</w:t>
      </w:r>
      <w:r>
        <w:rPr>
          <w:sz w:val="20"/>
          <w:szCs w:val="20"/>
          <w:color w:val="auto"/>
        </w:rPr>
        <w:tab/>
      </w:r>
      <w:r>
        <w:rPr>
          <w:rFonts w:ascii="Times New Roman" w:cs="Times New Roman" w:eastAsia="Times New Roman" w:hAnsi="Times New Roman"/>
          <w:sz w:val="17"/>
          <w:szCs w:val="17"/>
          <w:color w:val="auto"/>
        </w:rPr>
        <w:t>Section 10.8 of the Note Purchase Agreement shall be and is hereby amended amended in its entirety and replaced with the following: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both"/>
        <w:ind w:left="360" w:firstLine="94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10.7. Maximum Leverage Ratio</w:t>
      </w:r>
      <w:r>
        <w:rPr>
          <w:rFonts w:ascii="Times New Roman" w:cs="Times New Roman" w:eastAsia="Times New Roman" w:hAnsi="Times New Roman"/>
          <w:sz w:val="18"/>
          <w:szCs w:val="18"/>
          <w:color w:val="auto"/>
        </w:rPr>
        <w:t xml:space="preserve">. The Company (on a consolidated basis) shall not, as of the end of any fiscal quarter, permit its consolidated ratio of (a) total Indebtedness as of such date net of Pending Transaction Debt (if any) as of such date, to (b) the sum of Consolidated EBIT plus depreciation and amortization expense (the </w:t>
      </w:r>
      <w:r>
        <w:rPr>
          <w:rFonts w:ascii="Times New Roman" w:cs="Times New Roman" w:eastAsia="Times New Roman" w:hAnsi="Times New Roman"/>
          <w:sz w:val="18"/>
          <w:szCs w:val="18"/>
          <w:b w:val="1"/>
          <w:bCs w:val="1"/>
          <w:color w:val="auto"/>
        </w:rPr>
        <w:t>“Leverage Ratio”</w:t>
      </w:r>
      <w:r>
        <w:rPr>
          <w:rFonts w:ascii="Times New Roman" w:cs="Times New Roman" w:eastAsia="Times New Roman" w:hAnsi="Times New Roman"/>
          <w:sz w:val="18"/>
          <w:szCs w:val="18"/>
          <w:color w:val="auto"/>
        </w:rPr>
        <w:t xml:space="preserve">) for the period of four prior fiscal quarters ending on such date to be more than 3.50 to 1.00;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after the occurrence of any Acquisition (or series of related transactions for the purpose of or resulting in such Acquisition) with aggregate consideration in excess of $75,000,000, at the option of the Company, for each of the four consecutive fiscal quarters ending after such option exercise (a </w:t>
      </w:r>
      <w:r>
        <w:rPr>
          <w:rFonts w:ascii="Times New Roman" w:cs="Times New Roman" w:eastAsia="Times New Roman" w:hAnsi="Times New Roman"/>
          <w:sz w:val="18"/>
          <w:szCs w:val="18"/>
          <w:b w:val="1"/>
          <w:bCs w:val="1"/>
          <w:color w:val="auto"/>
        </w:rPr>
        <w:t>“Covenant Holiday”</w:t>
      </w:r>
      <w:r>
        <w:rPr>
          <w:rFonts w:ascii="Times New Roman" w:cs="Times New Roman" w:eastAsia="Times New Roman" w:hAnsi="Times New Roman"/>
          <w:sz w:val="18"/>
          <w:szCs w:val="18"/>
          <w:color w:val="auto"/>
        </w:rPr>
        <w:t xml:space="preserve">), the Leverage Ratio as of the last day of such fiscal quarter shall not exceed 4.00 to 1.00 and, in which event, the Company shall be obligated to pay the Incremental Leverage Fee provided for in Section 1.2;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however, </w:t>
      </w:r>
      <w:r>
        <w:rPr>
          <w:rFonts w:ascii="Times New Roman" w:cs="Times New Roman" w:eastAsia="Times New Roman" w:hAnsi="Times New Roman"/>
          <w:sz w:val="18"/>
          <w:szCs w:val="18"/>
          <w:color w:val="auto"/>
        </w:rPr>
        <w:t>the Company may opt to use a maximum of three Covenant Holidays during the term of this Agreement and the Leverage Ratio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exceed 3.50 to 1.00 for at least one fiscal quarter in between each Covenant Holiday.”</w:t>
      </w:r>
    </w:p>
    <w:p>
      <w:pPr>
        <w:spacing w:after="0" w:line="1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Section 1.3.</w:t>
      </w:r>
      <w:r>
        <w:rPr>
          <w:sz w:val="20"/>
          <w:szCs w:val="20"/>
          <w:color w:val="auto"/>
        </w:rPr>
        <w:tab/>
      </w:r>
      <w:r>
        <w:rPr>
          <w:rFonts w:ascii="Times New Roman" w:cs="Times New Roman" w:eastAsia="Times New Roman" w:hAnsi="Times New Roman"/>
          <w:sz w:val="17"/>
          <w:szCs w:val="17"/>
          <w:color w:val="auto"/>
        </w:rPr>
        <w:t>The following shall be added as a new Section 10.12 of the Note Purchase Agreement:</w:t>
      </w:r>
    </w:p>
    <w:p>
      <w:pPr>
        <w:spacing w:after="0" w:line="223" w:lineRule="exact"/>
        <w:rPr>
          <w:sz w:val="20"/>
          <w:szCs w:val="20"/>
          <w:color w:val="auto"/>
        </w:rPr>
      </w:pPr>
    </w:p>
    <w:p>
      <w:pPr>
        <w:jc w:val="both"/>
        <w:ind w:left="440" w:firstLine="8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10.12. Most Favored Lender Status</w:t>
      </w:r>
      <w:r>
        <w:rPr>
          <w:rFonts w:ascii="Times New Roman" w:cs="Times New Roman" w:eastAsia="Times New Roman" w:hAnsi="Times New Roman"/>
          <w:sz w:val="18"/>
          <w:szCs w:val="18"/>
          <w:color w:val="auto"/>
        </w:rPr>
        <w:t xml:space="preserve">. (a) If at any time a Material Credit Facility contains an interest coverage or fixed charged covenant (regardless of whether such provision is labeled or otherwise characterized as a covenant, a definition or a default) by the Company that is more favorable to the lenders under such Material Credit Facility than the covenants, definitions and/or defaults contained in this Agreement (any such provision (including any necessary definition), a </w:t>
      </w:r>
      <w:r>
        <w:rPr>
          <w:rFonts w:ascii="Times New Roman" w:cs="Times New Roman" w:eastAsia="Times New Roman" w:hAnsi="Times New Roman"/>
          <w:sz w:val="18"/>
          <w:szCs w:val="18"/>
          <w:b w:val="1"/>
          <w:bCs w:val="1"/>
          <w:color w:val="auto"/>
        </w:rPr>
        <w:t>“More Favorable Covenant”</w:t>
      </w:r>
      <w:r>
        <w:rPr>
          <w:rFonts w:ascii="Times New Roman" w:cs="Times New Roman" w:eastAsia="Times New Roman" w:hAnsi="Times New Roman"/>
          <w:sz w:val="18"/>
          <w:szCs w:val="18"/>
          <w:color w:val="auto"/>
        </w:rPr>
        <w:t>), then the Company shall provide a Most Favored Lender Notice in respect of such More Favorable Covenant. Unless waived in writing by the Required Holders within 15 days after each holder’s receipt of such notice, such More Favorable Covenant shall be deemed automatically incorporated by reference into Section 10 of this Agreement, mutatis mutandis, as if set forth in full herein, effective as of the date when such More Favorable Covenant shall have become effective under such Material Credit Facility.</w:t>
      </w:r>
    </w:p>
    <w:p>
      <w:pPr>
        <w:spacing w:after="0" w:line="185" w:lineRule="exact"/>
        <w:rPr>
          <w:sz w:val="20"/>
          <w:szCs w:val="20"/>
          <w:color w:val="auto"/>
        </w:rPr>
      </w:pPr>
    </w:p>
    <w:p>
      <w:pPr>
        <w:jc w:val="both"/>
        <w:ind w:left="440" w:firstLine="691"/>
        <w:spacing w:after="0" w:line="253" w:lineRule="auto"/>
        <w:tabs>
          <w:tab w:leader="none" w:pos="180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More Favorable Covenant incorporated into this Agreement (herein referred to as an </w:t>
      </w:r>
      <w:r>
        <w:rPr>
          <w:rFonts w:ascii="Times New Roman" w:cs="Times New Roman" w:eastAsia="Times New Roman" w:hAnsi="Times New Roman"/>
          <w:sz w:val="18"/>
          <w:szCs w:val="18"/>
          <w:b w:val="1"/>
          <w:bCs w:val="1"/>
          <w:color w:val="auto"/>
        </w:rPr>
        <w:t>“Incorporated Covenant”</w:t>
      </w:r>
      <w:r>
        <w:rPr>
          <w:rFonts w:ascii="Times New Roman" w:cs="Times New Roman" w:eastAsia="Times New Roman" w:hAnsi="Times New Roman"/>
          <w:sz w:val="18"/>
          <w:szCs w:val="18"/>
          <w:color w:val="auto"/>
        </w:rPr>
        <w:t xml:space="preserve">) pursuant to this Section 10.12 (i) shall be deemed automatically amended herein to reflect any subsequent amendments made to such More Favorable Covenant under the applicable Material Credit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Default or an Event of Default then exists and the amendment of such More Favorable Covenant would make such covenant less restrictive on the Company, such Incorporated Covenant shall only be deemed automatically amended at such time, if it should occur, when such Default or Event of Default no longer exists and (ii) shall be deemed automatically deleted from this Agreement at such time as such More Favorable Covenant is deleted or otherwise removed from the applicable Material Credit Facility or such applicable Material Credit Facility ceases to be a Material Credit Facility or shall be terminated; provided that, if a Default or an Event of Default then exists, such Incorporated Covenant shall only be deemed automatically deleted from this Agreement at such time, if it should occur, when such Default or Event of Default no longer exists;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that if any fee or other consideration shall be given to the lenders under such Material Credit Facility for such amendment or deletion, the equivalent of such fee or other consideration shall be given, pro rata, to the holders of the Notes. Notwithstanding the foregoing, the covenants or defaults (and related definitions as used therein) contained in this Agreement as in effect on the date of this Agreement (and as amended other than by operation of Section 10.12(a)) shall not be loosened or relaxed by operation of the terms of this Section 10.12(b) and only such other Incorporated Covenants shall be so loosened or relaxed pursuant to the terms hereof.</w:t>
      </w:r>
    </w:p>
    <w:p>
      <w:pPr>
        <w:spacing w:after="0" w:line="36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540" w:top="117" w:right="339" w:bottom="1440" w:gutter="0" w:footer="0" w:header="0"/>
        </w:sectPr>
      </w:pPr>
    </w:p>
    <w:bookmarkStart w:id="85" w:name="page86"/>
    <w:bookmarkEnd w:id="85"/>
    <w:p>
      <w:pPr>
        <w:jc w:val="both"/>
        <w:ind w:left="440" w:firstLine="693"/>
        <w:spacing w:after="0" w:line="259" w:lineRule="auto"/>
        <w:tabs>
          <w:tab w:leader="none" w:pos="182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“Most Favored Lender Notice” </w:t>
      </w:r>
      <w:r>
        <w:rPr>
          <w:rFonts w:ascii="Times New Roman" w:cs="Times New Roman" w:eastAsia="Times New Roman" w:hAnsi="Times New Roman"/>
          <w:sz w:val="18"/>
          <w:szCs w:val="18"/>
          <w:color w:val="auto"/>
        </w:rPr>
        <w:t>means, in respect of any More Favorable Covenant, a written notice to each of the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Notes delivered promptly, and in any event within twenty (20) Business Days after the inclusion of such More Favorable Covenant in any Material Credit Facility (including by way of amendment or other modification of any existing provision thereof) from a Responsible Officer referring to the provisions of this Section 10.12 and setting forth a reasonably detailed description of such More Favorable Covenant (including any defined terms used therein) and related explanatory calculations, as applicable.”</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Section 1.4.</w:t>
      </w:r>
      <w:r>
        <w:rPr>
          <w:sz w:val="20"/>
          <w:szCs w:val="20"/>
          <w:color w:val="auto"/>
        </w:rPr>
        <w:tab/>
      </w:r>
      <w:r>
        <w:rPr>
          <w:rFonts w:ascii="Times New Roman" w:cs="Times New Roman" w:eastAsia="Times New Roman" w:hAnsi="Times New Roman"/>
          <w:sz w:val="17"/>
          <w:szCs w:val="17"/>
          <w:color w:val="auto"/>
        </w:rPr>
        <w:t>Clause (iii) of the definition of “Consolidated EBIT” shall be and is hereby amended to read as follows:</w:t>
      </w:r>
    </w:p>
    <w:p>
      <w:pPr>
        <w:spacing w:after="0" w:line="198" w:lineRule="exact"/>
        <w:rPr>
          <w:sz w:val="20"/>
          <w:szCs w:val="20"/>
          <w:color w:val="auto"/>
        </w:rPr>
      </w:pPr>
    </w:p>
    <w:p>
      <w:pPr>
        <w:jc w:val="both"/>
        <w:ind w:left="440"/>
        <w:spacing w:after="0" w:line="232" w:lineRule="exact"/>
        <w:rPr>
          <w:sz w:val="20"/>
          <w:szCs w:val="20"/>
          <w:color w:val="auto"/>
        </w:rPr>
      </w:pPr>
      <w:r>
        <w:rPr>
          <w:rFonts w:ascii="Times New Roman" w:cs="Times New Roman" w:eastAsia="Times New Roman" w:hAnsi="Times New Roman"/>
          <w:sz w:val="18"/>
          <w:szCs w:val="18"/>
          <w:color w:val="auto"/>
        </w:rPr>
        <w:t>“(iii)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cash fees and expenses, not to exceed $50,000,000 in the aggregate, (x) related to restructurings, or (y) related to cost savings, restructuring, severance, integration, or consolidation related to an Acquisition, and to include without limitation advisory, legal, financing, and consulting fees related to an Acquisition, incurred in anticipation of, in connection with or as a result of such Acquisition.”</w:t>
      </w:r>
    </w:p>
    <w:p>
      <w:pPr>
        <w:spacing w:after="0" w:line="197" w:lineRule="exact"/>
        <w:rPr>
          <w:sz w:val="20"/>
          <w:szCs w:val="20"/>
          <w:color w:val="auto"/>
        </w:rPr>
      </w:pPr>
    </w:p>
    <w:p>
      <w:pPr>
        <w:ind w:left="440"/>
        <w:spacing w:after="0"/>
        <w:tabs>
          <w:tab w:leader="none" w:pos="1760" w:val="left"/>
        </w:tabs>
        <w:rPr>
          <w:sz w:val="20"/>
          <w:szCs w:val="20"/>
          <w:color w:val="auto"/>
        </w:rPr>
      </w:pPr>
      <w:r>
        <w:rPr>
          <w:rFonts w:ascii="Times New Roman" w:cs="Times New Roman" w:eastAsia="Times New Roman" w:hAnsi="Times New Roman"/>
          <w:sz w:val="18"/>
          <w:szCs w:val="18"/>
          <w:i w:val="1"/>
          <w:iCs w:val="1"/>
          <w:color w:val="auto"/>
        </w:rPr>
        <w:t>Section 1.5.</w:t>
      </w:r>
      <w:r>
        <w:rPr>
          <w:sz w:val="20"/>
          <w:szCs w:val="20"/>
          <w:color w:val="auto"/>
        </w:rPr>
        <w:tab/>
      </w:r>
      <w:r>
        <w:rPr>
          <w:rFonts w:ascii="Times New Roman" w:cs="Times New Roman" w:eastAsia="Times New Roman" w:hAnsi="Times New Roman"/>
          <w:sz w:val="17"/>
          <w:szCs w:val="17"/>
          <w:color w:val="auto"/>
        </w:rPr>
        <w:t>The definition of “Material Credit Facility” shall be and is hereby amended to read as follows: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Credit Facility’</w:t>
      </w:r>
      <w:r>
        <w:rPr>
          <w:rFonts w:ascii="Times New Roman" w:cs="Times New Roman" w:eastAsia="Times New Roman" w:hAnsi="Times New Roman"/>
          <w:sz w:val="18"/>
          <w:szCs w:val="18"/>
          <w:color w:val="auto"/>
        </w:rPr>
        <w:t xml:space="preserve"> means, as to the Company and its Subsidiaries,</w:t>
      </w:r>
    </w:p>
    <w:p>
      <w:pPr>
        <w:spacing w:after="0" w:line="229" w:lineRule="exact"/>
        <w:rPr>
          <w:sz w:val="20"/>
          <w:szCs w:val="20"/>
          <w:color w:val="auto"/>
        </w:rPr>
      </w:pPr>
    </w:p>
    <w:p>
      <w:pPr>
        <w:jc w:val="both"/>
        <w:ind w:left="440" w:firstLine="212"/>
        <w:spacing w:after="0" w:line="261" w:lineRule="auto"/>
        <w:tabs>
          <w:tab w:leader="none" w:pos="11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Amended and Restated Credit Agreement dated as of October 5, 2021 among the Company, Toro Luxembourg, certain other Subsidiaries, as borrowers, Bank of America, N.A. as Administrative Agent, Swing Line Lender and L/C Issuer, Wells Fargo Bank, National Association, as syndication agent, BMO Harris Bank, N.A., HSBC Bank USA, National Association, and U.S. Bank National Association, as co-documentation agents and the other lenders party thereto, (the </w:t>
      </w:r>
      <w:r>
        <w:rPr>
          <w:rFonts w:ascii="Times New Roman" w:cs="Times New Roman" w:eastAsia="Times New Roman" w:hAnsi="Times New Roman"/>
          <w:sz w:val="18"/>
          <w:szCs w:val="18"/>
          <w:b w:val="1"/>
          <w:bCs w:val="1"/>
          <w:color w:val="auto"/>
        </w:rPr>
        <w:t>“Existing Revolving Credit Agreement”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40" w:firstLine="212"/>
        <w:spacing w:after="0" w:line="282" w:lineRule="auto"/>
        <w:tabs>
          <w:tab w:leader="none" w:pos="129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Loan Credit Agreement dated as of March 19, 2019 among the Company, as borrower, Bank of America, N.A., as Administrative Agent and each lender from time to time party thereto (the </w:t>
      </w:r>
      <w:r>
        <w:rPr>
          <w:rFonts w:ascii="Times New Roman" w:cs="Times New Roman" w:eastAsia="Times New Roman" w:hAnsi="Times New Roman"/>
          <w:sz w:val="18"/>
          <w:szCs w:val="18"/>
          <w:b w:val="1"/>
          <w:bCs w:val="1"/>
          <w:color w:val="auto"/>
        </w:rPr>
        <w:t>“Existing Term Credit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40" w:firstLine="302"/>
        <w:spacing w:after="0" w:line="266" w:lineRule="auto"/>
        <w:tabs>
          <w:tab w:leader="none" w:pos="119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 Purchase Agreement dated as of June 30, 2022 among the Company and the Institutional Investors from time to time party thereto (the </w:t>
      </w:r>
      <w:r>
        <w:rPr>
          <w:rFonts w:ascii="Times New Roman" w:cs="Times New Roman" w:eastAsia="Times New Roman" w:hAnsi="Times New Roman"/>
          <w:sz w:val="18"/>
          <w:szCs w:val="18"/>
          <w:b w:val="1"/>
          <w:bCs w:val="1"/>
          <w:color w:val="auto"/>
        </w:rPr>
        <w:t>“2022 Note Purchase Agreement”</w:t>
      </w:r>
      <w:r>
        <w:rPr>
          <w:rFonts w:ascii="Times New Roman" w:cs="Times New Roman" w:eastAsia="Times New Roman" w:hAnsi="Times New Roman"/>
          <w:sz w:val="18"/>
          <w:szCs w:val="18"/>
          <w:color w:val="auto"/>
        </w:rPr>
        <w:t>), pursuant to which the Company issued its $100,000,000 Senior Notes due June 30, 2032, for so long as any such notes remain outstanding; and</w:t>
      </w:r>
    </w:p>
    <w:p>
      <w:pPr>
        <w:spacing w:after="0" w:line="34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540" w:top="117" w:right="339" w:bottom="1440" w:gutter="0" w:footer="0" w:header="0"/>
        </w:sectPr>
      </w:pPr>
    </w:p>
    <w:bookmarkStart w:id="86" w:name="page87"/>
    <w:bookmarkEnd w:id="86"/>
    <w:p>
      <w:pPr>
        <w:jc w:val="both"/>
        <w:ind w:left="440" w:firstLine="212"/>
        <w:spacing w:after="0" w:line="255" w:lineRule="auto"/>
        <w:tabs>
          <w:tab w:leader="none" w:pos="116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agreement(s) (other than the Receivables Purchase Facility), including any renewals, extensions, amendments, supplements, restatements, replacements or refinancings of the Existing Revolving Credit Agreement and/or the Existing Term Credit Agreement, creating or evidencing indebtedness for borrowed money entered into by the Company or any Subsidiary, or in respect of which the Company or any Subsidiary is an obligor or otherwise provides a guarantee or other credit support (</w:t>
      </w:r>
      <w:r>
        <w:rPr>
          <w:rFonts w:ascii="Times New Roman" w:cs="Times New Roman" w:eastAsia="Times New Roman" w:hAnsi="Times New Roman"/>
          <w:sz w:val="18"/>
          <w:szCs w:val="18"/>
          <w:b w:val="1"/>
          <w:bCs w:val="1"/>
          <w:color w:val="auto"/>
        </w:rPr>
        <w:t>“Credit Facility”</w:t>
      </w:r>
      <w:r>
        <w:rPr>
          <w:rFonts w:ascii="Times New Roman" w:cs="Times New Roman" w:eastAsia="Times New Roman" w:hAnsi="Times New Roman"/>
          <w:sz w:val="18"/>
          <w:szCs w:val="18"/>
          <w:color w:val="auto"/>
        </w:rPr>
        <w:t>), in a principal amount outstanding or available for borrowing equal to or greater than $50,000,000 (or the equivalent of such amount in the relevant currency of payment, determined as of the date of the closing of such facility based on the exchange rate of such other currency); and if no Credit Facility or Credit Facilities equal or exceed such amounts, then the largest Credit Facility shall be deemed to be a Material Credit Facility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i w:val="1"/>
          <w:iCs w:val="1"/>
          <w:color w:val="auto"/>
        </w:rPr>
        <w:t>Section 1.6.</w:t>
      </w:r>
      <w:r>
        <w:rPr>
          <w:sz w:val="20"/>
          <w:szCs w:val="20"/>
          <w:color w:val="auto"/>
        </w:rPr>
        <w:tab/>
      </w:r>
      <w:r>
        <w:rPr>
          <w:rFonts w:ascii="Times New Roman" w:cs="Times New Roman" w:eastAsia="Times New Roman" w:hAnsi="Times New Roman"/>
          <w:sz w:val="18"/>
          <w:szCs w:val="18"/>
          <w:color w:val="auto"/>
        </w:rPr>
        <w:t>The following shall be added as new definitions in alphabetical order to Schedule A of the Note Purchase Agreement:</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‘Pending Transaction Debt’</w:t>
      </w:r>
      <w:r>
        <w:rPr>
          <w:rFonts w:ascii="Times New Roman" w:cs="Times New Roman" w:eastAsia="Times New Roman" w:hAnsi="Times New Roman"/>
          <w:sz w:val="18"/>
          <w:szCs w:val="18"/>
          <w:color w:val="auto"/>
        </w:rPr>
        <w:t xml:space="preserve"> means as of any date of determination, the lesser of:</w:t>
      </w:r>
    </w:p>
    <w:p>
      <w:pPr>
        <w:spacing w:after="0" w:line="229" w:lineRule="exact"/>
        <w:rPr>
          <w:sz w:val="20"/>
          <w:szCs w:val="20"/>
          <w:color w:val="auto"/>
        </w:rPr>
      </w:pPr>
    </w:p>
    <w:p>
      <w:pPr>
        <w:jc w:val="both"/>
        <w:ind w:left="1080" w:firstLine="220"/>
        <w:spacing w:after="0" w:line="266" w:lineRule="auto"/>
        <w:tabs>
          <w:tab w:leader="none" w:pos="204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proceeds received and held by or on behalf of the Company or its Subsidiaries in connection with any offering, issuance or other incurrence of Indebtedness (</w:t>
      </w:r>
      <w:r>
        <w:rPr>
          <w:rFonts w:ascii="Times New Roman" w:cs="Times New Roman" w:eastAsia="Times New Roman" w:hAnsi="Times New Roman"/>
          <w:sz w:val="18"/>
          <w:szCs w:val="18"/>
          <w:b w:val="1"/>
          <w:bCs w:val="1"/>
          <w:color w:val="auto"/>
        </w:rPr>
        <w:t>“Specified Indebtedness”</w:t>
      </w:r>
      <w:r>
        <w:rPr>
          <w:rFonts w:ascii="Times New Roman" w:cs="Times New Roman" w:eastAsia="Times New Roman" w:hAnsi="Times New Roman"/>
          <w:sz w:val="18"/>
          <w:szCs w:val="18"/>
          <w:color w:val="auto"/>
        </w:rPr>
        <w:t>) in connection with a Pending Transaction; and</w:t>
      </w:r>
    </w:p>
    <w:p>
      <w:pPr>
        <w:spacing w:after="0" w:line="175" w:lineRule="exact"/>
        <w:rPr>
          <w:rFonts w:ascii="Times New Roman" w:cs="Times New Roman" w:eastAsia="Times New Roman" w:hAnsi="Times New Roman"/>
          <w:sz w:val="18"/>
          <w:szCs w:val="18"/>
          <w:color w:val="auto"/>
        </w:rPr>
      </w:pPr>
    </w:p>
    <w:p>
      <w:pPr>
        <w:jc w:val="both"/>
        <w:ind w:left="1080" w:firstLine="220"/>
        <w:spacing w:after="0" w:line="266" w:lineRule="auto"/>
        <w:tabs>
          <w:tab w:leader="none" w:pos="200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maximum amount (for the avoidance of doubt, not to be less than $0) that may be deducted as of such date when calculating “Indebtedness” (or other corresponding definition) for purposes of determining compliance with any leverage ratio financial covenant (or other corresponding provision) in any Material Credit Facility.</w:t>
      </w:r>
    </w:p>
    <w:p>
      <w:pPr>
        <w:spacing w:after="0" w:line="174" w:lineRule="exact"/>
        <w:rPr>
          <w:sz w:val="20"/>
          <w:szCs w:val="20"/>
          <w:color w:val="auto"/>
        </w:rPr>
      </w:pPr>
    </w:p>
    <w:p>
      <w:pPr>
        <w:jc w:val="both"/>
        <w:ind w:left="10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may only deduct the aggregate amount of cash proceeds received and held by or on behalf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Subsidiaries in connection with Specified Indebtedness for purposes of clause (1) above in connection with not more than three Pending Transactions; and</w:t>
      </w:r>
    </w:p>
    <w:p>
      <w:pPr>
        <w:spacing w:after="0" w:line="173" w:lineRule="exact"/>
        <w:rPr>
          <w:sz w:val="20"/>
          <w:szCs w:val="20"/>
          <w:color w:val="auto"/>
        </w:rPr>
      </w:pPr>
    </w:p>
    <w:p>
      <w:pPr>
        <w:jc w:val="both"/>
        <w:ind w:left="108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if the Company shall not have delivered to the holders of the Notes evidence of an investment grade rating from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least two accredited nationally recognized rating agencies (other than Egan Jones)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for a Pending Transaction prior to incurring such Specified Indebtedness, the aggregate amount of cash proceeds received and held by or on behalf of the Company or its Subsidiaries in connection with such Specified Indebtedness for purposes of clause (1) shall be deemed to be $0; and</w:t>
      </w:r>
    </w:p>
    <w:p>
      <w:pPr>
        <w:spacing w:after="0" w:line="180" w:lineRule="exact"/>
        <w:rPr>
          <w:sz w:val="20"/>
          <w:szCs w:val="20"/>
          <w:color w:val="auto"/>
        </w:rPr>
      </w:pPr>
    </w:p>
    <w:p>
      <w:pPr>
        <w:jc w:val="both"/>
        <w:ind w:left="1080"/>
        <w:spacing w:after="0" w:line="258" w:lineRule="auto"/>
        <w:rPr>
          <w:sz w:val="20"/>
          <w:szCs w:val="20"/>
          <w:color w:val="auto"/>
        </w:rPr>
      </w:pP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 Pending Acquisition Transaction is not consummated by the date that is 270 days after the offering, issuance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incurrence of such Specified Indebtedness (the </w:t>
      </w:r>
      <w:r>
        <w:rPr>
          <w:rFonts w:ascii="Times New Roman" w:cs="Times New Roman" w:eastAsia="Times New Roman" w:hAnsi="Times New Roman"/>
          <w:sz w:val="18"/>
          <w:szCs w:val="18"/>
          <w:b w:val="1"/>
          <w:bCs w:val="1"/>
          <w:color w:val="auto"/>
        </w:rPr>
        <w:t>“Pending Acquisition Transaction Effective Date”</w:t>
      </w:r>
      <w:r>
        <w:rPr>
          <w:rFonts w:ascii="Times New Roman" w:cs="Times New Roman" w:eastAsia="Times New Roman" w:hAnsi="Times New Roman"/>
          <w:sz w:val="18"/>
          <w:szCs w:val="18"/>
          <w:color w:val="auto"/>
        </w:rPr>
        <w:t>), then from and after the Pending Acquisition Transaction Effective Date (or such later date as the Required Holders may agree), the aggregate amount of cash proceeds received and held by or on behalf of the Company or its Subsidiaries in connection with such Specified Indebtedness for purposes of clause (1) shall be deemed to be $0; and</w:t>
      </w:r>
    </w:p>
    <w:p>
      <w:pPr>
        <w:spacing w:after="0" w:line="35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540" w:top="121" w:right="339" w:bottom="1440" w:gutter="0" w:footer="0" w:header="0"/>
        </w:sectPr>
      </w:pPr>
    </w:p>
    <w:bookmarkStart w:id="87" w:name="page88"/>
    <w:bookmarkEnd w:id="87"/>
    <w:p>
      <w:pPr>
        <w:jc w:val="both"/>
        <w:ind w:left="13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if a Pending Refinancing Transaction is not consummated by the date that is 60 days after the offering, issuance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incurrence of such Specified Indebtedness (the </w:t>
      </w:r>
      <w:r>
        <w:rPr>
          <w:rFonts w:ascii="Times New Roman" w:cs="Times New Roman" w:eastAsia="Times New Roman" w:hAnsi="Times New Roman"/>
          <w:sz w:val="18"/>
          <w:szCs w:val="18"/>
          <w:b w:val="1"/>
          <w:bCs w:val="1"/>
          <w:color w:val="auto"/>
        </w:rPr>
        <w:t>“Pending Refinancing Transaction Effective Date”</w:t>
      </w:r>
      <w:r>
        <w:rPr>
          <w:rFonts w:ascii="Times New Roman" w:cs="Times New Roman" w:eastAsia="Times New Roman" w:hAnsi="Times New Roman"/>
          <w:sz w:val="18"/>
          <w:szCs w:val="18"/>
          <w:color w:val="auto"/>
        </w:rPr>
        <w:t>), then from and after the Pending Refinancing Transaction Effective Date (or such later date as the Required Holders may agree), the aggregate amount of cash proceeds received and held by or on behalf of the Company or its Subsidiaries in connection with such Specified Indebtedness for purposes of clause (1) shall be deemed to be $0; and</w:t>
      </w:r>
    </w:p>
    <w:p>
      <w:pPr>
        <w:spacing w:after="0" w:line="183" w:lineRule="exact"/>
        <w:rPr>
          <w:sz w:val="20"/>
          <w:szCs w:val="20"/>
          <w:color w:val="auto"/>
        </w:rPr>
      </w:pPr>
    </w:p>
    <w:p>
      <w:pPr>
        <w:jc w:val="both"/>
        <w:ind w:left="1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upon and after the consummation of a Pending Transaction, the aggregate amount of any cash proceeds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still held by or on behalf of the Company or its Subsidiaries in connection with such Specified Indebtedness for purposes of clause (1) above shall be deemed to be $0.</w:t>
      </w:r>
    </w:p>
    <w:p>
      <w:pPr>
        <w:spacing w:after="0" w:line="171" w:lineRule="exact"/>
        <w:rPr>
          <w:sz w:val="20"/>
          <w:szCs w:val="20"/>
          <w:color w:val="auto"/>
        </w:rPr>
      </w:pPr>
    </w:p>
    <w:p>
      <w:pPr>
        <w:ind w:left="660"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“Pending Acquisition Transaction” </w:t>
      </w:r>
      <w:r>
        <w:rPr>
          <w:rFonts w:ascii="Times New Roman" w:cs="Times New Roman" w:eastAsia="Times New Roman" w:hAnsi="Times New Roman"/>
          <w:sz w:val="18"/>
          <w:szCs w:val="18"/>
          <w:color w:val="auto"/>
        </w:rPr>
        <w:t>means any pending acquisition or investment not prohibited under this Agreement having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value (as determined by the Company in good faith) in excess of $75,000,000.</w:t>
      </w:r>
    </w:p>
    <w:p>
      <w:pPr>
        <w:spacing w:after="0" w:line="155" w:lineRule="exact"/>
        <w:rPr>
          <w:sz w:val="20"/>
          <w:szCs w:val="20"/>
          <w:color w:val="auto"/>
        </w:rPr>
      </w:pPr>
    </w:p>
    <w:p>
      <w:pPr>
        <w:ind w:lef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“Pending Refinancing Transaction” </w:t>
      </w:r>
      <w:r>
        <w:rPr>
          <w:rFonts w:ascii="Times New Roman" w:cs="Times New Roman" w:eastAsia="Times New Roman" w:hAnsi="Times New Roman"/>
          <w:sz w:val="18"/>
          <w:szCs w:val="18"/>
          <w:color w:val="auto"/>
        </w:rPr>
        <w:t>means any refinancing, prepayment, repayment, redemption, repurchase, settlement, discharge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defeasance of debt securities (whether issued in a registered transaction, 144A offering or other private placement) or term loan facilities.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“Pending Refinancing Transaction Effective Date” </w:t>
      </w:r>
      <w:r>
        <w:rPr>
          <w:rFonts w:ascii="Times New Roman" w:cs="Times New Roman" w:eastAsia="Times New Roman" w:hAnsi="Times New Roman"/>
          <w:sz w:val="18"/>
          <w:szCs w:val="18"/>
          <w:color w:val="auto"/>
        </w:rPr>
        <w:t>has the meaning set forth in the definition of “Pending Transaction Debt”.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“Pending Transaction” </w:t>
      </w:r>
      <w:r>
        <w:rPr>
          <w:rFonts w:ascii="Times New Roman" w:cs="Times New Roman" w:eastAsia="Times New Roman" w:hAnsi="Times New Roman"/>
          <w:sz w:val="18"/>
          <w:szCs w:val="18"/>
          <w:color w:val="auto"/>
        </w:rPr>
        <w:t>means a Pending Acquisition Transaction or a Pending Refinancing Transaction.”</w:t>
      </w:r>
    </w:p>
    <w:p>
      <w:pPr>
        <w:spacing w:after="0" w:line="22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2.</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2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2.1. </w:t>
      </w:r>
      <w:r>
        <w:rPr>
          <w:rFonts w:ascii="Times New Roman" w:cs="Times New Roman" w:eastAsia="Times New Roman" w:hAnsi="Times New Roman"/>
          <w:sz w:val="18"/>
          <w:szCs w:val="18"/>
          <w:color w:val="auto"/>
        </w:rPr>
        <w:t>To induce the Noteholders to execute and deliver this Second Amendment (which representations shall survive the execution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this Second Amendment), the Company represents and warrants to the Noteholders that:</w:t>
      </w:r>
    </w:p>
    <w:p>
      <w:pPr>
        <w:spacing w:after="0" w:line="160" w:lineRule="exact"/>
        <w:rPr>
          <w:sz w:val="20"/>
          <w:szCs w:val="20"/>
          <w:color w:val="auto"/>
        </w:rPr>
      </w:pPr>
    </w:p>
    <w:p>
      <w:pPr>
        <w:jc w:val="both"/>
        <w:ind w:left="660" w:firstLine="212"/>
        <w:spacing w:after="0" w:line="261" w:lineRule="auto"/>
        <w:tabs>
          <w:tab w:leader="none" w:pos="14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Amendment has been duly authorized, executed and delivered by the Company and this Second Amendment constitutes the legal, valid and binding obligation of the Company enforceable against the Company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jc w:val="both"/>
        <w:ind w:left="660" w:firstLine="212"/>
        <w:spacing w:after="0" w:line="261" w:lineRule="auto"/>
        <w:tabs>
          <w:tab w:leader="none" w:pos="146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Purchase Agreement, as amended by this Second Amendment, constitutes the legal, valid and binding obligation of the Company enforceable against the Company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79" w:lineRule="exact"/>
        <w:rPr>
          <w:rFonts w:ascii="Times New Roman" w:cs="Times New Roman" w:eastAsia="Times New Roman" w:hAnsi="Times New Roman"/>
          <w:sz w:val="18"/>
          <w:szCs w:val="18"/>
          <w:color w:val="auto"/>
        </w:rPr>
      </w:pPr>
    </w:p>
    <w:p>
      <w:pPr>
        <w:jc w:val="both"/>
        <w:ind w:left="660" w:firstLine="212"/>
        <w:spacing w:after="0" w:line="254" w:lineRule="auto"/>
        <w:tabs>
          <w:tab w:leader="none" w:pos="148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by the Company of this Second Amendment (i) has been duly authorized by all requisite corporate action and, if required, shareholder action, (ii) does not require the consent or approval of any governmental or regulatory body or agency and (iii) will not (A) violate (1) any provision of law, statute, rule or regulation or the Company’s certificate of incorporation or bylaws, (2) any order of any court or any rule, regulation or order of any other agency or government binding upon the Company or (3) any provision of any indenture, mortgage, deed of trust, loan, purchase or credit agreement, lease, shareholders agreement or any other agreement or instrument to which the Company or any Subsidiary is bound or by which the Company or any Subsidiary or any of their respective properties may be bound or affected, except as would not be Material, or (B) result in a breach or constitute (alone or with due notice or lapse of time or both) a default under any indenture, agreement or other instrument referred to in clause (iii)(A)(3) of this </w:t>
      </w:r>
      <w:r>
        <w:rPr>
          <w:rFonts w:ascii="Times New Roman" w:cs="Times New Roman" w:eastAsia="Times New Roman" w:hAnsi="Times New Roman"/>
          <w:sz w:val="18"/>
          <w:szCs w:val="18"/>
          <w:b w:val="1"/>
          <w:bCs w:val="1"/>
          <w:color w:val="auto"/>
        </w:rPr>
        <w:t>Section 2.1(c)</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600" w:hanging="728"/>
        <w:spacing w:after="0"/>
        <w:tabs>
          <w:tab w:leader="none" w:pos="16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and after giving effect to this Second Amendment, no Default or Event of Default has occurred which is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w:t>
      </w:r>
    </w:p>
    <w:p>
      <w:pPr>
        <w:spacing w:after="0" w:line="206" w:lineRule="exact"/>
        <w:rPr>
          <w:rFonts w:ascii="Times New Roman" w:cs="Times New Roman" w:eastAsia="Times New Roman" w:hAnsi="Times New Roman"/>
          <w:sz w:val="18"/>
          <w:szCs w:val="18"/>
          <w:color w:val="auto"/>
        </w:rPr>
      </w:pPr>
    </w:p>
    <w:p>
      <w:pPr>
        <w:jc w:val="both"/>
        <w:ind w:left="660" w:firstLine="212"/>
        <w:spacing w:after="0" w:line="261" w:lineRule="auto"/>
        <w:tabs>
          <w:tab w:leader="none" w:pos="138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Affiliates has paid or agreed to pay any fees or other consideration, or given any additional security or collateral, or shortened the maturity or average life of any Indebtedness or permanently reduced any borrowing capacity, in each case, in favor of or for the benefit of any creditor of the Company, any Subsidiary or any Affiliate, in connection with the changes contemplated by or similar in nature to the changes in this Second Amendment; and</w:t>
      </w:r>
    </w:p>
    <w:p>
      <w:pPr>
        <w:spacing w:after="0" w:line="179" w:lineRule="exact"/>
        <w:rPr>
          <w:rFonts w:ascii="Times New Roman" w:cs="Times New Roman" w:eastAsia="Times New Roman" w:hAnsi="Times New Roman"/>
          <w:sz w:val="18"/>
          <w:szCs w:val="18"/>
          <w:color w:val="auto"/>
        </w:rPr>
      </w:pPr>
    </w:p>
    <w:p>
      <w:pPr>
        <w:ind w:left="660" w:firstLine="212"/>
        <w:spacing w:after="0" w:line="282" w:lineRule="auto"/>
        <w:tabs>
          <w:tab w:leader="none" w:pos="139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Subsidiaries or Affiliates of the Company are guarantors or are otherwise liable for or in respect of any Indebtedness under any Material Credit Facility or the Notes.</w:t>
      </w:r>
    </w:p>
    <w:p>
      <w:pPr>
        <w:spacing w:after="0" w:line="16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3.</w:t>
      </w:r>
      <w:r>
        <w:rPr>
          <w:sz w:val="20"/>
          <w:szCs w:val="20"/>
          <w:color w:val="auto"/>
        </w:rPr>
        <w:tab/>
      </w: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 to</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ffectiveness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his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econd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2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3.1. </w:t>
      </w:r>
      <w:r>
        <w:rPr>
          <w:rFonts w:ascii="Times New Roman" w:cs="Times New Roman" w:eastAsia="Times New Roman" w:hAnsi="Times New Roman"/>
          <w:sz w:val="18"/>
          <w:szCs w:val="18"/>
          <w:color w:val="auto"/>
        </w:rPr>
        <w:t>This Second Amendment shall not become effective until, and shall become effective when, each and every one of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shall have been satisfied:</w:t>
      </w:r>
    </w:p>
    <w:p>
      <w:pPr>
        <w:spacing w:after="0" w:line="160" w:lineRule="exact"/>
        <w:rPr>
          <w:sz w:val="20"/>
          <w:szCs w:val="20"/>
          <w:color w:val="auto"/>
        </w:rPr>
      </w:pPr>
    </w:p>
    <w:p>
      <w:pPr>
        <w:ind w:left="660" w:firstLine="212"/>
        <w:spacing w:after="0" w:line="282" w:lineRule="auto"/>
        <w:tabs>
          <w:tab w:leader="none" w:pos="138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counterparts of this Second Amendment, duly executed by the Company and the holders of at least 51% of the outstanding principal of the Notes, shall have been delivered to the Noteholders;</w:t>
      </w:r>
    </w:p>
    <w:p>
      <w:pPr>
        <w:spacing w:after="0" w:line="157" w:lineRule="exact"/>
        <w:rPr>
          <w:rFonts w:ascii="Times New Roman" w:cs="Times New Roman" w:eastAsia="Times New Roman" w:hAnsi="Times New Roman"/>
          <w:sz w:val="18"/>
          <w:szCs w:val="18"/>
          <w:color w:val="auto"/>
        </w:rPr>
      </w:pPr>
    </w:p>
    <w:p>
      <w:pPr>
        <w:ind w:left="660" w:right="20" w:firstLine="212"/>
        <w:spacing w:after="0" w:line="286" w:lineRule="auto"/>
        <w:tabs>
          <w:tab w:leader="none" w:pos="140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set forth in </w:t>
      </w: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 xml:space="preserve"> hereof are true and correct on and with respect to the date hereof; and</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left="660" w:firstLine="212"/>
        <w:spacing w:after="0" w:line="282" w:lineRule="auto"/>
        <w:tabs>
          <w:tab w:leader="none" w:pos="14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upon demand, the reasonable fees and expenses of Chapman and Cutler LLP, counsel to the Noteholders, in connection with the negotiation, preparation, approval, execution and delivery of this Second Amendment.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receipt of all of the foregoing, this Second Amendment shall become effective.</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4.</w:t>
      </w:r>
      <w:r>
        <w:rPr>
          <w:sz w:val="20"/>
          <w:szCs w:val="20"/>
          <w:color w:val="auto"/>
        </w:rPr>
        <w:tab/>
      </w: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21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4.1. </w:t>
      </w:r>
      <w:r>
        <w:rPr>
          <w:rFonts w:ascii="Times New Roman" w:cs="Times New Roman" w:eastAsia="Times New Roman" w:hAnsi="Times New Roman"/>
          <w:sz w:val="18"/>
          <w:szCs w:val="18"/>
          <w:color w:val="auto"/>
        </w:rPr>
        <w:t>This Second Amendment shall be construed in connection with and as part of the Note Purchase Agreement, and except as modified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expressly amended by this Second Amendment, all terms, conditions and covenants contained in the Note Purchase Agreement and the Notes are hereby ratified and shall be and remain in full force and effect.</w:t>
      </w:r>
    </w:p>
    <w:p>
      <w:pPr>
        <w:spacing w:after="0" w:line="173" w:lineRule="exact"/>
        <w:rPr>
          <w:sz w:val="20"/>
          <w:szCs w:val="20"/>
          <w:color w:val="auto"/>
        </w:rPr>
      </w:pPr>
    </w:p>
    <w:p>
      <w:pPr>
        <w:jc w:val="both"/>
        <w:ind w:firstLine="21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4.2. </w:t>
      </w:r>
      <w:r>
        <w:rPr>
          <w:rFonts w:ascii="Times New Roman" w:cs="Times New Roman" w:eastAsia="Times New Roman" w:hAnsi="Times New Roman"/>
          <w:sz w:val="18"/>
          <w:szCs w:val="18"/>
          <w:color w:val="auto"/>
        </w:rPr>
        <w:t>Any and all notices, requests, certificates and other instruments executed and delivered after the execution and delivery of this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may refer to the Note Purchase Agreement without making specific reference to this Second Amendment but nevertheless all such references shall include this Second Amendment unless the context otherwise requires.</w:t>
      </w:r>
    </w:p>
    <w:p>
      <w:pPr>
        <w:spacing w:after="0" w:line="173" w:lineRule="exact"/>
        <w:rPr>
          <w:sz w:val="20"/>
          <w:szCs w:val="20"/>
          <w:color w:val="auto"/>
        </w:rPr>
      </w:pPr>
    </w:p>
    <w:p>
      <w:pPr>
        <w:jc w:val="both"/>
        <w:ind w:firstLine="2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4.3. </w:t>
      </w:r>
      <w:r>
        <w:rPr>
          <w:rFonts w:ascii="Times New Roman" w:cs="Times New Roman" w:eastAsia="Times New Roman" w:hAnsi="Times New Roman"/>
          <w:sz w:val="18"/>
          <w:szCs w:val="18"/>
          <w:color w:val="auto"/>
        </w:rPr>
        <w:t>The descriptive headings of the various Sections or parts of this Second Amendment are for convenience only and shall not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or construction of any of the provisions hereof.</w:t>
      </w:r>
    </w:p>
    <w:p>
      <w:pPr>
        <w:spacing w:after="0" w:line="158" w:lineRule="exact"/>
        <w:rPr>
          <w:sz w:val="20"/>
          <w:szCs w:val="20"/>
          <w:color w:val="auto"/>
        </w:rPr>
      </w:pPr>
    </w:p>
    <w:p>
      <w:pPr>
        <w:ind w:left="220"/>
        <w:spacing w:after="0"/>
        <w:tabs>
          <w:tab w:leader="none" w:pos="1360" w:val="left"/>
        </w:tabs>
        <w:rPr>
          <w:sz w:val="20"/>
          <w:szCs w:val="20"/>
          <w:color w:val="auto"/>
        </w:rPr>
      </w:pPr>
      <w:r>
        <w:rPr>
          <w:rFonts w:ascii="Times New Roman" w:cs="Times New Roman" w:eastAsia="Times New Roman" w:hAnsi="Times New Roman"/>
          <w:sz w:val="18"/>
          <w:szCs w:val="18"/>
          <w:i w:val="1"/>
          <w:iCs w:val="1"/>
          <w:color w:val="auto"/>
        </w:rPr>
        <w:t>Section 4.4.</w:t>
      </w:r>
      <w:r>
        <w:rPr>
          <w:sz w:val="20"/>
          <w:szCs w:val="20"/>
          <w:color w:val="auto"/>
        </w:rPr>
        <w:tab/>
      </w:r>
      <w:r>
        <w:rPr>
          <w:rFonts w:ascii="Times New Roman" w:cs="Times New Roman" w:eastAsia="Times New Roman" w:hAnsi="Times New Roman"/>
          <w:sz w:val="17"/>
          <w:szCs w:val="17"/>
          <w:color w:val="auto"/>
        </w:rPr>
        <w:t>This Second Amendment shall be governed by and construed in accordance with New York law.</w:t>
      </w:r>
    </w:p>
    <w:p>
      <w:pPr>
        <w:spacing w:after="0" w:line="225"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4.5. </w:t>
      </w:r>
      <w:r>
        <w:rPr>
          <w:rFonts w:ascii="Times New Roman" w:cs="Times New Roman" w:eastAsia="Times New Roman" w:hAnsi="Times New Roman"/>
          <w:sz w:val="18"/>
          <w:szCs w:val="18"/>
          <w:color w:val="auto"/>
        </w:rPr>
        <w:t>The execution hereof by you shall constitute a contract between us for the uses and purposes hereinabove set forth, and this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may be executed in any number of counterparts, each executed counterpart constituting an original, but all together only one agreement. A facsimile or electronic transmission of a party’s signature page to this Second Amendment shall be effective as delivery of a manually executed counterpart thereof and shall be admissible into evidence for all purposes.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ind w:firstLine="86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Second Amendment to be duly executed and delivered by their proper and duly authorized officers as of the date first written above.</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oro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Julie A. Kerekes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Julie A. Kerekes</w:t>
      </w:r>
    </w:p>
    <w:p>
      <w:pPr>
        <w:spacing w:after="0" w:line="27"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color w:val="auto"/>
        </w:rPr>
        <w:t>Title: Treasurer and Senior Managing Director,</w:t>
      </w:r>
    </w:p>
    <w:p>
      <w:pPr>
        <w:spacing w:after="0" w:line="9"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8"/>
          <w:szCs w:val="18"/>
          <w:color w:val="auto"/>
        </w:rPr>
        <w:t>Global Tax and Investor Relations</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Renee J. Peterson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Vice President and Chief Financial Officer</w:t>
      </w: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[Second Amendment 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assachusetts</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utual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Barings LLC as Investment Adviser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James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James Moore</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$7,800,000 of the 3.81% Senior Notes, </w:t>
      </w:r>
      <w:r>
        <w:rPr>
          <w:rFonts w:ascii="Times New Roman" w:cs="Times New Roman" w:eastAsia="Times New Roman" w:hAnsi="Times New Roman"/>
          <w:sz w:val="18"/>
          <w:szCs w:val="18"/>
          <w:b w:val="1"/>
          <w:bCs w:val="1"/>
          <w:color w:val="auto"/>
        </w:rPr>
        <w:t>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due June 15, 2029</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 xml:space="preserve">We acknowledge that we hold $11,100,000 of the 3.91% Senior Notes, </w:t>
      </w:r>
      <w:r>
        <w:rPr>
          <w:rFonts w:ascii="Times New Roman" w:cs="Times New Roman" w:eastAsia="Times New Roman" w:hAnsi="Times New Roman"/>
          <w:sz w:val="17"/>
          <w:szCs w:val="17"/>
          <w:b w:val="1"/>
          <w:bCs w:val="1"/>
          <w:color w:val="auto"/>
        </w:rPr>
        <w:t>Series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due June 15, 2031</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C.M.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Barings LLC as Investment Adviser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James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James Moore</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$500,000 of the 3.81% Senior Notes, </w:t>
      </w:r>
      <w:r>
        <w:rPr>
          <w:rFonts w:ascii="Times New Roman" w:cs="Times New Roman" w:eastAsia="Times New Roman" w:hAnsi="Times New Roman"/>
          <w:sz w:val="18"/>
          <w:szCs w:val="18"/>
          <w:b w:val="1"/>
          <w:bCs w:val="1"/>
          <w:color w:val="auto"/>
        </w:rPr>
        <w:t>Series 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due June 15, 2029</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$400,000 of the 3.91% Senior Notes, </w:t>
      </w:r>
      <w:r>
        <w:rPr>
          <w:rFonts w:ascii="Times New Roman" w:cs="Times New Roman" w:eastAsia="Times New Roman" w:hAnsi="Times New Roman"/>
          <w:sz w:val="18"/>
          <w:szCs w:val="18"/>
          <w:b w:val="1"/>
          <w:bCs w:val="1"/>
          <w:color w:val="auto"/>
        </w:rPr>
        <w:t>Series 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due June 15, 2031</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YF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nternational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Barings LLC as Investment Adviser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James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James Moore</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$2,500,000 of the 3.81% Senior Notes, </w:t>
      </w:r>
      <w:r>
        <w:rPr>
          <w:rFonts w:ascii="Times New Roman" w:cs="Times New Roman" w:eastAsia="Times New Roman" w:hAnsi="Times New Roman"/>
          <w:sz w:val="18"/>
          <w:szCs w:val="18"/>
          <w:b w:val="1"/>
          <w:bCs w:val="1"/>
          <w:color w:val="auto"/>
        </w:rPr>
        <w:t>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due June 15, 2029</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$1,500,000 of the 3.91% Senior Notes, </w:t>
      </w:r>
      <w:r>
        <w:rPr>
          <w:rFonts w:ascii="Times New Roman" w:cs="Times New Roman" w:eastAsia="Times New Roman" w:hAnsi="Times New Roman"/>
          <w:sz w:val="18"/>
          <w:szCs w:val="18"/>
          <w:b w:val="1"/>
          <w:bCs w:val="1"/>
          <w:color w:val="auto"/>
        </w:rPr>
        <w:t>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due June 15,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incoln</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ational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Barings LLC as Investment Adviser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James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James Moore</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 xml:space="preserve">We acknowledge that we hold $12,000,000 of the 3.81% Senior Notes, </w:t>
      </w:r>
      <w:r>
        <w:rPr>
          <w:rFonts w:ascii="Times New Roman" w:cs="Times New Roman" w:eastAsia="Times New Roman" w:hAnsi="Times New Roman"/>
          <w:sz w:val="17"/>
          <w:szCs w:val="17"/>
          <w:b w:val="1"/>
          <w:bCs w:val="1"/>
          <w:color w:val="auto"/>
        </w:rPr>
        <w:t>Series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due June 15, 2029</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 xml:space="preserve">We acknowledge that we hold $13,000,000 of the 3.91% Senior Notes, </w:t>
      </w:r>
      <w:r>
        <w:rPr>
          <w:rFonts w:ascii="Times New Roman" w:cs="Times New Roman" w:eastAsia="Times New Roman" w:hAnsi="Times New Roman"/>
          <w:sz w:val="17"/>
          <w:szCs w:val="17"/>
          <w:b w:val="1"/>
          <w:bCs w:val="1"/>
          <w:color w:val="auto"/>
        </w:rPr>
        <w:t>Series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due June 15, 2031</w:t>
      </w: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[Second Amendment 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Aron Davidowitz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Aron Davidowitz</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$6,100,000 of the 3.81% Senior Notes, </w:t>
      </w:r>
      <w:r>
        <w:rPr>
          <w:rFonts w:ascii="Times New Roman" w:cs="Times New Roman" w:eastAsia="Times New Roman" w:hAnsi="Times New Roman"/>
          <w:sz w:val="18"/>
          <w:szCs w:val="18"/>
          <w:b w:val="1"/>
          <w:bCs w:val="1"/>
          <w:color w:val="auto"/>
        </w:rPr>
        <w:t>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due June 15, 2029</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$5,800,000 of the 3.91% Senior Notes, </w:t>
      </w:r>
      <w:r>
        <w:rPr>
          <w:rFonts w:ascii="Times New Roman" w:cs="Times New Roman" w:eastAsia="Times New Roman" w:hAnsi="Times New Roman"/>
          <w:sz w:val="18"/>
          <w:szCs w:val="18"/>
          <w:b w:val="1"/>
          <w:bCs w:val="1"/>
          <w:color w:val="auto"/>
        </w:rPr>
        <w:t>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due June 15, 2031</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nnuity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NYL Investors LLC, its Investment Manager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Aron Davidowitz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Aron Davidowitz</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 xml:space="preserve">We acknowledge that we hold $12,200,000 of the 3.81% Senior Notes, </w:t>
      </w:r>
      <w:r>
        <w:rPr>
          <w:rFonts w:ascii="Times New Roman" w:cs="Times New Roman" w:eastAsia="Times New Roman" w:hAnsi="Times New Roman"/>
          <w:sz w:val="17"/>
          <w:szCs w:val="17"/>
          <w:b w:val="1"/>
          <w:bCs w:val="1"/>
          <w:color w:val="auto"/>
        </w:rPr>
        <w:t>Series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due June 15, 2029</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 xml:space="preserve">We acknowledge that we hold $12,900,000 of the 3.91% Senior Notes, </w:t>
      </w:r>
      <w:r>
        <w:rPr>
          <w:rFonts w:ascii="Times New Roman" w:cs="Times New Roman" w:eastAsia="Times New Roman" w:hAnsi="Times New Roman"/>
          <w:sz w:val="17"/>
          <w:szCs w:val="17"/>
          <w:b w:val="1"/>
          <w:bCs w:val="1"/>
          <w:color w:val="auto"/>
        </w:rPr>
        <w:t>Series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due June 15, 2031</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nnuity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orporation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nstitutionally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wned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eparate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ccount</w:t>
      </w:r>
      <w:r>
        <w:rPr>
          <w:rFonts w:ascii="Times New Roman" w:cs="Times New Roman" w:eastAsia="Times New Roman" w:hAnsi="Times New Roman"/>
          <w:sz w:val="18"/>
          <w:szCs w:val="18"/>
          <w:color w:val="auto"/>
        </w:rPr>
        <w:t xml:space="preserve"> (BOLI 30C)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NYL Investors LLC, its Investment Manager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Aron Davidowitz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Aron Davidowitz</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$600,000 of the 3.81% Senior Notes, </w:t>
      </w:r>
      <w:r>
        <w:rPr>
          <w:rFonts w:ascii="Times New Roman" w:cs="Times New Roman" w:eastAsia="Times New Roman" w:hAnsi="Times New Roman"/>
          <w:sz w:val="18"/>
          <w:szCs w:val="18"/>
          <w:b w:val="1"/>
          <w:bCs w:val="1"/>
          <w:color w:val="auto"/>
        </w:rPr>
        <w:t>Series 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due June 15, 2029</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$700,000 of the 3.91% Senior Notes, </w:t>
      </w:r>
      <w:r>
        <w:rPr>
          <w:rFonts w:ascii="Times New Roman" w:cs="Times New Roman" w:eastAsia="Times New Roman" w:hAnsi="Times New Roman"/>
          <w:sz w:val="18"/>
          <w:szCs w:val="18"/>
          <w:b w:val="1"/>
          <w:bCs w:val="1"/>
          <w:color w:val="auto"/>
        </w:rPr>
        <w:t>Series 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due June 15, 2031</w:t>
      </w: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[Second Amendment 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nnuity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orporation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nstitutionally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wned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eparate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ccount</w:t>
      </w:r>
      <w:r>
        <w:rPr>
          <w:rFonts w:ascii="Times New Roman" w:cs="Times New Roman" w:eastAsia="Times New Roman" w:hAnsi="Times New Roman"/>
          <w:sz w:val="18"/>
          <w:szCs w:val="18"/>
          <w:color w:val="auto"/>
        </w:rPr>
        <w:t xml:space="preserve"> (BOLI 3-2)</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NYL Investors LLC, its Investment Manager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Aron Davidowitz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Aron Davidowitz</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$200,000 of the 3.81% Senior Notes, </w:t>
      </w:r>
      <w:r>
        <w:rPr>
          <w:rFonts w:ascii="Times New Roman" w:cs="Times New Roman" w:eastAsia="Times New Roman" w:hAnsi="Times New Roman"/>
          <w:sz w:val="18"/>
          <w:szCs w:val="18"/>
          <w:b w:val="1"/>
          <w:bCs w:val="1"/>
          <w:color w:val="auto"/>
        </w:rPr>
        <w:t>Series 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due June 15, 2029</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$200,000 of the 3.91% Senior Notes, </w:t>
      </w:r>
      <w:r>
        <w:rPr>
          <w:rFonts w:ascii="Times New Roman" w:cs="Times New Roman" w:eastAsia="Times New Roman" w:hAnsi="Times New Roman"/>
          <w:sz w:val="18"/>
          <w:szCs w:val="18"/>
          <w:b w:val="1"/>
          <w:bCs w:val="1"/>
          <w:color w:val="auto"/>
        </w:rPr>
        <w:t>Series 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due June 15, 2031</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nnuity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orporation</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nstitutionally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wned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eparate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ccount</w:t>
      </w:r>
      <w:r>
        <w:rPr>
          <w:rFonts w:ascii="Times New Roman" w:cs="Times New Roman" w:eastAsia="Times New Roman" w:hAnsi="Times New Roman"/>
          <w:sz w:val="18"/>
          <w:szCs w:val="18"/>
          <w:color w:val="auto"/>
        </w:rPr>
        <w:t xml:space="preserve"> (BOLI3)</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NYL Investors LLC, its Investment Manager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Aron Davidowitz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Aron Davidowitz</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$200,000 of the 3.81% Senior Notes, </w:t>
      </w:r>
      <w:r>
        <w:rPr>
          <w:rFonts w:ascii="Times New Roman" w:cs="Times New Roman" w:eastAsia="Times New Roman" w:hAnsi="Times New Roman"/>
          <w:sz w:val="18"/>
          <w:szCs w:val="18"/>
          <w:b w:val="1"/>
          <w:bCs w:val="1"/>
          <w:color w:val="auto"/>
        </w:rPr>
        <w:t>Series 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due June 15, 2029</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$200,000 of the 3.91% Senior Notes, </w:t>
      </w:r>
      <w:r>
        <w:rPr>
          <w:rFonts w:ascii="Times New Roman" w:cs="Times New Roman" w:eastAsia="Times New Roman" w:hAnsi="Times New Roman"/>
          <w:sz w:val="18"/>
          <w:szCs w:val="18"/>
          <w:b w:val="1"/>
          <w:bCs w:val="1"/>
          <w:color w:val="auto"/>
        </w:rPr>
        <w:t>Series 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due June 15, 2031</w:t>
      </w: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[Second Amendment 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THE BANK OF NEW YORK MELLON, A BANKING CORPORATION</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ORGANIZED UNDER THE LAWS OF NEW YORK, NOT IN ITS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INDIVIDUAL CAPACITY BUT SOLELY AS TRUSTEE UNDER THAT</w:t>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CERTAIN  TRUST  AGREEMENT  DATED  AS  OF  JULY  1ST,  2015</w:t>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BETWEEN NEW YORK LIFE INSURANCE COMPANY, AS GRANTOR,</w:t>
      </w:r>
    </w:p>
    <w:p>
      <w:pPr>
        <w:spacing w:after="0" w:line="21" w:lineRule="exact"/>
        <w:rPr>
          <w:sz w:val="20"/>
          <w:szCs w:val="20"/>
          <w:color w:val="auto"/>
        </w:rPr>
      </w:pPr>
    </w:p>
    <w:p>
      <w:pPr>
        <w:ind w:left="5680"/>
        <w:spacing w:after="0"/>
        <w:tabs>
          <w:tab w:leader="none" w:pos="6280" w:val="left"/>
          <w:tab w:leader="none" w:pos="7340" w:val="left"/>
          <w:tab w:leader="none" w:pos="7900" w:val="left"/>
          <w:tab w:leader="none" w:pos="9100" w:val="left"/>
          <w:tab w:leader="none" w:pos="10160" w:val="left"/>
          <w:tab w:leader="none" w:pos="10980" w:val="left"/>
        </w:tabs>
        <w:rPr>
          <w:sz w:val="20"/>
          <w:szCs w:val="20"/>
          <w:color w:val="auto"/>
        </w:rPr>
      </w:pPr>
      <w:r>
        <w:rPr>
          <w:rFonts w:ascii="Times New Roman" w:cs="Times New Roman" w:eastAsia="Times New Roman" w:hAnsi="Times New Roman"/>
          <w:sz w:val="18"/>
          <w:szCs w:val="18"/>
          <w:color w:val="auto"/>
        </w:rPr>
        <w:t>JOHN</w:t>
        <w:tab/>
        <w:t>HANCOCK</w:t>
        <w:tab/>
        <w:t>LIFE</w:t>
        <w:tab/>
        <w:t>INSURANCE</w:t>
        <w:tab/>
        <w:t>COMPANY</w:t>
        <w:tab/>
        <w:t>(U.S.A.),</w:t>
        <w:tab/>
        <w:t>AS</w:t>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BENEFICIARY, JOHN HANCOCK LIFE INSURANCE COMPANY OF</w:t>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NEW YORK, AS BENEFICIARY, AND THE BANK OF NEW YORK</w:t>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MELLON, AS TRUSTEE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New York Life Insurance Company, its attorney-in-fact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Aron Davidowitz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Aron Davidowitz</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Corporate Vice President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We acknowledge that we hold $1,700,000 of the 3.81% Senior Notes, </w:t>
      </w:r>
      <w:r>
        <w:rPr>
          <w:rFonts w:ascii="Times New Roman" w:cs="Times New Roman" w:eastAsia="Times New Roman" w:hAnsi="Times New Roman"/>
          <w:sz w:val="18"/>
          <w:szCs w:val="18"/>
          <w:b w:val="1"/>
          <w:bCs w:val="1"/>
          <w:color w:val="auto"/>
        </w:rPr>
        <w:t>Series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due June 15, 2029</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We acknowledge that we hold $1,800,000 of the 3.91% Senior Notes, </w:t>
      </w:r>
      <w:r>
        <w:rPr>
          <w:rFonts w:ascii="Times New Roman" w:cs="Times New Roman" w:eastAsia="Times New Roman" w:hAnsi="Times New Roman"/>
          <w:sz w:val="18"/>
          <w:szCs w:val="18"/>
          <w:b w:val="1"/>
          <w:bCs w:val="1"/>
          <w:color w:val="auto"/>
        </w:rPr>
        <w:t>Series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due June 15, 2031</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omp</w:t>
      </w: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ource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utual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NYL Investors LLC, its Investment Manager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Aron Davidowitz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Aron Davidowitz</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 xml:space="preserve">We acknowledge that we hold $400,000 of the 3.91% Senior Notes, </w:t>
      </w:r>
      <w:r>
        <w:rPr>
          <w:rFonts w:ascii="Times New Roman" w:cs="Times New Roman" w:eastAsia="Times New Roman" w:hAnsi="Times New Roman"/>
          <w:sz w:val="17"/>
          <w:szCs w:val="17"/>
          <w:b w:val="1"/>
          <w:bCs w:val="1"/>
          <w:color w:val="auto"/>
        </w:rPr>
        <w:t>Series B</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due June 15, 2031</w:t>
      </w:r>
    </w:p>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[Second Amendment 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rudential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 of</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merica</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Anna Sabiston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 xml:space="preserve">We acknowledge that we hold $11,500,000 of the 3.81% Senior Notes, </w:t>
      </w:r>
      <w:r>
        <w:rPr>
          <w:rFonts w:ascii="Times New Roman" w:cs="Times New Roman" w:eastAsia="Times New Roman" w:hAnsi="Times New Roman"/>
          <w:sz w:val="17"/>
          <w:szCs w:val="17"/>
          <w:b w:val="1"/>
          <w:bCs w:val="1"/>
          <w:color w:val="auto"/>
        </w:rPr>
        <w:t>Series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due June 15, 2029</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$3,970,000 of the 3.91% Senior Notes, </w:t>
      </w:r>
      <w:r>
        <w:rPr>
          <w:rFonts w:ascii="Times New Roman" w:cs="Times New Roman" w:eastAsia="Times New Roman" w:hAnsi="Times New Roman"/>
          <w:sz w:val="18"/>
          <w:szCs w:val="18"/>
          <w:b w:val="1"/>
          <w:bCs w:val="1"/>
          <w:color w:val="auto"/>
        </w:rPr>
        <w:t>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due June 15, 2031</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ibraltar</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L</w:t>
      </w:r>
      <w:r>
        <w:rPr>
          <w:rFonts w:ascii="Times New Roman" w:cs="Times New Roman" w:eastAsia="Times New Roman" w:hAnsi="Times New Roman"/>
          <w:sz w:val="12"/>
          <w:szCs w:val="12"/>
          <w:color w:val="auto"/>
        </w:rPr>
        <w:t>td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Prudential Investment Management Japan Co., Ltd. (as Investment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PGIM, Inc. (as Sub-Adviser)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Anna Sabiston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$9,500,000 of the 3.81% Senior Notes, </w:t>
      </w:r>
      <w:r>
        <w:rPr>
          <w:rFonts w:ascii="Times New Roman" w:cs="Times New Roman" w:eastAsia="Times New Roman" w:hAnsi="Times New Roman"/>
          <w:sz w:val="18"/>
          <w:szCs w:val="18"/>
          <w:b w:val="1"/>
          <w:bCs w:val="1"/>
          <w:color w:val="auto"/>
        </w:rPr>
        <w:t>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due June 15, 2029</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 xml:space="preserve">We acknowledge that we hold $10,500,000 of the 3.91% Senior Notes, </w:t>
      </w:r>
      <w:r>
        <w:rPr>
          <w:rFonts w:ascii="Times New Roman" w:cs="Times New Roman" w:eastAsia="Times New Roman" w:hAnsi="Times New Roman"/>
          <w:sz w:val="17"/>
          <w:szCs w:val="17"/>
          <w:b w:val="1"/>
          <w:bCs w:val="1"/>
          <w:color w:val="auto"/>
        </w:rPr>
        <w:t>Series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due June 15, 2031</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ensionskasse des</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undes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ublica</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Pricoa Capital Group Limited (as Investment Manager)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Director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$7,530,000 of the 3.91% Senior Notes, </w:t>
      </w:r>
      <w:r>
        <w:rPr>
          <w:rFonts w:ascii="Times New Roman" w:cs="Times New Roman" w:eastAsia="Times New Roman" w:hAnsi="Times New Roman"/>
          <w:sz w:val="18"/>
          <w:szCs w:val="18"/>
          <w:b w:val="1"/>
          <w:bCs w:val="1"/>
          <w:color w:val="auto"/>
        </w:rPr>
        <w:t>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due June 15, 2031</w:t>
      </w: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[Second Amendment 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tate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arm</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Jeffrey Attwood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Jeffrey Attwood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Investment Professional</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Michelle K. Marsh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Michelle K. Marsh</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Investment Professional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 xml:space="preserve">We acknowledge that we hold $26,000,000 of the 3.81% Senior Notes, </w:t>
      </w:r>
      <w:r>
        <w:rPr>
          <w:rFonts w:ascii="Times New Roman" w:cs="Times New Roman" w:eastAsia="Times New Roman" w:hAnsi="Times New Roman"/>
          <w:sz w:val="17"/>
          <w:szCs w:val="17"/>
          <w:b w:val="1"/>
          <w:bCs w:val="1"/>
          <w:color w:val="auto"/>
        </w:rPr>
        <w:t>Series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due June 15, 2029</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 xml:space="preserve">We acknowledge that we hold $13,000,000 of the 3.91% Senior Notes, </w:t>
      </w:r>
      <w:r>
        <w:rPr>
          <w:rFonts w:ascii="Times New Roman" w:cs="Times New Roman" w:eastAsia="Times New Roman" w:hAnsi="Times New Roman"/>
          <w:sz w:val="17"/>
          <w:szCs w:val="17"/>
          <w:b w:val="1"/>
          <w:bCs w:val="1"/>
          <w:color w:val="auto"/>
        </w:rPr>
        <w:t>Series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due June 15, 2031</w:t>
      </w: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[Second Amendment 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2"/>
          <w:szCs w:val="12"/>
          <w:color w:val="auto"/>
        </w:rPr>
        <w:t>nited of</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maha</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Justin P. Kavan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Justin P. Kavan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Head of Private Placements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$5,000,000 of the 3.81% Senior Notes, </w:t>
      </w:r>
      <w:r>
        <w:rPr>
          <w:rFonts w:ascii="Times New Roman" w:cs="Times New Roman" w:eastAsia="Times New Roman" w:hAnsi="Times New Roman"/>
          <w:sz w:val="18"/>
          <w:szCs w:val="18"/>
          <w:b w:val="1"/>
          <w:bCs w:val="1"/>
          <w:color w:val="auto"/>
        </w:rPr>
        <w:t>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due June 15, 2029</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utual of</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maha</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Justin P. Kavan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Justin P. Kavan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Head of Private Placements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$6,000,000 of the 3.91% Senior Notes, </w:t>
      </w:r>
      <w:r>
        <w:rPr>
          <w:rFonts w:ascii="Times New Roman" w:cs="Times New Roman" w:eastAsia="Times New Roman" w:hAnsi="Times New Roman"/>
          <w:sz w:val="18"/>
          <w:szCs w:val="18"/>
          <w:b w:val="1"/>
          <w:bCs w:val="1"/>
          <w:color w:val="auto"/>
        </w:rPr>
        <w:t>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due June 15, 2031</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ompanion</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Justin P. Kavan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Justin P. Kavan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Head of Private Placements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$4,000,000 of the 3.91% Senior Notes, </w:t>
      </w:r>
      <w:r>
        <w:rPr>
          <w:rFonts w:ascii="Times New Roman" w:cs="Times New Roman" w:eastAsia="Times New Roman" w:hAnsi="Times New Roman"/>
          <w:sz w:val="18"/>
          <w:szCs w:val="18"/>
          <w:b w:val="1"/>
          <w:bCs w:val="1"/>
          <w:color w:val="auto"/>
        </w:rPr>
        <w:t>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due June 15, 2031</w:t>
      </w: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[Second Amendment 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merican</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2"/>
          <w:szCs w:val="12"/>
          <w:color w:val="auto"/>
        </w:rPr>
        <w:t>nited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Bullock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Michael Bullock</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VP, Private Placements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$1,000,000 of the 3.81% Senior Notes, </w:t>
      </w:r>
      <w:r>
        <w:rPr>
          <w:rFonts w:ascii="Times New Roman" w:cs="Times New Roman" w:eastAsia="Times New Roman" w:hAnsi="Times New Roman"/>
          <w:sz w:val="18"/>
          <w:szCs w:val="18"/>
          <w:b w:val="1"/>
          <w:bCs w:val="1"/>
          <w:color w:val="auto"/>
        </w:rPr>
        <w:t>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due June 15, 2029</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$3,000,000 of the 3.91% Senior Notes, </w:t>
      </w:r>
      <w:r>
        <w:rPr>
          <w:rFonts w:ascii="Times New Roman" w:cs="Times New Roman" w:eastAsia="Times New Roman" w:hAnsi="Times New Roman"/>
          <w:sz w:val="18"/>
          <w:szCs w:val="18"/>
          <w:b w:val="1"/>
          <w:bCs w:val="1"/>
          <w:color w:val="auto"/>
        </w:rPr>
        <w:t>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due June 15, 2031</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tate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nsurance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American United Life Insurance Company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Its:Agent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Bullock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Michael Bullock</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VP, Private Placements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$2,000,000 of the 3.81% Senior Notes, </w:t>
      </w:r>
      <w:r>
        <w:rPr>
          <w:rFonts w:ascii="Times New Roman" w:cs="Times New Roman" w:eastAsia="Times New Roman" w:hAnsi="Times New Roman"/>
          <w:sz w:val="18"/>
          <w:szCs w:val="18"/>
          <w:b w:val="1"/>
          <w:bCs w:val="1"/>
          <w:color w:val="auto"/>
        </w:rPr>
        <w:t>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due June 15, 2029</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We acknowledge that we hold $4,000,000 of the 3.91% Senior Notes, </w:t>
      </w:r>
      <w:r>
        <w:rPr>
          <w:rFonts w:ascii="Times New Roman" w:cs="Times New Roman" w:eastAsia="Times New Roman" w:hAnsi="Times New Roman"/>
          <w:sz w:val="18"/>
          <w:szCs w:val="18"/>
          <w:b w:val="1"/>
          <w:bCs w:val="1"/>
          <w:color w:val="auto"/>
        </w:rPr>
        <w:t>Series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due June 15, 2031</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[Second Amendment 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1)"/>
      <w:numFmt w:val="lowerLetter"/>
      <w:start w:val="4"/>
    </w:lvl>
  </w:abstractNum>
  <w:abstractNum w:abstractNumId="2">
    <w:nsid w:val="579478FE"/>
    <w:multiLevelType w:val="hybridMultilevel"/>
    <w:lvl w:ilvl="0">
      <w:lvlJc w:val="left"/>
      <w:lvlText w:val="%1"/>
      <w:numFmt w:val="lowerLetter"/>
      <w:start w:val="1"/>
    </w:lvl>
    <w:lvl w:ilvl="1">
      <w:lvlJc w:val="left"/>
      <w:lvlText w:val="(%2)"/>
      <w:numFmt w:val="lowerLetter"/>
      <w:start w:val="2"/>
    </w:lvl>
  </w:abstractNum>
  <w:abstractNum w:abstractNumId="3">
    <w:nsid w:val="749ABB43"/>
    <w:multiLevelType w:val="hybridMultilevel"/>
    <w:lvl w:ilvl="0">
      <w:lvlJc w:val="left"/>
      <w:lvlText w:val="(%1)"/>
      <w:numFmt w:val="lowerLetter"/>
      <w:start w:val="3"/>
    </w:lvl>
    <w:lvl w:ilvl="1">
      <w:lvlJc w:val="left"/>
      <w:lvlText w:val="%2"/>
      <w:numFmt w:val="lowerLetter"/>
      <w:start w:val="1"/>
    </w:lvl>
  </w:abstractNum>
  <w:abstractNum w:abstractNumId="4">
    <w:nsid w:val="3DC240FB"/>
    <w:multiLevelType w:val="hybridMultilevel"/>
    <w:lvl w:ilvl="0">
      <w:lvlJc w:val="left"/>
      <w:lvlText w:val="(%1)"/>
      <w:numFmt w:val="lowerLetter"/>
      <w:start w:val="1"/>
    </w:lvl>
    <w:lvl w:ilvl="1">
      <w:lvlJc w:val="left"/>
      <w:lvlText w:val="(%2)"/>
      <w:numFmt w:val="lowerLetter"/>
      <w:start w:val="2"/>
    </w:lvl>
  </w:abstractNum>
  <w:abstractNum w:abstractNumId="5">
    <w:nsid w:val="1BA026FA"/>
    <w:multiLevelType w:val="hybridMultilevel"/>
    <w:lvl w:ilvl="0">
      <w:lvlJc w:val="left"/>
      <w:lvlText w:val="(%1)"/>
      <w:numFmt w:val="lowerLetter"/>
      <w:start w:val="2"/>
    </w:lvl>
  </w:abstractNum>
  <w:abstractNum w:abstractNumId="6">
    <w:nsid w:val="79A1DEAA"/>
    <w:multiLevelType w:val="hybridMultilevel"/>
    <w:lvl w:ilvl="0">
      <w:lvlJc w:val="left"/>
      <w:lvlText w:val="(%1)"/>
      <w:numFmt w:val="decimal"/>
      <w:start w:val="5"/>
    </w:lvl>
  </w:abstractNum>
  <w:abstractNum w:abstractNumId="7">
    <w:nsid w:val="75C6C33A"/>
    <w:multiLevelType w:val="hybridMultilevel"/>
    <w:lvl w:ilvl="0">
      <w:lvlJc w:val="left"/>
      <w:lvlText w:val="(%1)"/>
      <w:numFmt w:val="lowerLetter"/>
      <w:start w:val="2"/>
    </w:lvl>
    <w:lvl w:ilvl="1">
      <w:lvlJc w:val="left"/>
      <w:lvlText w:val="(%2)"/>
      <w:numFmt w:val="lowerLetter"/>
      <w:start w:val="4"/>
    </w:lvl>
  </w:abstractNum>
  <w:abstractNum w:abstractNumId="8">
    <w:nsid w:val="12E685FB"/>
    <w:multiLevelType w:val="hybridMultilevel"/>
    <w:lvl w:ilvl="0">
      <w:lvlJc w:val="left"/>
      <w:lvlText w:val="(%1)"/>
      <w:numFmt w:val="lowerLetter"/>
      <w:start w:val="2"/>
    </w:lvl>
  </w:abstractNum>
  <w:abstractNum w:abstractNumId="9">
    <w:nsid w:val="70C6A529"/>
    <w:multiLevelType w:val="hybridMultilevel"/>
    <w:lvl w:ilvl="0">
      <w:lvlJc w:val="left"/>
      <w:lvlText w:val="%1"/>
      <w:numFmt w:val="lowerLetter"/>
      <w:start w:val="1"/>
    </w:lvl>
    <w:lvl w:ilvl="1">
      <w:lvlJc w:val="left"/>
      <w:lvlText w:val="(%2)"/>
      <w:numFmt w:val="lowerLetter"/>
      <w:start w:val="2"/>
    </w:lvl>
  </w:abstractNum>
  <w:abstractNum w:abstractNumId="10">
    <w:nsid w:val="520EEDD1"/>
    <w:multiLevelType w:val="hybridMultilevel"/>
    <w:lvl w:ilvl="0">
      <w:lvlJc w:val="left"/>
      <w:lvlText w:val="(%1)"/>
      <w:numFmt w:val="lowerLetter"/>
      <w:start w:val="3"/>
    </w:lvl>
    <w:lvl w:ilvl="1">
      <w:lvlJc w:val="left"/>
      <w:lvlText w:val="%2"/>
      <w:numFmt w:val="lowerLetter"/>
      <w:start w:val="1"/>
    </w:lvl>
  </w:abstractNum>
  <w:abstractNum w:abstractNumId="11">
    <w:nsid w:val="374A3FE6"/>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4"/>
    </w:lvl>
    <w:lvl w:ilvl="3">
      <w:lvlJc w:val="left"/>
      <w:lvlText w:val="(%4)"/>
      <w:numFmt w:val="lowerLetter"/>
      <w:start w:val="4"/>
    </w:lvl>
  </w:abstractNum>
  <w:abstractNum w:abstractNumId="12">
    <w:nsid w:val="4F4EF005"/>
    <w:multiLevelType w:val="hybridMultilevel"/>
    <w:lvl w:ilvl="0">
      <w:lvlJc w:val="left"/>
      <w:lvlText w:val="(%1)"/>
      <w:numFmt w:val="lowerLetter"/>
      <w:start w:val="2"/>
    </w:lvl>
  </w:abstractNum>
  <w:abstractNum w:abstractNumId="13">
    <w:nsid w:val="23F9C13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lowerLetter"/>
      <w:start w:val="1"/>
    </w:lvl>
    <w:lvl w:ilvl="5">
      <w:lvlJc w:val="left"/>
      <w:lvlText w:val="%6"/>
      <w:numFmt w:val="lowerRoman"/>
      <w:start w:val="1"/>
    </w:lvl>
    <w:lvl w:ilvl="6">
      <w:lvlJc w:val="left"/>
      <w:lvlText w:val="%7"/>
      <w:numFmt w:val="lowerLetter"/>
      <w:start w:val="1"/>
    </w:lvl>
  </w:abstractNum>
  <w:abstractNum w:abstractNumId="14">
    <w:nsid w:val="649BB77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
    </w:lvl>
    <w:lvl w:ilvl="3">
      <w:lvlJc w:val="left"/>
      <w:lvlText w:val="%4"/>
      <w:numFmt w:val="lowerLetter"/>
      <w:start w:val="1"/>
    </w:lvl>
    <w:lvl w:ilvl="4">
      <w:lvlJc w:val="left"/>
      <w:lvlText w:val="(%5)"/>
      <w:numFmt w:val="lowerLetter"/>
      <w:start w:val="9"/>
    </w:lvl>
    <w:lvl w:ilvl="5">
      <w:lvlJc w:val="left"/>
      <w:lvlText w:val="%6"/>
      <w:numFmt w:val="lowerRoman"/>
      <w:start w:val="1"/>
    </w:lvl>
    <w:lvl w:ilvl="6">
      <w:lvlJc w:val="left"/>
      <w:lvlText w:val="%7"/>
      <w:numFmt w:val="lowerLetter"/>
      <w:start w:val="1"/>
    </w:lvl>
  </w:abstractNum>
  <w:abstractNum w:abstractNumId="15">
    <w:nsid w:val="275AC794"/>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Roman"/>
      <w:start w:val="2"/>
    </w:lvl>
    <w:lvl w:ilvl="6">
      <w:lvlJc w:val="left"/>
      <w:lvlText w:val="(%7)"/>
      <w:numFmt w:val="lowerLetter"/>
      <w:start w:val="61"/>
    </w:lvl>
  </w:abstractNum>
  <w:abstractNum w:abstractNumId="16">
    <w:nsid w:val="3938657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7">
    <w:nsid w:val="1CF10FD8"/>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18">
    <w:nsid w:val="180115BE"/>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Letter"/>
      <w:start w:val="5"/>
    </w:lvl>
    <w:lvl w:ilvl="4">
      <w:lvlJc w:val="left"/>
      <w:lvlText w:val="%5"/>
      <w:numFmt w:val="lowerLetter"/>
      <w:start w:val="1"/>
    </w:lvl>
  </w:abstractNum>
  <w:abstractNum w:abstractNumId="19">
    <w:nsid w:val="235BA861"/>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6"/>
    </w:lvl>
    <w:lvl w:ilvl="3">
      <w:lvlJc w:val="left"/>
      <w:lvlText w:val="%4"/>
      <w:numFmt w:val="lowerLetter"/>
      <w:start w:val="1"/>
    </w:lvl>
    <w:lvl w:ilvl="4">
      <w:lvlJc w:val="left"/>
      <w:lvlText w:val="(%5)"/>
      <w:numFmt w:val="lowerLetter"/>
      <w:start w:val="7"/>
    </w:lvl>
  </w:abstractNum>
  <w:abstractNum w:abstractNumId="20">
    <w:nsid w:val="47398C89"/>
    <w:multiLevelType w:val="hybridMultilevel"/>
    <w:lvl w:ilvl="0">
      <w:lvlJc w:val="left"/>
      <w:lvlText w:val="(%1)"/>
      <w:numFmt w:val="lowerLetter"/>
      <w:start w:val="8"/>
    </w:lvl>
  </w:abstractNum>
  <w:abstractNum w:abstractNumId="21">
    <w:nsid w:val="354FE9F9"/>
    <w:multiLevelType w:val="hybridMultilevel"/>
    <w:lvl w:ilvl="0">
      <w:lvlJc w:val="left"/>
      <w:lvlText w:val="(%1)"/>
      <w:numFmt w:val="lowerLetter"/>
      <w:start w:val="1"/>
    </w:lvl>
    <w:lvl w:ilvl="1">
      <w:lvlJc w:val="left"/>
      <w:lvlText w:val="(%2)"/>
      <w:numFmt w:val="lowerRoman"/>
      <w:start w:val="1"/>
    </w:lvl>
  </w:abstractNum>
  <w:abstractNum w:abstractNumId="22">
    <w:nsid w:val="15B5AF5C"/>
    <w:multiLevelType w:val="hybridMultilevel"/>
    <w:lvl w:ilvl="0">
      <w:lvlJc w:val="left"/>
      <w:lvlText w:val="(%1)"/>
      <w:numFmt w:val="lowerLetter"/>
      <w:start w:val="2"/>
    </w:lvl>
    <w:lvl w:ilvl="1">
      <w:lvlJc w:val="left"/>
      <w:lvlText w:val="(%2)"/>
      <w:numFmt w:val="lowerLetter"/>
      <w:start w:val="9"/>
    </w:lvl>
  </w:abstractNum>
  <w:abstractNum w:abstractNumId="23">
    <w:nsid w:val="741226BB"/>
    <w:multiLevelType w:val="hybridMultilevel"/>
    <w:lvl w:ilvl="0">
      <w:lvlJc w:val="left"/>
      <w:lvlText w:val="(%1)"/>
      <w:numFmt w:val="lowerRoman"/>
      <w:start w:val="2"/>
    </w:lvl>
  </w:abstractNum>
  <w:abstractNum w:abstractNumId="24">
    <w:nsid w:val="D34B6A8"/>
    <w:multiLevelType w:val="hybridMultilevel"/>
    <w:lvl w:ilvl="0">
      <w:lvlJc w:val="left"/>
      <w:lvlText w:val="(%1)"/>
      <w:numFmt w:val="lowerLetter"/>
      <w:start w:val="3"/>
    </w:lvl>
    <w:lvl w:ilvl="1">
      <w:lvlJc w:val="left"/>
      <w:lvlText w:val="(%2)"/>
      <w:numFmt w:val="lowerLetter"/>
      <w:start w:val="9"/>
    </w:lvl>
  </w:abstractNum>
  <w:abstractNum w:abstractNumId="25">
    <w:nsid w:val="10233C9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lowerRoman"/>
      <w:start w:val="3"/>
    </w:lvl>
  </w:abstractNum>
  <w:abstractNum w:abstractNumId="26">
    <w:nsid w:val="3F6AB60F"/>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lvl w:ilvl="3">
      <w:lvlJc w:val="left"/>
      <w:lvlText w:val="%4"/>
      <w:numFmt w:val="lowerRoman"/>
      <w:start w:val="1"/>
    </w:lvl>
  </w:abstractNum>
  <w:abstractNum w:abstractNumId="27">
    <w:nsid w:val="61574095"/>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28">
    <w:nsid w:val="7E0C57B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9">
    <w:nsid w:val="77AE35EB"/>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
    </w:lvl>
  </w:abstractNum>
  <w:abstractNum w:abstractNumId="30">
    <w:nsid w:val="579BE4F1"/>
    <w:multiLevelType w:val="hybridMultilevel"/>
    <w:lvl w:ilvl="0">
      <w:lvlJc w:val="left"/>
      <w:lvlText w:val="%1"/>
      <w:numFmt w:val="lowerLetter"/>
      <w:start w:val="1"/>
    </w:lvl>
    <w:lvl w:ilvl="1">
      <w:lvlJc w:val="left"/>
      <w:lvlText w:val="(%2)"/>
      <w:numFmt w:val="lowerLetter"/>
      <w:start w:val="1"/>
    </w:lvl>
  </w:abstractNum>
  <w:abstractNum w:abstractNumId="31">
    <w:nsid w:val="310C50B3"/>
    <w:multiLevelType w:val="hybridMultilevel"/>
    <w:lvl w:ilvl="0">
      <w:lvlJc w:val="left"/>
      <w:lvlText w:val="(%1)"/>
      <w:numFmt w:val="lowerLetter"/>
      <w:start w:val="2"/>
    </w:lvl>
    <w:lvl w:ilvl="1">
      <w:lvlJc w:val="left"/>
      <w:lvlText w:val="%2"/>
      <w:numFmt w:val="lowerLetter"/>
      <w:start w:val="1"/>
    </w:lvl>
  </w:abstractNum>
  <w:abstractNum w:abstractNumId="32">
    <w:nsid w:val="5FF87E0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33">
    <w:nsid w:val="2F305DEF"/>
    <w:multiLevelType w:val="hybridMultilevel"/>
    <w:lvl w:ilvl="0">
      <w:lvlJc w:val="left"/>
      <w:lvlText w:val="(%1)"/>
      <w:numFmt w:val="lowerLetter"/>
      <w:start w:val="2"/>
    </w:lvl>
  </w:abstractNum>
  <w:abstractNum w:abstractNumId="34">
    <w:nsid w:val="25A70BF7"/>
    <w:multiLevelType w:val="hybridMultilevel"/>
    <w:lvl w:ilvl="0">
      <w:lvlJc w:val="left"/>
      <w:lvlText w:val="(%1)"/>
      <w:numFmt w:val="lowerRoman"/>
      <w:start w:val="2"/>
    </w:lvl>
  </w:abstractNum>
  <w:abstractNum w:abstractNumId="35">
    <w:nsid w:val="1DBABF00"/>
    <w:multiLevelType w:val="hybridMultilevel"/>
    <w:lvl w:ilvl="0">
      <w:lvlJc w:val="left"/>
      <w:lvlText w:val="(%1)"/>
      <w:numFmt w:val="lowerLetter"/>
      <w:start w:val="2"/>
    </w:lvl>
    <w:lvl w:ilvl="1">
      <w:lvlJc w:val="left"/>
      <w:lvlText w:val="(%2)"/>
      <w:numFmt w:val="lowerLetter"/>
      <w:start w:val="4"/>
    </w:lvl>
  </w:abstractNum>
  <w:abstractNum w:abstractNumId="36">
    <w:nsid w:val="4AD084E9"/>
    <w:multiLevelType w:val="hybridMultilevel"/>
    <w:lvl w:ilvl="0">
      <w:lvlJc w:val="left"/>
      <w:lvlText w:val="(%1)"/>
      <w:numFmt w:val="lowerLetter"/>
      <w:start w:val="5"/>
    </w:lvl>
  </w:abstractNum>
  <w:abstractNum w:abstractNumId="37">
    <w:nsid w:val="1F48EAA1"/>
    <w:multiLevelType w:val="hybridMultilevel"/>
    <w:lvl w:ilvl="0">
      <w:lvlJc w:val="left"/>
      <w:lvlText w:val="(%1)"/>
      <w:numFmt w:val="lowerRoman"/>
      <w:start w:val="1"/>
    </w:lvl>
  </w:abstractNum>
  <w:abstractNum w:abstractNumId="38">
    <w:nsid w:val="1381823A"/>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2"/>
    </w:lvl>
    <w:lvl w:ilvl="3">
      <w:lvlJc w:val="left"/>
      <w:lvlText w:val="(%4)"/>
      <w:numFmt w:val="upperLetter"/>
      <w:start w:val="2"/>
    </w:lvl>
  </w:abstractNum>
  <w:abstractNum w:abstractNumId="39">
    <w:nsid w:val="5DB70AE5"/>
    <w:multiLevelType w:val="hybridMultilevel"/>
    <w:lvl w:ilvl="0">
      <w:lvlJc w:val="left"/>
      <w:lvlText w:val="(%1)"/>
      <w:numFmt w:val="lowerLetter"/>
      <w:start w:val="2"/>
    </w:lvl>
  </w:abstractNum>
  <w:abstractNum w:abstractNumId="40">
    <w:nsid w:val="100F8FCA"/>
    <w:multiLevelType w:val="hybridMultilevel"/>
    <w:lvl w:ilvl="0">
      <w:lvlJc w:val="left"/>
      <w:lvlText w:val="(%1)"/>
      <w:numFmt w:val="lowerLetter"/>
      <w:start w:val="1"/>
    </w:lvl>
  </w:abstractNum>
  <w:abstractNum w:abstractNumId="41">
    <w:nsid w:val="6590700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42">
    <w:nsid w:val="15014ACB"/>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1"/>
    </w:lvl>
    <w:lvl w:ilvl="3">
      <w:lvlJc w:val="left"/>
      <w:lvlText w:val="(%4)"/>
      <w:numFmt w:val="lowerLetter"/>
      <w:start w:val="4"/>
    </w:lvl>
  </w:abstractNum>
  <w:abstractNum w:abstractNumId="43">
    <w:nsid w:val="5F5E7FD0"/>
    <w:multiLevelType w:val="hybridMultilevel"/>
    <w:lvl w:ilvl="0">
      <w:lvlJc w:val="left"/>
      <w:lvlText w:val="%1"/>
      <w:numFmt w:val="decimal"/>
      <w:start w:val="1"/>
    </w:lvl>
    <w:lvl w:ilvl="1">
      <w:lvlJc w:val="left"/>
      <w:lvlText w:val="(%2)"/>
      <w:numFmt w:val="decimal"/>
      <w:start w:val="1"/>
    </w:lvl>
  </w:abstractNum>
  <w:abstractNum w:abstractNumId="44">
    <w:nsid w:val="98A3148"/>
    <w:multiLevelType w:val="hybridMultilevel"/>
    <w:lvl w:ilvl="0">
      <w:lvlJc w:val="left"/>
      <w:lvlText w:val="(%1)"/>
      <w:numFmt w:val="decimal"/>
      <w:start w:val="2"/>
    </w:lvl>
    <w:lvl w:ilvl="1">
      <w:lvlJc w:val="left"/>
      <w:lvlText w:val="%2"/>
      <w:numFmt w:val="decimal"/>
      <w:start w:val="1"/>
    </w:lvl>
  </w:abstractNum>
  <w:abstractNum w:abstractNumId="45">
    <w:nsid w:val="799D0247"/>
    <w:multiLevelType w:val="hybridMultilevel"/>
    <w:lvl w:ilvl="0">
      <w:lvlJc w:val="left"/>
      <w:lvlText w:val="%1"/>
      <w:numFmt w:val="lowerLetter"/>
      <w:start w:val="1"/>
    </w:lvl>
    <w:lvl w:ilvl="1">
      <w:lvlJc w:val="left"/>
      <w:lvlText w:val="(%2)"/>
      <w:numFmt w:val="lowerLetter"/>
      <w:start w:val="1"/>
    </w:lvl>
  </w:abstractNum>
  <w:abstractNum w:abstractNumId="46">
    <w:nsid w:val="6B94764"/>
    <w:multiLevelType w:val="hybridMultilevel"/>
    <w:lvl w:ilvl="0">
      <w:lvlJc w:val="left"/>
      <w:lvlText w:val="(%1)"/>
      <w:numFmt w:val="lowerLetter"/>
      <w:start w:val="2"/>
    </w:lvl>
    <w:lvl w:ilvl="1">
      <w:lvlJc w:val="left"/>
      <w:lvlText w:val="%2"/>
      <w:numFmt w:val="lowerLetter"/>
      <w:start w:val="1"/>
    </w:lvl>
  </w:abstractNum>
  <w:abstractNum w:abstractNumId="47">
    <w:nsid w:val="42C296BD"/>
    <w:multiLevelType w:val="hybridMultilevel"/>
    <w:lvl w:ilvl="0">
      <w:lvlJc w:val="left"/>
      <w:lvlText w:val="(%1)"/>
      <w:numFmt w:val="lowerLetter"/>
      <w:start w:val="4"/>
    </w:lvl>
  </w:abstractNum>
  <w:abstractNum w:abstractNumId="48">
    <w:nsid w:val="168E121F"/>
    <w:multiLevelType w:val="hybridMultilevel"/>
    <w:lvl w:ilvl="0">
      <w:lvlJc w:val="left"/>
      <w:lvlText w:val="(%1)"/>
      <w:numFmt w:val="lowerLetter"/>
      <w:start w:val="1"/>
    </w:lvl>
  </w:abstractNum>
  <w:abstractNum w:abstractNumId="49">
    <w:nsid w:val="1EBA5D23"/>
    <w:multiLevelType w:val="hybridMultilevel"/>
    <w:lvl w:ilvl="0">
      <w:lvlJc w:val="left"/>
      <w:lvlText w:val="(%1)"/>
      <w:numFmt w:val="lowerLetter"/>
      <w:start w:val="4"/>
    </w:lvl>
  </w:abstractNum>
  <w:abstractNum w:abstractNumId="50">
    <w:nsid w:val="661E3F1E"/>
    <w:multiLevelType w:val="hybridMultilevel"/>
    <w:lvl w:ilvl="0">
      <w:lvlJc w:val="left"/>
      <w:lvlText w:val="(%1)"/>
      <w:numFmt w:val="lowerLetter"/>
      <w:start w:val="2"/>
    </w:lvl>
  </w:abstractNum>
  <w:abstractNum w:abstractNumId="51">
    <w:nsid w:val="5DC79EA8"/>
    <w:multiLevelType w:val="hybridMultilevel"/>
    <w:lvl w:ilvl="0">
      <w:lvlJc w:val="left"/>
      <w:lvlText w:val="%1"/>
      <w:numFmt w:val="lowerLetter"/>
      <w:start w:val="1"/>
    </w:lvl>
    <w:lvl w:ilvl="1">
      <w:lvlJc w:val="left"/>
      <w:lvlText w:val="(%2)"/>
      <w:numFmt w:val="lowerLetter"/>
      <w:start w:val="1"/>
    </w:lvl>
  </w:abstractNum>
  <w:abstractNum w:abstractNumId="52">
    <w:nsid w:val="540A471C"/>
    <w:multiLevelType w:val="hybridMultilevel"/>
    <w:lvl w:ilvl="0">
      <w:lvlJc w:val="left"/>
      <w:lvlText w:val="(%1)"/>
      <w:numFmt w:val="lowerLetter"/>
      <w:start w:val="9"/>
    </w:lvl>
    <w:lvl w:ilvl="1">
      <w:lvlJc w:val="left"/>
      <w:lvlText w:val="(%2)"/>
      <w:numFmt w:val="lowerLetter"/>
      <w:start w:val="5"/>
    </w:lvl>
  </w:abstractNum>
  <w:abstractNum w:abstractNumId="53">
    <w:nsid w:val="7BD3EE7B"/>
    <w:multiLevelType w:val="hybridMultilevel"/>
    <w:lvl w:ilvl="0">
      <w:lvlJc w:val="left"/>
      <w:lvlText w:val="%1"/>
      <w:numFmt w:val="lowerLetter"/>
      <w:start w:val="1"/>
    </w:lvl>
    <w:lvl w:ilvl="1">
      <w:lvlJc w:val="left"/>
      <w:lvlText w:val="(%2)"/>
      <w:numFmt w:val="lowerLetter"/>
      <w:start w:val="6"/>
    </w:lvl>
  </w:abstractNum>
  <w:abstractNum w:abstractNumId="54">
    <w:nsid w:val="51D9C564"/>
    <w:multiLevelType w:val="hybridMultilevel"/>
    <w:lvl w:ilvl="0">
      <w:lvlJc w:val="left"/>
      <w:lvlText w:val="(%1)"/>
      <w:numFmt w:val="lowerLetter"/>
      <w:start w:val="24"/>
    </w:lvl>
    <w:lvl w:ilvl="1">
      <w:lvlJc w:val="left"/>
      <w:lvlText w:val="(%2)"/>
      <w:numFmt w:val="lowerLetter"/>
      <w:start w:val="7"/>
    </w:lvl>
  </w:abstractNum>
  <w:abstractNum w:abstractNumId="55">
    <w:nsid w:val="613EFDC5"/>
    <w:multiLevelType w:val="hybridMultilevel"/>
    <w:lvl w:ilvl="0">
      <w:lvlJc w:val="left"/>
      <w:lvlText w:val="(%1)"/>
      <w:numFmt w:val="lowerLetter"/>
      <w:start w:val="8"/>
    </w:lvl>
  </w:abstractNum>
  <w:abstractNum w:abstractNumId="56">
    <w:nsid w:val="BF72B14"/>
    <w:multiLevelType w:val="hybridMultilevel"/>
    <w:lvl w:ilvl="0">
      <w:lvlJc w:val="left"/>
      <w:lvlText w:val="%1"/>
      <w:numFmt w:val="decimal"/>
      <w:start w:val="1"/>
    </w:lvl>
    <w:lvl w:ilvl="1">
      <w:lvlJc w:val="left"/>
      <w:lvlText w:val="(%2)"/>
      <w:numFmt w:val="lowerLetter"/>
      <w:start w:val="12"/>
    </w:lvl>
  </w:abstractNum>
  <w:abstractNum w:abstractNumId="57">
    <w:nsid w:val="11447B73"/>
    <w:multiLevelType w:val="hybridMultilevel"/>
    <w:lvl w:ilvl="0">
      <w:lvlJc w:val="left"/>
      <w:lvlText w:val="(%1)"/>
      <w:numFmt w:val="decimal"/>
      <w:start w:val="18"/>
    </w:lvl>
    <w:lvl w:ilvl="1">
      <w:lvlJc w:val="left"/>
      <w:lvlText w:val="(%2)"/>
      <w:numFmt w:val="lowerLetter"/>
      <w:start w:val="13"/>
    </w:lvl>
  </w:abstractNum>
  <w:abstractNum w:abstractNumId="58">
    <w:nsid w:val="42963E5A"/>
    <w:multiLevelType w:val="hybridMultilevel"/>
    <w:lvl w:ilvl="0">
      <w:lvlJc w:val="left"/>
      <w:lvlText w:val="(%1)"/>
      <w:numFmt w:val="lowerLetter"/>
      <w:start w:val="2"/>
    </w:lvl>
    <w:lvl w:ilvl="1">
      <w:lvlJc w:val="left"/>
      <w:lvlText w:val="(%2)"/>
      <w:numFmt w:val="lowerLetter"/>
      <w:start w:val="3"/>
    </w:lvl>
  </w:abstractNum>
  <w:abstractNum w:abstractNumId="59">
    <w:nsid w:val="A0382C5"/>
    <w:multiLevelType w:val="hybridMultilevel"/>
    <w:lvl w:ilvl="0">
      <w:lvlJc w:val="left"/>
      <w:lvlText w:val="(%1)"/>
      <w:numFmt w:val="lowerLetter"/>
      <w:start w:val="1"/>
    </w:lvl>
  </w:abstractNum>
  <w:abstractNum w:abstractNumId="60">
    <w:nsid w:val="8F2B15E"/>
    <w:multiLevelType w:val="hybridMultilevel"/>
    <w:lvl w:ilvl="0">
      <w:lvlJc w:val="left"/>
      <w:lvlText w:val="(%1)"/>
      <w:numFmt w:val="lowerLetter"/>
      <w:start w:val="2"/>
    </w:lvl>
  </w:abstractNum>
  <w:abstractNum w:abstractNumId="61">
    <w:nsid w:val="1A32234B"/>
    <w:multiLevelType w:val="hybridMultilevel"/>
    <w:lvl w:ilvl="0">
      <w:lvlJc w:val="left"/>
      <w:lvlText w:val="(%1)"/>
      <w:numFmt w:val="lowerLetter"/>
      <w:start w:val="1"/>
    </w:lvl>
  </w:abstractNum>
  <w:abstractNum w:abstractNumId="62">
    <w:nsid w:val="3B0FD379"/>
    <w:multiLevelType w:val="hybridMultilevel"/>
    <w:lvl w:ilvl="0">
      <w:lvlJc w:val="left"/>
      <w:lvlText w:val="(%1)"/>
      <w:numFmt w:val="lowerLetter"/>
      <w:start w:val="2"/>
    </w:lvl>
  </w:abstractNum>
  <w:abstractNum w:abstractNumId="63">
    <w:nsid w:val="68EB2F6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64">
    <w:nsid w:val="4962813B"/>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65">
    <w:nsid w:val="60B6DF70"/>
    <w:multiLevelType w:val="hybridMultilevel"/>
    <w:lvl w:ilvl="0">
      <w:lvlJc w:val="left"/>
      <w:lvlText w:val="(%1)"/>
      <w:numFmt w:val="lowerRoman"/>
      <w:start w:val="1"/>
    </w:lvl>
  </w:abstractNum>
  <w:abstractNum w:abstractNumId="66">
    <w:nsid w:val="6A5EE64"/>
    <w:multiLevelType w:val="hybridMultilevel"/>
    <w:lvl w:ilvl="0">
      <w:lvlJc w:val="left"/>
      <w:lvlText w:val="(%1)"/>
      <w:numFmt w:val="lowerLetter"/>
      <w:start w:val="23"/>
    </w:lvl>
  </w:abstractNum>
  <w:abstractNum w:abstractNumId="67">
    <w:nsid w:val="1433062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68">
    <w:nsid w:val="7FFFCA11"/>
    <w:multiLevelType w:val="hybridMultilevel"/>
    <w:lvl w:ilvl="0">
      <w:lvlJc w:val="left"/>
      <w:lvlText w:val="(%1)"/>
      <w:numFmt w:val="lowerLetter"/>
      <w:start w:val="3"/>
    </w:lvl>
    <w:lvl w:ilvl="1">
      <w:lvlJc w:val="left"/>
      <w:lvlText w:val="(%2)"/>
      <w:numFmt w:val="lowerLetter"/>
      <w:start w:val="6"/>
    </w:lvl>
    <w:lvl w:ilvl="2">
      <w:lvlJc w:val="left"/>
      <w:lvlText w:val="%3"/>
      <w:numFmt w:val="lowerLetter"/>
      <w:start w:val="1"/>
    </w:lvl>
  </w:abstractNum>
  <w:abstractNum w:abstractNumId="69">
    <w:nsid w:val="1A27709E"/>
    <w:multiLevelType w:val="hybridMultilevel"/>
    <w:lvl w:ilvl="0">
      <w:lvlJc w:val="left"/>
      <w:lvlText w:val="(%1)"/>
      <w:numFmt w:val="lowerLetter"/>
      <w:start w:val="2"/>
    </w:lvl>
  </w:abstractNum>
  <w:abstractNum w:abstractNumId="70">
    <w:nsid w:val="71EA110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71">
    <w:nsid w:val="100F59DC"/>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72">
    <w:nsid w:val="7FB7E0AA"/>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73">
    <w:nsid w:val="6EB5BD4"/>
    <w:multiLevelType w:val="hybridMultilevel"/>
    <w:lvl w:ilvl="0">
      <w:lvlJc w:val="left"/>
      <w:lvlText w:val="(%1)"/>
      <w:numFmt w:val="lowerLetter"/>
      <w:start w:val="3"/>
    </w:lvl>
  </w:abstractNum>
  <w:abstractNum w:abstractNumId="74">
    <w:nsid w:val="6F6DD9AC"/>
    <w:multiLevelType w:val="hybridMultilevel"/>
    <w:lvl w:ilvl="0">
      <w:lvlJc w:val="left"/>
      <w:lvlText w:val="(%1)"/>
      <w:numFmt w:val="lowerLetter"/>
      <w:start w:val="9"/>
    </w:lvl>
  </w:abstractNum>
  <w:abstractNum w:abstractNumId="75">
    <w:nsid w:val="94211F2"/>
    <w:multiLevelType w:val="hybridMultilevel"/>
    <w:lvl w:ilvl="0">
      <w:lvlJc w:val="left"/>
      <w:lvlText w:val="(%1)"/>
      <w:numFmt w:val="lowerLetter"/>
      <w:start w:val="2"/>
    </w:lvl>
  </w:abstractNum>
  <w:abstractNum w:abstractNumId="76">
    <w:nsid w:val="885E1B"/>
    <w:multiLevelType w:val="hybridMultilevel"/>
    <w:lvl w:ilvl="0">
      <w:lvlJc w:val="left"/>
      <w:lvlText w:val="(%1)"/>
      <w:numFmt w:val="lowerRoman"/>
      <w:start w:val="1"/>
    </w:lvl>
  </w:abstractNum>
  <w:abstractNum w:abstractNumId="77">
    <w:nsid w:val="76272110"/>
    <w:multiLevelType w:val="hybridMultilevel"/>
    <w:lvl w:ilvl="0">
      <w:lvlJc w:val="left"/>
      <w:lvlText w:val="(%1)"/>
      <w:numFmt w:val="lowerLetter"/>
      <w:start w:val="1"/>
    </w:lvl>
    <w:lvl w:ilvl="1">
      <w:lvlJc w:val="left"/>
      <w:lvlText w:val="(%2)"/>
      <w:numFmt w:val="lowerRoman"/>
      <w:start w:val="1"/>
    </w:lvl>
  </w:abstractNum>
  <w:abstractNum w:abstractNumId="78">
    <w:nsid w:val="4C04A8AF"/>
    <w:multiLevelType w:val="hybridMultilevel"/>
    <w:lvl w:ilvl="0">
      <w:lvlJc w:val="left"/>
      <w:lvlText w:val="(%1)"/>
      <w:numFmt w:val="lowerLetter"/>
      <w:start w:val="1"/>
    </w:lvl>
  </w:abstractNum>
  <w:abstractNum w:abstractNumId="79">
    <w:nsid w:val="1716703B"/>
    <w:multiLevelType w:val="hybridMultilevel"/>
    <w:lvl w:ilvl="0">
      <w:lvlJc w:val="left"/>
      <w:lvlText w:val="(%1)"/>
      <w:numFmt w:val="lowerLetter"/>
      <w:start w:val="8"/>
    </w:lvl>
  </w:abstractNum>
  <w:abstractNum w:abstractNumId="80">
    <w:nsid w:val="14E17E33"/>
    <w:multiLevelType w:val="hybridMultilevel"/>
    <w:lvl w:ilvl="0">
      <w:lvlJc w:val="left"/>
      <w:lvlText w:val="(%1)"/>
      <w:numFmt w:val="lowerLetter"/>
      <w:start w:val="1"/>
    </w:lvl>
    <w:lvl w:ilvl="1">
      <w:lvlJc w:val="left"/>
      <w:lvlText w:val="(%2)"/>
      <w:numFmt w:val="lowerLetter"/>
      <w:start w:val="3"/>
    </w:lvl>
  </w:abstractNum>
  <w:abstractNum w:abstractNumId="81">
    <w:nsid w:val="3222E7CD"/>
    <w:multiLevelType w:val="hybridMultilevel"/>
    <w:lvl w:ilvl="0">
      <w:lvlJc w:val="left"/>
      <w:lvlText w:val="%1"/>
      <w:numFmt w:val="decimal"/>
      <w:start w:val="1"/>
    </w:lvl>
    <w:lvl w:ilvl="1">
      <w:lvlJc w:val="left"/>
      <w:lvlText w:val="(%2)"/>
      <w:numFmt w:val="decimal"/>
      <w:start w:val="1"/>
    </w:lvl>
  </w:abstractNum>
  <w:abstractNum w:abstractNumId="82">
    <w:nsid w:val="74DE0EE3"/>
    <w:multiLevelType w:val="hybridMultilevel"/>
    <w:lvl w:ilvl="0">
      <w:lvlJc w:val="left"/>
      <w:lvlText w:val="(%1)"/>
      <w:numFmt w:val="decimal"/>
      <w:start w:val="2"/>
    </w:lvl>
    <w:lvl w:ilvl="1">
      <w:lvlJc w:val="left"/>
      <w:lvlText w:val="%2"/>
      <w:numFmt w:val="decimal"/>
      <w:start w:val="1"/>
    </w:lvl>
  </w:abstractNum>
  <w:abstractNum w:abstractNumId="83">
    <w:nsid w:val="68EBC550"/>
    <w:multiLevelType w:val="hybridMultilevel"/>
    <w:lvl w:ilvl="0">
      <w:lvlJc w:val="left"/>
      <w:lvlText w:val="(%1)"/>
      <w:numFmt w:val="lowerLetter"/>
      <w:start w:val="2"/>
    </w:lvl>
  </w:abstractNum>
  <w:abstractNum w:abstractNumId="84">
    <w:nsid w:val="2DF6D648"/>
    <w:multiLevelType w:val="hybridMultilevel"/>
    <w:lvl w:ilvl="0">
      <w:lvlJc w:val="left"/>
      <w:lvlText w:val="%1."/>
      <w:numFmt w:val="decimal"/>
      <w:start w:val="1"/>
    </w:lvl>
    <w:lvl w:ilvl="1">
      <w:lvlJc w:val="left"/>
      <w:lvlText w:val="(%2)"/>
      <w:numFmt w:val="lowerRoman"/>
      <w:start w:val="1"/>
    </w:lvl>
  </w:abstractNum>
  <w:abstractNum w:abstractNumId="85">
    <w:nsid w:val="46B7D447"/>
    <w:multiLevelType w:val="hybridMultilevel"/>
    <w:lvl w:ilvl="0">
      <w:lvlJc w:val="left"/>
      <w:lvlText w:val="(%1)"/>
      <w:numFmt w:val="lowerRoman"/>
      <w:start w:val="1"/>
    </w:lvl>
  </w:abstractNum>
  <w:abstractNum w:abstractNumId="86">
    <w:nsid w:val="4A2AC315"/>
    <w:multiLevelType w:val="hybridMultilevel"/>
    <w:lvl w:ilvl="0">
      <w:lvlJc w:val="left"/>
      <w:lvlText w:val="%1."/>
      <w:numFmt w:val="upperLetter"/>
      <w:start w:val="1"/>
    </w:lvl>
  </w:abstractNum>
  <w:abstractNum w:abstractNumId="87">
    <w:nsid w:val="39EE015C"/>
    <w:multiLevelType w:val="hybridMultilevel"/>
    <w:lvl w:ilvl="0">
      <w:lvlJc w:val="left"/>
      <w:lvlText w:val="(%1)"/>
      <w:numFmt w:val="lowerLetter"/>
      <w:start w:val="2"/>
    </w:lvl>
  </w:abstractNum>
  <w:abstractNum w:abstractNumId="88">
    <w:nsid w:val="57FC4FBB"/>
    <w:multiLevelType w:val="hybridMultilevel"/>
    <w:lvl w:ilvl="0">
      <w:lvlJc w:val="left"/>
      <w:lvlText w:val="(%1)"/>
      <w:numFmt w:val="lowerLetter"/>
      <w:start w:val="3"/>
    </w:lvl>
  </w:abstractNum>
  <w:abstractNum w:abstractNumId="89">
    <w:nsid w:val="CC1016F"/>
    <w:multiLevelType w:val="hybridMultilevel"/>
    <w:lvl w:ilvl="0">
      <w:lvlJc w:val="left"/>
      <w:lvlText w:val="(%1)"/>
      <w:numFmt w:val="lowerLetter"/>
      <w:start w:val="1"/>
    </w:lvl>
    <w:lvl w:ilvl="1">
      <w:lvlJc w:val="left"/>
      <w:lvlText w:val="(%2)"/>
      <w:numFmt w:val="lowerLetter"/>
      <w:start w:val="3"/>
    </w:lvl>
  </w:abstractNum>
  <w:abstractNum w:abstractNumId="90">
    <w:nsid w:val="43F18422"/>
    <w:multiLevelType w:val="hybridMultilevel"/>
    <w:lvl w:ilvl="0">
      <w:lvlJc w:val="left"/>
      <w:lvlText w:val="(%1)"/>
      <w:numFmt w:val="lowerLetter"/>
      <w:start w:val="4"/>
    </w:lvl>
  </w:abstractNum>
  <w:abstractNum w:abstractNumId="91">
    <w:nsid w:val="60EF0119"/>
    <w:multiLevelType w:val="hybridMultilevel"/>
    <w:lvl w:ilvl="0">
      <w:lvlJc w:val="left"/>
      <w:lvlText w:val="(%1)"/>
      <w:numFmt w:val="decimal"/>
      <w:start w:val="1"/>
    </w:lvl>
  </w:abstractNum>
  <w:abstractNum w:abstractNumId="92">
    <w:nsid w:val="26F324BA"/>
    <w:multiLevelType w:val="hybridMultilevel"/>
    <w:lvl w:ilvl="0">
      <w:lvlJc w:val="left"/>
      <w:lvlText w:val="(%1)"/>
      <w:numFmt w:val="lowerLetter"/>
      <w:start w:val="1"/>
    </w:lvl>
  </w:abstractNum>
  <w:abstractNum w:abstractNumId="93">
    <w:nsid w:val="7F01579B"/>
    <w:multiLevelType w:val="hybridMultilevel"/>
    <w:lvl w:ilvl="0">
      <w:lvlJc w:val="left"/>
      <w:lvlText w:val="(%1)"/>
      <w:numFmt w:val="lowerLetter"/>
      <w:start w:val="2"/>
    </w:lvl>
  </w:abstractNum>
  <w:abstractNum w:abstractNumId="94">
    <w:nsid w:val="49DA307D"/>
    <w:multiLevelType w:val="hybridMultilevel"/>
    <w:lvl w:ilvl="0">
      <w:lvlJc w:val="left"/>
      <w:lvlText w:val="(%1)"/>
      <w:numFmt w:val="lowerLetter"/>
      <w:start w:val="1"/>
    </w:lvl>
  </w:abstractNum>
  <w:abstractNum w:abstractNumId="95">
    <w:nsid w:val="7055A5F5"/>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2022-06-30T15:36:01Z</dcterms:created>
  <dcterms:modified xsi:type="dcterms:W3CDTF">2022-06-30T15:36:01Z</dcterms:modified>
</cp:coreProperties>
</file>