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11-K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80" w:hanging="509"/>
        <w:spacing w:after="0"/>
        <w:tabs>
          <w:tab w:leader="none" w:pos="8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920" w:hanging="549"/>
        <w:spacing w:after="0"/>
        <w:tabs>
          <w:tab w:leader="none" w:pos="92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15(d) OF THE SECURITIES EXCHANGE ACT OF 1934</w:t>
      </w:r>
    </w:p>
    <w:p>
      <w:pPr>
        <w:spacing w:after="0" w:line="227" w:lineRule="exact"/>
        <w:rPr>
          <w:sz w:val="24"/>
          <w:szCs w:val="24"/>
          <w:color w:val="auto"/>
        </w:rPr>
      </w:pPr>
    </w:p>
    <w:p>
      <w:pPr>
        <w:ind w:left="384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Commission file number 1-8649</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A.Full title of the plan and address of the plan, if different from that of the issuer named below:</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 and Employee Stock Ownership Plan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Attn: Managing Director, HR &amp; Total Rewards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B.Name of issuer of the securities held pursuant to the plan and the address of its principal executive office:</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Financial Statements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December 31, 2015 and 2014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(With Report of Independent Registered Public Accounting Firm Thereon)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AND EMPLOYEE STOCK OWNERSHIP PLAN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60" w:type="dxa"/>
            <w:vAlign w:val="bottom"/>
            <w:gridSpan w:val="3"/>
          </w:tcPr>
          <w:p>
            <w:pPr>
              <w:jc w:val="right"/>
              <w:ind w:right="50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5"/>
        </w:trPr>
        <w:tc>
          <w:tcPr>
            <w:tcW w:w="4800" w:type="dxa"/>
            <w:vAlign w:val="bottom"/>
            <w:gridSpan w:val="8"/>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56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56"/>
        </w:trPr>
        <w:tc>
          <w:tcPr>
            <w:tcW w:w="4800" w:type="dxa"/>
            <w:vAlign w:val="bottom"/>
            <w:gridSpan w:val="8"/>
            <w:vMerge w:val="continue"/>
          </w:tcPr>
          <w:p>
            <w:pPr>
              <w:spacing w:after="0"/>
              <w:rPr>
                <w:sz w:val="13"/>
                <w:szCs w:val="13"/>
                <w:color w:val="auto"/>
              </w:rPr>
            </w:pPr>
          </w:p>
        </w:tc>
        <w:tc>
          <w:tcPr>
            <w:tcW w:w="5600" w:type="dxa"/>
            <w:vAlign w:val="bottom"/>
          </w:tcPr>
          <w:p>
            <w:pPr>
              <w:spacing w:after="0"/>
              <w:rPr>
                <w:sz w:val="13"/>
                <w:szCs w:val="13"/>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0000EE"/>
            </w:tcBorders>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w:t>
              </w:r>
            </w:hyperlink>
          </w:p>
        </w:tc>
        <w:tc>
          <w:tcPr>
            <w:tcW w:w="580" w:type="dxa"/>
            <w:vAlign w:val="bottom"/>
            <w:gridSpan w:val="3"/>
          </w:tcPr>
          <w:p>
            <w:pPr>
              <w:spacing w:after="0"/>
              <w:rPr>
                <w:sz w:val="18"/>
                <w:szCs w:val="18"/>
                <w:color w:val="auto"/>
              </w:rPr>
            </w:pPr>
          </w:p>
        </w:tc>
        <w:tc>
          <w:tcPr>
            <w:tcW w:w="66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Statements of Changes in Net Assets Available for Benefits</w:t>
              </w:r>
            </w:hyperlink>
          </w:p>
        </w:tc>
        <w:tc>
          <w:tcPr>
            <w:tcW w:w="500" w:type="dxa"/>
            <w:vAlign w:val="bottom"/>
            <w:gridSpan w:val="2"/>
          </w:tcPr>
          <w:p>
            <w:pPr>
              <w:spacing w:after="0"/>
              <w:rPr>
                <w:sz w:val="17"/>
                <w:szCs w:val="17"/>
                <w:color w:val="auto"/>
              </w:rPr>
            </w:pPr>
          </w:p>
        </w:tc>
        <w:tc>
          <w:tcPr>
            <w:tcW w:w="66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800" w:type="dxa"/>
            <w:vAlign w:val="bottom"/>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560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gridSpan w:val="8"/>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Schedule H, Line 4i - Schedule of Assets (Held at End of Year)</w:t>
              </w:r>
            </w:hyperlink>
          </w:p>
        </w:tc>
        <w:tc>
          <w:tcPr>
            <w:tcW w:w="66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5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Signatures</w:t>
              </w:r>
            </w:hyperlink>
          </w:p>
        </w:tc>
        <w:tc>
          <w:tcPr>
            <w:tcW w:w="240" w:type="dxa"/>
            <w:vAlign w:val="bottom"/>
          </w:tcPr>
          <w:p>
            <w:pPr>
              <w:spacing w:after="0"/>
              <w:rPr>
                <w:sz w:val="17"/>
                <w:szCs w:val="17"/>
                <w:color w:val="auto"/>
              </w:rPr>
            </w:pPr>
          </w:p>
        </w:tc>
        <w:tc>
          <w:tcPr>
            <w:tcW w:w="66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Exhibits</w:t>
              </w:r>
            </w:hyperlink>
          </w:p>
        </w:tc>
        <w:tc>
          <w:tcPr>
            <w:tcW w:w="4040" w:type="dxa"/>
            <w:vAlign w:val="bottom"/>
            <w:gridSpan w:val="6"/>
          </w:tcPr>
          <w:p>
            <w:pPr>
              <w:spacing w:after="0"/>
              <w:rPr>
                <w:sz w:val="17"/>
                <w:szCs w:val="17"/>
                <w:color w:val="auto"/>
              </w:rPr>
            </w:pPr>
          </w:p>
        </w:tc>
        <w:tc>
          <w:tcPr>
            <w:tcW w:w="66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68"/>
        </w:trPr>
        <w:tc>
          <w:tcPr>
            <w:tcW w:w="600" w:type="dxa"/>
            <w:vAlign w:val="bottom"/>
            <w:tcBorders>
              <w:top w:val="single" w:sz="8" w:color="0000EE"/>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33" w:right="199" w:bottom="0" w:gutter="0" w:footer="0" w:header="0"/>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and Employee Stock Ownership Plan:</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2015 and 2014,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2015 and 2014, and the changes in net assets available for benefits for the years then ended, in conformity with U.S. generally accepted accounting principles.</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supplemental information in the accompanying Schedule H, line 4i — Schedule of Assets (Held at End of Year) as of December 31, 2015, has been subjected to audit procedures performed in conjunction with the audit of the Plan’s 2015 financial statements. The supplemental information is presented for the purpose of additional analysis and is not a required part of the financial statements but include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2015 and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Borders>
              <w:bottom w:val="single" w:sz="8" w:color="CCEEFF"/>
            </w:tcBorders>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Investments at fair value:</w:t>
            </w:r>
          </w:p>
        </w:tc>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 the Toro Company Master Trust Fund</w:t>
            </w:r>
          </w:p>
        </w:tc>
        <w:tc>
          <w:tcPr>
            <w:tcW w:w="3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873,090,947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873,531,021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Employer contribution receivable</w:t>
            </w:r>
          </w:p>
        </w:tc>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12,898,811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11,904,355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Employee contribution receivable</w:t>
            </w:r>
          </w:p>
        </w:tc>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71,237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101,886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receivable from participants</w:t>
            </w:r>
          </w:p>
        </w:tc>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27,496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receivables</w:t>
            </w:r>
          </w:p>
        </w:tc>
        <w:tc>
          <w:tcPr>
            <w:tcW w:w="35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12,997,544</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12,006,241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540"/>
              <w:spacing w:after="0"/>
              <w:rPr>
                <w:sz w:val="20"/>
                <w:szCs w:val="20"/>
                <w:color w:val="auto"/>
              </w:rPr>
            </w:pPr>
            <w:r>
              <w:rPr>
                <w:rFonts w:ascii="Arial" w:cs="Arial" w:eastAsia="Arial" w:hAnsi="Arial"/>
                <w:sz w:val="18"/>
                <w:szCs w:val="18"/>
                <w:color w:val="auto"/>
              </w:rPr>
              <w:t>Net assets available for benefits</w:t>
            </w:r>
          </w:p>
        </w:tc>
        <w:tc>
          <w:tcPr>
            <w:tcW w:w="3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886,088,491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885,537,262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3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vMerge w:val="continue"/>
          </w:tcPr>
          <w:p>
            <w:pPr>
              <w:spacing w:after="0"/>
              <w:rPr>
                <w:sz w:val="24"/>
                <w:szCs w:val="24"/>
                <w:color w:val="auto"/>
              </w:rPr>
            </w:pPr>
          </w:p>
        </w:tc>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4"/>
                <w:szCs w:val="24"/>
                <w:color w:val="auto"/>
              </w:rPr>
            </w:pPr>
          </w:p>
        </w:tc>
        <w:tc>
          <w:tcPr>
            <w:tcW w:w="3540" w:type="dxa"/>
            <w:vAlign w:val="bottom"/>
          </w:tcPr>
          <w:p>
            <w:pPr>
              <w:jc w:val="right"/>
              <w:ind w:right="245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60" w:type="dxa"/>
            <w:vAlign w:val="bottom"/>
            <w:tcBorders>
              <w:bottom w:val="single" w:sz="8" w:color="808080"/>
            </w:tcBorders>
          </w:tcPr>
          <w:p>
            <w:pPr>
              <w:spacing w:after="0"/>
              <w:rPr>
                <w:sz w:val="11"/>
                <w:szCs w:val="11"/>
                <w:color w:val="auto"/>
              </w:rPr>
            </w:pPr>
          </w:p>
        </w:tc>
        <w:tc>
          <w:tcPr>
            <w:tcW w:w="3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Changes in Net Assets Available for Benefits</w:t>
      </w:r>
    </w:p>
    <w:p>
      <w:pPr>
        <w:sectPr>
          <w:pgSz w:w="11900" w:h="16838" w:orient="portrait"/>
          <w:cols w:equalWidth="0" w:num="1">
            <w:col w:w="11460"/>
          </w:cols>
          <w:pgMar w:left="240" w:top="368" w:right="199" w:bottom="5" w:gutter="0" w:footer="0" w:header="0"/>
        </w:sectPr>
      </w:pPr>
    </w:p>
    <w:bookmarkStart w:id="2" w:name="page3"/>
    <w:bookmarkEnd w:id="2"/>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2015 and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 to net assets:</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 interest in net investment income of the Toro Company Master Trust Fund</w:t>
            </w:r>
          </w:p>
        </w:tc>
        <w:tc>
          <w:tcPr>
            <w:tcW w:w="1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48,650,025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43,626,667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Net investment income</w:t>
            </w:r>
          </w:p>
        </w:tc>
        <w:tc>
          <w:tcPr>
            <w:tcW w:w="1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48,650,025</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43,626,667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Employer cash contributions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13,700,120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12,558,301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Employer non-cash stock contributions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3,663,344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Employee contributions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17,114,704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15,470,941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Rollover contributions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4,161,972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Total contributions</w:t>
            </w:r>
          </w:p>
        </w:tc>
        <w:tc>
          <w:tcPr>
            <w:tcW w:w="1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38,640,140</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32,825,211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520"/>
              <w:spacing w:after="0"/>
              <w:rPr>
                <w:sz w:val="20"/>
                <w:szCs w:val="20"/>
                <w:color w:val="auto"/>
              </w:rPr>
            </w:pPr>
            <w:r>
              <w:rPr>
                <w:rFonts w:ascii="Arial" w:cs="Arial" w:eastAsia="Arial" w:hAnsi="Arial"/>
                <w:sz w:val="18"/>
                <w:szCs w:val="18"/>
                <w:color w:val="auto"/>
              </w:rPr>
              <w:t>Total additions to net assets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87,290,165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76,451,878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Deductions from net assets: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payments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(86,371,674)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(67,931,256)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(367,262)</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(181,889)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deductions from net assets</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(86,738,936)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(68,113,145)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Assets transferred from the Plan</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increase in net assets available for benefits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551,229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8,338,705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Beginning of year</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885,537,262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877,198,557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End of year</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886,088,491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885,537,262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 and 2014</w:t>
      </w:r>
    </w:p>
    <w:p>
      <w:pPr>
        <w:spacing w:after="0" w:line="221"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29" w:lineRule="exact"/>
        <w:rPr>
          <w:rFonts w:ascii="Arial" w:cs="Arial" w:eastAsia="Arial" w:hAnsi="Arial"/>
          <w:sz w:val="18"/>
          <w:szCs w:val="18"/>
          <w:b w:val="1"/>
          <w:bCs w:val="1"/>
          <w:color w:val="auto"/>
        </w:rPr>
      </w:pPr>
    </w:p>
    <w:p>
      <w:pPr>
        <w:ind w:left="500" w:right="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following description of The Toro Company Investment, Savings, and Employee Stock Ownership Plan (the Plan) is provided for general information purposes only. Participants should refer to the plan document amended and restated as of January 1, 2009 for more complete information for calendar years prior to 2012. The Plan document was amended and restated effective January 1, 2012 as part of the regular five-year cycle of amendments and restatements. The Plan is subject to the provisions of the Employee Retirement Income Security Act of 1974 (ERISA). Effective January 1, 2002, The Toro Company Employee Stock Ownership Plan was merged into The Toro Company Investment and Savings Plan to become the Plan. However, there continues to be an employee stock ownership (ESOP) portion and a profit sharing portion of the Plan. Effective September 2, 2003, the Exmark Manufacturing Company, Inc. 401(k) Profit Sharing Plan was merged into the Plan. Effective April 4, 2008, the Rain Master Irrigation Systems, Inc. 401(k) Profit Sharing Plan was merged into the Plan.</w:t>
      </w:r>
    </w:p>
    <w:p>
      <w:pPr>
        <w:spacing w:after="0" w:line="178" w:lineRule="exact"/>
        <w:rPr>
          <w:rFonts w:ascii="Arial" w:cs="Arial" w:eastAsia="Arial" w:hAnsi="Arial"/>
          <w:sz w:val="18"/>
          <w:szCs w:val="18"/>
          <w:b w:val="1"/>
          <w:bCs w:val="1"/>
          <w:color w:val="auto"/>
        </w:rPr>
      </w:pPr>
    </w:p>
    <w:p>
      <w:pPr>
        <w:ind w:left="5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determined by the Plan Administrator of the Plan, office exempt and office nonexempt employees of the BOSS professional snow and ice management business of Northern Star Industries, Inc. (NSI) on December 31, 2014, who became employees of The Toro Company (the Company) on January 1, 2015, receive credit for service they completed with NSI prior to 2015 for purposes of determining their eligibility and vesting service under the Plan.</w:t>
      </w:r>
    </w:p>
    <w:p>
      <w:pPr>
        <w:spacing w:after="0" w:line="186" w:lineRule="exact"/>
        <w:rPr>
          <w:rFonts w:ascii="Arial" w:cs="Arial" w:eastAsia="Arial" w:hAnsi="Arial"/>
          <w:sz w:val="18"/>
          <w:szCs w:val="18"/>
          <w:b w:val="1"/>
          <w:bCs w:val="1"/>
          <w:color w:val="auto"/>
        </w:rPr>
      </w:pPr>
    </w:p>
    <w:p>
      <w:pPr>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primary purpose of the ESOP portion of the Plan is to provide employees who become participants in the Plan an opportunity to have their account balances invested in common stock, par value $1.00 per share (Common Stock), of the Company. The portions of participant accounts that hold Common Stock of the Company are included in the ESOP portion of the Plan. The portions of participant accounts that do not hold such stock are included in the profit sharing portion of the Plan.</w:t>
      </w:r>
    </w:p>
    <w:p>
      <w:pPr>
        <w:spacing w:after="0" w:line="18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Participants may make their own contributions to the Plan. These are initially made to the profit sharing portion of the Plan.</w:t>
      </w:r>
    </w:p>
    <w:p>
      <w:pPr>
        <w:spacing w:after="0" w:line="225" w:lineRule="exact"/>
        <w:rPr>
          <w:rFonts w:ascii="Arial" w:cs="Arial" w:eastAsia="Arial" w:hAnsi="Arial"/>
          <w:sz w:val="18"/>
          <w:szCs w:val="18"/>
          <w:b w:val="1"/>
          <w:bCs w:val="1"/>
          <w:color w:val="auto"/>
        </w:rPr>
      </w:pPr>
    </w:p>
    <w:p>
      <w:pPr>
        <w:ind w:left="5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Plan participants are also eligible to have the Company make ESOP and investment fund contributions to the Plan on their behalf. Participants are fully vested in the entire balance of their individual accounts attributable to those contributions except as indicated below. The Company also makes matching contributions to the Plan with respect to participant contributions. Company matching contributions, together with income attributable thereto, vest at a rate of 20% after one year of vesting service, with an additional 20% being accumulated annually thereafter until the participant is 100% vested.</w:t>
      </w:r>
    </w:p>
    <w:p>
      <w:pPr>
        <w:spacing w:after="0" w:line="188" w:lineRule="exact"/>
        <w:rPr>
          <w:rFonts w:ascii="Arial" w:cs="Arial" w:eastAsia="Arial" w:hAnsi="Arial"/>
          <w:sz w:val="18"/>
          <w:szCs w:val="18"/>
          <w:b w:val="1"/>
          <w:bCs w:val="1"/>
          <w:color w:val="auto"/>
        </w:rPr>
      </w:pPr>
    </w:p>
    <w:p>
      <w:pPr>
        <w:ind w:left="50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Effective January 1, 2012, the Plan was amended and restated. As part of the amendment and restatement, the following key changes were made: eligibility requirements were all changed to 30 days, automatic enrollment levels increased from 2% to 4%, and a vesting schedule, which is now similar to the vesting schedule for all matching contributions, was established for the investment fund and ESOP contributions for those who become participants on or after January 1, 2012.</w:t>
      </w:r>
    </w:p>
    <w:p>
      <w:pPr>
        <w:sectPr>
          <w:pgSz w:w="11900" w:h="16872" w:orient="portrait"/>
          <w:cols w:equalWidth="0" w:num="1">
            <w:col w:w="11420"/>
          </w:cols>
          <w:pgMar w:left="240" w:top="125" w:right="239" w:bottom="0" w:gutter="0" w:footer="0" w:header="0"/>
        </w:sectPr>
      </w:pPr>
    </w:p>
    <w:bookmarkStart w:id="3" w:name="page4"/>
    <w:bookmarkEnd w:id="3"/>
    <w:p>
      <w:pPr>
        <w:spacing w:after="0" w:line="36" w:lineRule="exact"/>
        <w:rPr>
          <w:sz w:val="20"/>
          <w:szCs w:val="20"/>
          <w:color w:val="auto"/>
        </w:rPr>
      </w:pPr>
    </w:p>
    <w:p>
      <w:pPr>
        <w:ind w:left="500" w:right="160"/>
        <w:spacing w:after="0" w:line="264" w:lineRule="auto"/>
        <w:rPr>
          <w:sz w:val="20"/>
          <w:szCs w:val="20"/>
          <w:color w:val="auto"/>
        </w:rPr>
      </w:pPr>
      <w:r>
        <w:rPr>
          <w:rFonts w:ascii="Arial" w:cs="Arial" w:eastAsia="Arial" w:hAnsi="Arial"/>
          <w:sz w:val="18"/>
          <w:szCs w:val="18"/>
          <w:color w:val="auto"/>
        </w:rPr>
        <w:t>Participants may choose to have their accounts including those initially invested in Common Stock of the Company invested in any of the investment funds made available under the Plan or in Common Stock of the Company. All contributions under the Plan are made to a trust that holds all of the assets of the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Participants may receive distributions from their vested accounts under the Plan upon termination of service or death in the form of a lump-sum payment or in installments. Additionally, at age 59½, participants are able to take in-service withdrawals.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of the Company, a withdrawal or distribution can be in the form of Common Stock of the Company or cash.</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Benefit payments and transfers of participants’ interests are made by the trustee, Fidelity Investments (the Trustee).</w:t>
      </w:r>
    </w:p>
    <w:p>
      <w:pPr>
        <w:spacing w:after="0" w:line="225" w:lineRule="exact"/>
        <w:rPr>
          <w:sz w:val="20"/>
          <w:szCs w:val="20"/>
          <w:color w:val="auto"/>
        </w:rPr>
      </w:pPr>
    </w:p>
    <w:p>
      <w:pPr>
        <w:ind w:left="500" w:right="340"/>
        <w:spacing w:after="0" w:line="277" w:lineRule="auto"/>
        <w:rPr>
          <w:sz w:val="20"/>
          <w:szCs w:val="20"/>
          <w:color w:val="auto"/>
        </w:rPr>
      </w:pPr>
      <w:r>
        <w:rPr>
          <w:rFonts w:ascii="Arial" w:cs="Arial" w:eastAsia="Arial" w:hAnsi="Arial"/>
          <w:sz w:val="18"/>
          <w:szCs w:val="18"/>
          <w:color w:val="auto"/>
        </w:rPr>
        <w:t>During the years ended December 31, 2015 and 2014, forfeited nonvested accounts totaled $141,960 and $96,919, respectively. These amounts are used to offset future Company contributions.</w:t>
      </w:r>
    </w:p>
    <w:p>
      <w:pPr>
        <w:spacing w:after="0" w:line="170" w:lineRule="exact"/>
        <w:rPr>
          <w:sz w:val="20"/>
          <w:szCs w:val="20"/>
          <w:color w:val="auto"/>
        </w:rPr>
      </w:pPr>
    </w:p>
    <w:p>
      <w:pPr>
        <w:ind w:left="500" w:right="80"/>
        <w:spacing w:after="0" w:line="279" w:lineRule="auto"/>
        <w:rPr>
          <w:sz w:val="20"/>
          <w:szCs w:val="20"/>
          <w:color w:val="auto"/>
        </w:rPr>
      </w:pPr>
      <w:r>
        <w:rPr>
          <w:rFonts w:ascii="Arial" w:cs="Arial" w:eastAsia="Arial" w:hAnsi="Arial"/>
          <w:sz w:val="17"/>
          <w:szCs w:val="17"/>
          <w:color w:val="auto"/>
        </w:rPr>
        <w:t>The Company (the administrator of the Plan) designs, manufactures, and markets professional turf maintenance equipment and services, turf irrigation systems, landscaping equipment and lighting, snow and ice management products, agricultural micro-irrigation systems, rental and specialty construction equipment, and residential yard and snow thrower products. The Company absorbs administrative costs of the Plan, with certain exceptions including investment management fees, which are netted against investment income.</w:t>
      </w:r>
    </w:p>
    <w:p>
      <w:pPr>
        <w:spacing w:after="0" w:line="167"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820" w:hanging="320"/>
        <w:spacing w:after="0"/>
        <w:tabs>
          <w:tab w:leader="none" w:pos="82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accompanying financial statements of the Plan are presented in accordance with U.S. generally accepted accounting principles (U.S. GAAP).</w:t>
      </w:r>
    </w:p>
    <w:p>
      <w:pPr>
        <w:spacing w:after="0" w:line="248" w:lineRule="exact"/>
        <w:rPr>
          <w:sz w:val="20"/>
          <w:szCs w:val="20"/>
          <w:color w:val="auto"/>
        </w:rPr>
      </w:pPr>
    </w:p>
    <w:p>
      <w:pPr>
        <w:ind w:left="500"/>
        <w:spacing w:after="0"/>
        <w:tabs>
          <w:tab w:leader="none" w:pos="800" w:val="left"/>
        </w:tabs>
        <w:rPr>
          <w:sz w:val="20"/>
          <w:szCs w:val="20"/>
          <w:color w:val="auto"/>
        </w:rPr>
      </w:pPr>
      <w:r>
        <w:rPr>
          <w:rFonts w:ascii="Arial" w:cs="Arial" w:eastAsia="Arial" w:hAnsi="Arial"/>
          <w:sz w:val="18"/>
          <w:szCs w:val="18"/>
          <w:b w:val="1"/>
          <w:bCs w:val="1"/>
          <w:i w:val="1"/>
          <w:iCs w:val="1"/>
          <w:color w:val="auto"/>
        </w:rPr>
        <w:t>b)</w:t>
        <w:tab/>
        <w:t>Investments</w:t>
      </w:r>
    </w:p>
    <w:p>
      <w:pPr>
        <w:spacing w:after="0" w:line="225"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color w:val="auto"/>
        </w:rPr>
        <w:t>The Plan’s investments are in a Master Trust held by the Trustee. The investment securities are stated at fair value; fair value is the price that would be received to sell an asset or paid to transfer a liability in an orderly transaction between market participants as of the measurement date. The fair value of equity securities is based on the last quoted bid price. Common collective trust funds are valued at net asset value (NAV) of the underlying fund as a practical expedient. The NAV is based on the value of the net assets owned by the fund. While the underlying assets are actively traded on an exchange, the fund is not. There are no imposed redemption or liquidation restrictions on participants and the Plan has no further contractual obligations to further invest in the funds.</w:t>
      </w:r>
    </w:p>
    <w:p>
      <w:pPr>
        <w:spacing w:after="0" w:line="193" w:lineRule="exact"/>
        <w:rPr>
          <w:sz w:val="20"/>
          <w:szCs w:val="20"/>
          <w:color w:val="auto"/>
        </w:rPr>
      </w:pPr>
    </w:p>
    <w:p>
      <w:pPr>
        <w:ind w:left="500" w:right="420"/>
        <w:spacing w:after="0" w:line="342" w:lineRule="auto"/>
        <w:rPr>
          <w:sz w:val="20"/>
          <w:szCs w:val="20"/>
          <w:color w:val="auto"/>
        </w:rPr>
      </w:pPr>
      <w:r>
        <w:rPr>
          <w:rFonts w:ascii="Arial" w:cs="Arial" w:eastAsia="Arial" w:hAnsi="Arial"/>
          <w:sz w:val="16"/>
          <w:szCs w:val="16"/>
          <w:color w:val="auto"/>
        </w:rPr>
        <w:t>Purchases and sales of all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24" w:lineRule="exact"/>
        <w:rPr>
          <w:sz w:val="20"/>
          <w:szCs w:val="20"/>
          <w:color w:val="auto"/>
        </w:rPr>
      </w:pPr>
    </w:p>
    <w:p>
      <w:pPr>
        <w:jc w:val="both"/>
        <w:ind w:left="500" w:right="200"/>
        <w:spacing w:after="0" w:line="264" w:lineRule="auto"/>
        <w:rPr>
          <w:sz w:val="20"/>
          <w:szCs w:val="20"/>
          <w:color w:val="auto"/>
        </w:rPr>
      </w:pPr>
      <w:r>
        <w:rPr>
          <w:rFonts w:ascii="Arial" w:cs="Arial" w:eastAsia="Arial" w:hAnsi="Arial"/>
          <w:sz w:val="18"/>
          <w:szCs w:val="18"/>
          <w:color w:val="auto"/>
        </w:rPr>
        <w:t>The Company maintains one Master Trust for two profit sharing and retirement plans that are sponsored by the Company. The two plans are the Plan and The Toro Company Profit Sharing Plan for Plymouth Union Employees. The purpose of the Master Trust is to pool investment transactions and achieve uniform rates of return on comparable funds under all plans.</w:t>
      </w:r>
    </w:p>
    <w:p>
      <w:pPr>
        <w:spacing w:after="0" w:line="181" w:lineRule="exact"/>
        <w:rPr>
          <w:sz w:val="20"/>
          <w:szCs w:val="20"/>
          <w:color w:val="auto"/>
        </w:rPr>
      </w:pPr>
    </w:p>
    <w:p>
      <w:pPr>
        <w:jc w:val="both"/>
        <w:ind w:left="500" w:right="140"/>
        <w:spacing w:after="0" w:line="264" w:lineRule="auto"/>
        <w:rPr>
          <w:sz w:val="20"/>
          <w:szCs w:val="20"/>
          <w:color w:val="auto"/>
        </w:rPr>
      </w:pPr>
      <w:r>
        <w:rPr>
          <w:rFonts w:ascii="Arial" w:cs="Arial" w:eastAsia="Arial" w:hAnsi="Arial"/>
          <w:sz w:val="18"/>
          <w:szCs w:val="18"/>
          <w:color w:val="auto"/>
        </w:rPr>
        <w:t>The Plan’s proportionate share of net investment income from the Master Trust is based upon the percentage of the fair value of the Plan’s investment in the Master Trust’s net assets. The Plan’s percentage interest in the net assets of the Master Trust was approximately 99% as of December 31, 2015 and 2014.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20" w:hanging="320"/>
        <w:spacing w:after="0"/>
        <w:tabs>
          <w:tab w:leader="none" w:pos="8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25" w:lineRule="exact"/>
        <w:rPr>
          <w:sz w:val="20"/>
          <w:szCs w:val="20"/>
          <w:color w:val="auto"/>
        </w:rPr>
      </w:pPr>
    </w:p>
    <w:p>
      <w:pPr>
        <w:ind w:left="500" w:right="16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Company, as the administrator of the Plan,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187" w:lineRule="exact"/>
        <w:rPr>
          <w:sz w:val="20"/>
          <w:szCs w:val="20"/>
          <w:color w:val="auto"/>
        </w:rPr>
      </w:pPr>
    </w:p>
    <w:p>
      <w:pPr>
        <w:ind w:left="500"/>
        <w:spacing w:after="0"/>
        <w:tabs>
          <w:tab w:leader="none" w:pos="800" w:val="left"/>
        </w:tabs>
        <w:rPr>
          <w:sz w:val="20"/>
          <w:szCs w:val="20"/>
          <w:color w:val="auto"/>
        </w:rPr>
      </w:pPr>
      <w:r>
        <w:rPr>
          <w:rFonts w:ascii="Arial" w:cs="Arial" w:eastAsia="Arial" w:hAnsi="Arial"/>
          <w:sz w:val="18"/>
          <w:szCs w:val="18"/>
          <w:b w:val="1"/>
          <w:bCs w:val="1"/>
          <w:i w:val="1"/>
          <w:iCs w:val="1"/>
          <w:color w:val="auto"/>
        </w:rPr>
        <w:t>d)</w:t>
        <w:tab/>
        <w:t>Concentrations of Risk</w:t>
      </w:r>
    </w:p>
    <w:p>
      <w:pPr>
        <w:spacing w:after="0" w:line="225" w:lineRule="exact"/>
        <w:rPr>
          <w:sz w:val="20"/>
          <w:szCs w:val="20"/>
          <w:color w:val="auto"/>
        </w:rPr>
      </w:pPr>
    </w:p>
    <w:p>
      <w:pPr>
        <w:ind w:left="500" w:right="60"/>
        <w:spacing w:after="0" w:line="259" w:lineRule="auto"/>
        <w:rPr>
          <w:sz w:val="20"/>
          <w:szCs w:val="20"/>
          <w:color w:val="auto"/>
        </w:rPr>
      </w:pPr>
      <w:r>
        <w:rPr>
          <w:rFonts w:ascii="Arial" w:cs="Arial" w:eastAsia="Arial" w:hAnsi="Arial"/>
          <w:sz w:val="18"/>
          <w:szCs w:val="18"/>
          <w:color w:val="auto"/>
        </w:rPr>
        <w:t>The Plan has investments in a variety of investment funds within the Master Trust.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statements of net assets available for benefits.</w:t>
      </w:r>
    </w:p>
    <w:p>
      <w:pPr>
        <w:spacing w:after="0" w:line="187" w:lineRule="exact"/>
        <w:rPr>
          <w:sz w:val="20"/>
          <w:szCs w:val="20"/>
          <w:color w:val="auto"/>
        </w:rPr>
      </w:pPr>
    </w:p>
    <w:p>
      <w:pPr>
        <w:ind w:left="500" w:right="420"/>
        <w:spacing w:after="0" w:line="286" w:lineRule="auto"/>
        <w:rPr>
          <w:sz w:val="20"/>
          <w:szCs w:val="20"/>
          <w:color w:val="auto"/>
        </w:rPr>
      </w:pPr>
      <w:r>
        <w:rPr>
          <w:rFonts w:ascii="Arial" w:cs="Arial" w:eastAsia="Arial" w:hAnsi="Arial"/>
          <w:sz w:val="17"/>
          <w:szCs w:val="17"/>
          <w:color w:val="auto"/>
        </w:rPr>
        <w:t>The assets held by the Master Trust include the Common Stock of the Company. At December 31, 2015 and 2014, approximately 37% of the investments of the Master Trust were invested in Common Stock of the Company. The underlying value of the Common Stock of the Company is entirely dependent upon the performance of the Company and the market’s evaluation of such performance and other factors.</w:t>
      </w:r>
    </w:p>
    <w:p>
      <w:pPr>
        <w:spacing w:after="0" w:line="166" w:lineRule="exact"/>
        <w:rPr>
          <w:sz w:val="20"/>
          <w:szCs w:val="20"/>
          <w:color w:val="auto"/>
        </w:rPr>
      </w:pPr>
    </w:p>
    <w:p>
      <w:pPr>
        <w:ind w:left="820" w:hanging="320"/>
        <w:spacing w:after="0"/>
        <w:tabs>
          <w:tab w:leader="none" w:pos="8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Fully Benefit-Responsive Investment Contracts</w:t>
      </w:r>
    </w:p>
    <w:p>
      <w:pPr>
        <w:sectPr>
          <w:pgSz w:w="11900" w:h="16874" w:orient="portrait"/>
          <w:cols w:equalWidth="0" w:num="1">
            <w:col w:w="11420"/>
          </w:cols>
          <w:pgMar w:left="240" w:top="341" w:right="239" w:bottom="0" w:gutter="0" w:footer="0" w:header="0"/>
        </w:sectPr>
      </w:pPr>
    </w:p>
    <w:bookmarkStart w:id="4" w:name="page5"/>
    <w:bookmarkEnd w:id="4"/>
    <w:p>
      <w:pPr>
        <w:ind w:left="500"/>
        <w:spacing w:after="0" w:line="293" w:lineRule="auto"/>
        <w:rPr>
          <w:sz w:val="20"/>
          <w:szCs w:val="20"/>
          <w:color w:val="auto"/>
        </w:rPr>
      </w:pPr>
      <w:r>
        <w:rPr>
          <w:rFonts w:ascii="Arial" w:cs="Arial" w:eastAsia="Arial" w:hAnsi="Arial"/>
          <w:sz w:val="16"/>
          <w:szCs w:val="16"/>
          <w:color w:val="auto"/>
        </w:rPr>
        <w:t>The Plan indirectly invests in guaranteed investment contracts and security-backed contracts through the Wells Fargo Stable Return Fund G. An investment contract is a contract issued by a financial institution to provide a stated return to the buyer of the contract for a specified period of time. A security-backed contract has similar characteristics as a traditional investment contract and comprises two parts: the first part is a fixed-income security or portfolio of fixed-income securities; the second part is a contract value guarantee (wrapper) provided by a third party. Stable value collective trust funds, which include these investment contracts held by a defined contribution plan, are required to be reported at fair value. The yield earned by the Wells Fargo Stable Return Fund G at December 31, 2015 and December 31, 2014 was 1.83% and 1.40%, respectively.</w:t>
      </w:r>
    </w:p>
    <w:p>
      <w:pPr>
        <w:spacing w:after="0" w:line="165" w:lineRule="exact"/>
        <w:rPr>
          <w:sz w:val="20"/>
          <w:szCs w:val="20"/>
          <w:color w:val="auto"/>
        </w:rPr>
      </w:pPr>
    </w:p>
    <w:p>
      <w:pPr>
        <w:ind w:left="840" w:hanging="340"/>
        <w:spacing w:after="0"/>
        <w:tabs>
          <w:tab w:leader="none" w:pos="8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500"/>
        <w:spacing w:after="0" w:line="271" w:lineRule="auto"/>
        <w:rPr>
          <w:sz w:val="20"/>
          <w:szCs w:val="20"/>
          <w:color w:val="auto"/>
        </w:rPr>
      </w:pPr>
      <w:r>
        <w:rPr>
          <w:rFonts w:ascii="Arial" w:cs="Arial" w:eastAsia="Arial" w:hAnsi="Arial"/>
          <w:sz w:val="17"/>
          <w:szCs w:val="17"/>
          <w:color w:val="auto"/>
        </w:rPr>
        <w:t xml:space="preserve">In July 2015, the FASB issued Accounting Standards Update (“ASU”) No. 2015-12, </w:t>
      </w:r>
      <w:r>
        <w:rPr>
          <w:rFonts w:ascii="Arial" w:cs="Arial" w:eastAsia="Arial" w:hAnsi="Arial"/>
          <w:sz w:val="17"/>
          <w:szCs w:val="17"/>
          <w:i w:val="1"/>
          <w:iCs w:val="1"/>
          <w:color w:val="auto"/>
        </w:rPr>
        <w:t>Plan Accounting: Defined Benefit Pension Plans (Topic 960),</w:t>
      </w:r>
      <w:r>
        <w:rPr>
          <w:rFonts w:ascii="Arial" w:cs="Arial" w:eastAsia="Arial" w:hAnsi="Arial"/>
          <w:sz w:val="17"/>
          <w:szCs w:val="17"/>
          <w:color w:val="auto"/>
        </w:rPr>
        <w:t xml:space="preserve"> </w:t>
      </w:r>
      <w:r>
        <w:rPr>
          <w:rFonts w:ascii="Arial" w:cs="Arial" w:eastAsia="Arial" w:hAnsi="Arial"/>
          <w:sz w:val="17"/>
          <w:szCs w:val="17"/>
          <w:i w:val="1"/>
          <w:iCs w:val="1"/>
          <w:color w:val="auto"/>
        </w:rPr>
        <w:t>Defined Contribution Pension Plans (Topic 962), Health and Welfare Benefit Plans (Topic 965): (Part I) Fully Benefit-Responsive Investment Contracts, (Part II) Plan Investment Disclosures, (Part III) Measurement Date Practical Expedient</w:t>
      </w:r>
      <w:r>
        <w:rPr>
          <w:rFonts w:ascii="Arial" w:cs="Arial" w:eastAsia="Arial" w:hAnsi="Arial"/>
          <w:sz w:val="17"/>
          <w:szCs w:val="17"/>
          <w:color w:val="auto"/>
        </w:rPr>
        <w:t>. Part I of this ASU eliminates the requirement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fully benefit-responsive investment contracts at fair value. Contract value will be the only required measure for fully benefit-responsive investment contracts. Part II of this ASU eliminates the requirements to disclose individual investments that represent 5% or more of net assets available for benefits. In addition, the disclosure of information about fair value measurements shall be provided by general type of investment. Part III of this ASU is not applicable to the Plan. The provisions of this ASU are effective for fiscal years beginning after December 15, 2015, and interim periods within those fiscal years. The company adopted this guidance for the year ended December 31, 2015.</w:t>
      </w:r>
    </w:p>
    <w:p>
      <w:pPr>
        <w:spacing w:after="0" w:line="179" w:lineRule="exact"/>
        <w:rPr>
          <w:sz w:val="20"/>
          <w:szCs w:val="20"/>
          <w:color w:val="auto"/>
        </w:rPr>
      </w:pPr>
    </w:p>
    <w:p>
      <w:pPr>
        <w:ind w:left="500"/>
        <w:spacing w:after="0" w:line="279" w:lineRule="auto"/>
        <w:rPr>
          <w:sz w:val="20"/>
          <w:szCs w:val="20"/>
          <w:color w:val="auto"/>
        </w:rPr>
      </w:pPr>
      <w:r>
        <w:rPr>
          <w:rFonts w:ascii="Arial" w:cs="Arial" w:eastAsia="Arial" w:hAnsi="Arial"/>
          <w:sz w:val="17"/>
          <w:szCs w:val="17"/>
          <w:color w:val="auto"/>
        </w:rPr>
        <w:t xml:space="preserve">In May 2015, the FASB issued ASU No. 2015-07, </w:t>
      </w:r>
      <w:r>
        <w:rPr>
          <w:rFonts w:ascii="Arial" w:cs="Arial" w:eastAsia="Arial" w:hAnsi="Arial"/>
          <w:sz w:val="17"/>
          <w:szCs w:val="17"/>
          <w:i w:val="1"/>
          <w:iCs w:val="1"/>
          <w:color w:val="auto"/>
        </w:rPr>
        <w:t>Disclosures for Investments in Certain Entities That Calculate Net Asset Value Per Share (Or Its</w:t>
      </w:r>
      <w:r>
        <w:rPr>
          <w:rFonts w:ascii="Arial" w:cs="Arial" w:eastAsia="Arial" w:hAnsi="Arial"/>
          <w:sz w:val="17"/>
          <w:szCs w:val="17"/>
          <w:color w:val="auto"/>
        </w:rPr>
        <w:t xml:space="preserve"> </w:t>
      </w:r>
      <w:r>
        <w:rPr>
          <w:rFonts w:ascii="Arial" w:cs="Arial" w:eastAsia="Arial" w:hAnsi="Arial"/>
          <w:sz w:val="17"/>
          <w:szCs w:val="17"/>
          <w:i w:val="1"/>
          <w:iCs w:val="1"/>
          <w:color w:val="auto"/>
        </w:rPr>
        <w:t>Equivalent)</w:t>
      </w:r>
      <w:r>
        <w:rPr>
          <w:rFonts w:ascii="Arial" w:cs="Arial" w:eastAsia="Arial" w:hAnsi="Arial"/>
          <w:sz w:val="17"/>
          <w:szCs w:val="17"/>
          <w:color w:val="auto"/>
        </w:rPr>
        <w:t>. ASU 2015-07 removes the requirement to categorize within the fair value hierarchy all investments for which fair value is measured using</w:t>
      </w:r>
      <w:r>
        <w:rPr>
          <w:rFonts w:ascii="Arial" w:cs="Arial" w:eastAsia="Arial" w:hAnsi="Arial"/>
          <w:sz w:val="17"/>
          <w:szCs w:val="17"/>
          <w:i w:val="1"/>
          <w:iCs w:val="1"/>
          <w:color w:val="auto"/>
        </w:rPr>
        <w:t xml:space="preserve"> </w:t>
      </w:r>
      <w:r>
        <w:rPr>
          <w:rFonts w:ascii="Arial" w:cs="Arial" w:eastAsia="Arial" w:hAnsi="Arial"/>
          <w:sz w:val="17"/>
          <w:szCs w:val="17"/>
          <w:color w:val="auto"/>
        </w:rPr>
        <w:t>the net asset value (NAV) as a practical expedient. It also removes the requirement to make certain disclosures for all investments valued using NAV as a practical expedient. The company adopted this guidance for the year ended December 31, 2015.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right="160"/>
        <w:spacing w:after="0" w:line="259" w:lineRule="auto"/>
        <w:rPr>
          <w:sz w:val="20"/>
          <w:szCs w:val="20"/>
          <w:color w:val="auto"/>
        </w:rPr>
      </w:pPr>
      <w:r>
        <w:rPr>
          <w:rFonts w:ascii="Arial" w:cs="Arial" w:eastAsia="Arial" w:hAnsi="Arial"/>
          <w:sz w:val="18"/>
          <w:szCs w:val="18"/>
          <w:color w:val="auto"/>
        </w:rPr>
        <w:t>The company adopted Part I and Part II of ASU 2015-12 and ASU 2015-07 as it believes it will simplify Plan accounting and its presentation in the financial statements. As such, the accounting and disclosures in these financial statements and related notes follow Part I and Part II of ASU 2015-12 and ASU 2015-07. The guidance was retrospectively applied, and previously reported financial information pertaining to 2014 has been revised to present that information on a comparable basis.</w:t>
      </w:r>
    </w:p>
    <w:p>
      <w:pPr>
        <w:spacing w:after="0" w:line="18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Funding Policy, Contributions, and Plan Transfers</w:t>
      </w:r>
    </w:p>
    <w:p>
      <w:pPr>
        <w:spacing w:after="0" w:line="229" w:lineRule="exact"/>
        <w:rPr>
          <w:rFonts w:ascii="Arial" w:cs="Arial" w:eastAsia="Arial" w:hAnsi="Arial"/>
          <w:sz w:val="18"/>
          <w:szCs w:val="18"/>
          <w:b w:val="1"/>
          <w:bCs w:val="1"/>
          <w:color w:val="auto"/>
        </w:rPr>
      </w:pPr>
    </w:p>
    <w:p>
      <w:pPr>
        <w:jc w:val="both"/>
        <w:ind w:left="50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ESOP portion of the Plan, the Company, at its discretion, may choose to make an annual contribution to a qualified employee’s or participant’s account in the form of Common Stock of the Company. To the extent that a contribution is made for a plan year, it is contributed based on a percentage of the participant’s eligible compensation for the plan year.</w:t>
      </w:r>
    </w:p>
    <w:p>
      <w:pPr>
        <w:spacing w:after="0" w:line="181" w:lineRule="exact"/>
        <w:rPr>
          <w:rFonts w:ascii="Arial" w:cs="Arial" w:eastAsia="Arial" w:hAnsi="Arial"/>
          <w:sz w:val="18"/>
          <w:szCs w:val="18"/>
          <w:b w:val="1"/>
          <w:bCs w:val="1"/>
          <w:color w:val="auto"/>
        </w:rPr>
      </w:pPr>
    </w:p>
    <w:p>
      <w:pPr>
        <w:ind w:left="500" w:right="1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For the profit sharing portion of the Plan, the Company, at its discretion, may choose to make an annual contribution to a qualified employee’s or participant’s account in the form of cash. This contribution is allocated to a participant’s account based on a participant’s allocation of funds under the 401(k) feature. To the extent that a contribution is made for a plan year, it is contributed based on a percentage of the participant’s eligible compensation for the plan year plus a percentage of the participant’s eligible compensation above the Social Security taxable wage base.</w:t>
      </w:r>
    </w:p>
    <w:p>
      <w:pPr>
        <w:spacing w:after="0" w:line="154" w:lineRule="exact"/>
        <w:rPr>
          <w:rFonts w:ascii="Arial" w:cs="Arial" w:eastAsia="Arial" w:hAnsi="Arial"/>
          <w:sz w:val="18"/>
          <w:szCs w:val="18"/>
          <w:b w:val="1"/>
          <w:bCs w:val="1"/>
          <w:color w:val="auto"/>
        </w:rPr>
      </w:pPr>
    </w:p>
    <w:p>
      <w:pPr>
        <w:ind w:left="50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Participants can also elect salary reduction elections under a 401(k) feature and rollover funds from other qualified plans. The Company may, at its discretion, make a matching contribution to employee contributions to the Plan.</w:t>
      </w:r>
    </w:p>
    <w:p>
      <w:pPr>
        <w:spacing w:after="0" w:line="17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Transfers to/from other funds represent participant elected rollovers to/from plans of other employers or other transfers to/from other plans.</w:t>
      </w:r>
    </w:p>
    <w:p>
      <w:pPr>
        <w:spacing w:after="0" w:line="232" w:lineRule="exact"/>
        <w:rPr>
          <w:rFonts w:ascii="Arial" w:cs="Arial" w:eastAsia="Arial" w:hAnsi="Arial"/>
          <w:sz w:val="18"/>
          <w:szCs w:val="18"/>
          <w:b w:val="1"/>
          <w:bCs w:val="1"/>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29" w:lineRule="exact"/>
        <w:rPr>
          <w:rFonts w:ascii="Arial" w:cs="Arial" w:eastAsia="Arial" w:hAnsi="Arial"/>
          <w:sz w:val="18"/>
          <w:szCs w:val="18"/>
          <w:b w:val="1"/>
          <w:bCs w:val="1"/>
          <w:color w:val="auto"/>
        </w:rPr>
      </w:pPr>
    </w:p>
    <w:p>
      <w:pPr>
        <w:ind w:left="50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Trustee and the Company are parties in interest with respect to the Plan. The Plan’s investments are held by the Trustee, and some of the investment funds available to participants include mutual funds managed by the Trustee. Transactions between the Plan and the Trustee are exempt from being considered as “prohibited transactions” under the ERISA Section 408(b).</w:t>
      </w:r>
    </w:p>
    <w:p>
      <w:pPr>
        <w:spacing w:after="0" w:line="181" w:lineRule="exact"/>
        <w:rPr>
          <w:rFonts w:ascii="Arial" w:cs="Arial" w:eastAsia="Arial" w:hAnsi="Arial"/>
          <w:sz w:val="18"/>
          <w:szCs w:val="18"/>
          <w:b w:val="1"/>
          <w:bCs w:val="1"/>
          <w:color w:val="auto"/>
        </w:rPr>
      </w:pPr>
    </w:p>
    <w:p>
      <w:pPr>
        <w:ind w:left="50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December 31, 2015 and 2014, the Plan held 4,386,368 and 5,012,002 shares, respectively, of common stock of The Toro Company, the sponsoring employer, with a cost basis of approximately $80.8 million for both periods. During the year ended December 31, 2015, the Plan recorded The Toro Company common stock dividend income of $3.9 million.</w:t>
      </w:r>
    </w:p>
    <w:p>
      <w:pPr>
        <w:spacing w:after="0" w:line="177" w:lineRule="exact"/>
        <w:rPr>
          <w:rFonts w:ascii="Arial" w:cs="Arial" w:eastAsia="Arial" w:hAnsi="Arial"/>
          <w:sz w:val="18"/>
          <w:szCs w:val="18"/>
          <w:b w:val="1"/>
          <w:bCs w:val="1"/>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ind w:left="50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voluntarily agreed to make contributions to the Plan. Although the Company has not expressed any intent to terminate the Plan, it may do so at any time. Each participant’s interest in the Plan is 100% vested at all times, except for portions vested in a different manner described above. Upon termination of the Plan, interests of active participants in the Plan fully vest.</w:t>
      </w:r>
    </w:p>
    <w:p>
      <w:pPr>
        <w:spacing w:after="0" w:line="177" w:lineRule="exact"/>
        <w:rPr>
          <w:rFonts w:ascii="Arial" w:cs="Arial" w:eastAsia="Arial" w:hAnsi="Arial"/>
          <w:sz w:val="18"/>
          <w:szCs w:val="18"/>
          <w:b w:val="1"/>
          <w:bCs w:val="1"/>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29" w:lineRule="exact"/>
        <w:rPr>
          <w:rFonts w:ascii="Arial" w:cs="Arial" w:eastAsia="Arial" w:hAnsi="Arial"/>
          <w:sz w:val="18"/>
          <w:szCs w:val="18"/>
          <w:b w:val="1"/>
          <w:bCs w:val="1"/>
          <w:color w:val="auto"/>
        </w:rPr>
      </w:pPr>
    </w:p>
    <w:p>
      <w:pPr>
        <w:ind w:left="50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00" w:gutter="0" w:footer="0" w:header="0"/>
        </w:sectPr>
      </w:pPr>
    </w:p>
    <w:bookmarkStart w:id="5" w:name="page6"/>
    <w:bookmarkEnd w:id="5"/>
    <w:p>
      <w:pPr>
        <w:spacing w:after="0" w:line="12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spacing w:after="0" w:line="308" w:lineRule="auto"/>
        <w:rPr>
          <w:sz w:val="20"/>
          <w:szCs w:val="20"/>
          <w:color w:val="auto"/>
        </w:rPr>
      </w:pPr>
      <w:r>
        <w:rPr>
          <w:rFonts w:ascii="Arial" w:cs="Arial" w:eastAsia="Arial" w:hAnsi="Arial"/>
          <w:sz w:val="17"/>
          <w:szCs w:val="17"/>
          <w:color w:val="auto"/>
        </w:rPr>
        <w:t>related to the Master Trust is allocated to the individual plans based upon beginning of the month balances invested in the Plan. Transactions involving Toro Company stock qualify as party-in-interest transactions, which are exempt from the prohibited transaction rules under ERISA.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of Master Trust investments at December 31, 2015 and 2014 were as follows:</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76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274,921,858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288,320,321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Common collective trust funds</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262,001,860</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253,610,711</w:t>
            </w:r>
          </w:p>
        </w:tc>
        <w:tc>
          <w:tcPr>
            <w:tcW w:w="10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3,955,951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2,755,202</w:t>
            </w: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Self-Directed Brokerage</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13,814,321</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10,970,232</w:t>
            </w:r>
          </w:p>
        </w:tc>
        <w:tc>
          <w:tcPr>
            <w:tcW w:w="10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322,340,390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321,857,743</w:t>
            </w:r>
          </w:p>
        </w:tc>
        <w:tc>
          <w:tcPr>
            <w:tcW w:w="100" w:type="dxa"/>
            <w:vAlign w:val="bottom"/>
            <w:shd w:val="clear" w:color="auto" w:fill="CCEEFF"/>
          </w:tcPr>
          <w:p>
            <w:pPr>
              <w:spacing w:after="0"/>
              <w:rPr>
                <w:sz w:val="18"/>
                <w:szCs w:val="18"/>
                <w:color w:val="auto"/>
              </w:rPr>
            </w:pPr>
          </w:p>
        </w:tc>
      </w:tr>
      <w:tr>
        <w:trPr>
          <w:trHeight w:val="250"/>
        </w:trPr>
        <w:tc>
          <w:tcPr>
            <w:tcW w:w="7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Master Trust investments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877,034,380</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877,514,209</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197"/>
        </w:trPr>
        <w:tc>
          <w:tcPr>
            <w:tcW w:w="7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Plan interest in Master Trust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873,090,947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873,531,021</w:t>
            </w:r>
          </w:p>
        </w:tc>
        <w:tc>
          <w:tcPr>
            <w:tcW w:w="100" w:type="dxa"/>
            <w:vAlign w:val="bottom"/>
          </w:tcPr>
          <w:p>
            <w:pPr>
              <w:spacing w:after="0"/>
              <w:rPr>
                <w:sz w:val="20"/>
                <w:szCs w:val="20"/>
                <w:color w:val="auto"/>
              </w:rPr>
            </w:pPr>
          </w:p>
        </w:tc>
      </w:tr>
      <w:tr>
        <w:trPr>
          <w:trHeight w:val="418"/>
        </w:trPr>
        <w:tc>
          <w:tcPr>
            <w:tcW w:w="8000" w:type="dxa"/>
            <w:vAlign w:val="bottom"/>
            <w:gridSpan w:val="2"/>
          </w:tcPr>
          <w:p>
            <w:pPr>
              <w:spacing w:after="0"/>
              <w:rPr>
                <w:sz w:val="20"/>
                <w:szCs w:val="20"/>
                <w:color w:val="auto"/>
              </w:rPr>
            </w:pPr>
            <w:r>
              <w:rPr>
                <w:rFonts w:ascii="Arial" w:cs="Arial" w:eastAsia="Arial" w:hAnsi="Arial"/>
                <w:sz w:val="18"/>
                <w:szCs w:val="18"/>
                <w:color w:val="auto"/>
                <w:w w:val="91"/>
              </w:rPr>
              <w:t>Net investment income for the Master Trust for the years ended December 31, 2015 and 2014 was as follows:</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76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6"/>
        </w:trPr>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realized and unrealized appreciation (depreciation) in fair value of investments:</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(11,478,371)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14,794,371</w:t>
            </w:r>
          </w:p>
        </w:tc>
        <w:tc>
          <w:tcPr>
            <w:tcW w:w="100" w:type="dxa"/>
            <w:vAlign w:val="bottom"/>
          </w:tcPr>
          <w:p>
            <w:pPr>
              <w:spacing w:after="0"/>
              <w:rPr>
                <w:sz w:val="18"/>
                <w:szCs w:val="18"/>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collective trust funds</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(545,909)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11,343,677</w:t>
            </w: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Money Market</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Self-Directed Brokerage</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390,034</w:t>
            </w: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The Toro Company Common Stock</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43,822,076</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912,293</w:t>
            </w:r>
          </w:p>
        </w:tc>
        <w:tc>
          <w:tcPr>
            <w:tcW w:w="100" w:type="dxa"/>
            <w:vAlign w:val="bottom"/>
          </w:tcPr>
          <w:p>
            <w:pPr>
              <w:spacing w:after="0"/>
              <w:rPr>
                <w:sz w:val="18"/>
                <w:szCs w:val="18"/>
                <w:color w:val="auto"/>
              </w:rPr>
            </w:pPr>
          </w:p>
        </w:tc>
      </w:tr>
      <w:tr>
        <w:trPr>
          <w:trHeight w:val="210"/>
        </w:trPr>
        <w:tc>
          <w:tcPr>
            <w:tcW w:w="7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realized and unrealized appreciation</w:t>
            </w: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31,797,933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27,440,375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Dividends and Interest</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17,147,887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16,380,608</w:t>
            </w:r>
          </w:p>
        </w:tc>
        <w:tc>
          <w:tcPr>
            <w:tcW w:w="100" w:type="dxa"/>
            <w:vAlign w:val="bottom"/>
            <w:shd w:val="clear" w:color="auto" w:fill="CCEEFF"/>
          </w:tcPr>
          <w:p>
            <w:pPr>
              <w:spacing w:after="0"/>
              <w:rPr>
                <w:sz w:val="18"/>
                <w:szCs w:val="18"/>
                <w:color w:val="auto"/>
              </w:rPr>
            </w:pPr>
          </w:p>
        </w:tc>
      </w:tr>
      <w:tr>
        <w:trPr>
          <w:trHeight w:val="210"/>
        </w:trPr>
        <w:tc>
          <w:tcPr>
            <w:tcW w:w="7620" w:type="dxa"/>
            <w:vAlign w:val="bottom"/>
          </w:tcPr>
          <w:p>
            <w:pPr>
              <w:ind w:left="360"/>
              <w:spacing w:after="0"/>
              <w:rPr>
                <w:sz w:val="20"/>
                <w:szCs w:val="20"/>
                <w:color w:val="auto"/>
              </w:rPr>
            </w:pPr>
            <w:r>
              <w:rPr>
                <w:rFonts w:ascii="Arial" w:cs="Arial" w:eastAsia="Arial" w:hAnsi="Arial"/>
                <w:sz w:val="18"/>
                <w:szCs w:val="18"/>
                <w:color w:val="auto"/>
              </w:rPr>
              <w:t>Master Trust net investment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48,945,820</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43,820,983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40"/>
        <w:spacing w:after="0" w:line="264" w:lineRule="auto"/>
        <w:rPr>
          <w:sz w:val="20"/>
          <w:szCs w:val="20"/>
          <w:color w:val="auto"/>
        </w:rPr>
      </w:pPr>
      <w:r>
        <w:rPr>
          <w:rFonts w:ascii="Arial" w:cs="Arial" w:eastAsia="Arial" w:hAnsi="Arial"/>
          <w:sz w:val="18"/>
          <w:szCs w:val="18"/>
          <w:color w:val="auto"/>
        </w:rPr>
        <w:t>The Master Trust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jc w:val="both"/>
        <w:ind w:left="1300" w:right="200" w:hanging="647"/>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248" w:lineRule="exact"/>
        <w:rPr>
          <w:sz w:val="20"/>
          <w:szCs w:val="20"/>
          <w:color w:val="auto"/>
        </w:rPr>
      </w:pPr>
    </w:p>
    <w:p>
      <w:pPr>
        <w:ind w:left="500" w:right="80"/>
        <w:spacing w:after="0" w:line="264" w:lineRule="auto"/>
        <w:rPr>
          <w:sz w:val="20"/>
          <w:szCs w:val="20"/>
          <w:color w:val="auto"/>
        </w:rPr>
      </w:pPr>
      <w:r>
        <w:rPr>
          <w:rFonts w:ascii="Arial" w:cs="Arial" w:eastAsia="Arial" w:hAnsi="Arial"/>
          <w:sz w:val="18"/>
          <w:szCs w:val="18"/>
          <w:color w:val="auto"/>
        </w:rPr>
        <w:t>The Master Trust’s investments in money market funds, brokerage, mutual funds, including investments in small, mid and large cap equities, in the United States and internationally, as well as investments in Common Stock of the Company are classified as Level 1 assets in the fair value hierarchy. The Master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Trust’s investments in common collective trust funds are valued using the NAV, as provided by the administrator of the fund.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Master Trust assets measured at fair value as of December 31, 2015 and 2014 are summarized below:</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060" w:type="dxa"/>
            <w:vAlign w:val="bottom"/>
          </w:tcPr>
          <w:p>
            <w:pPr>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5"/>
              </w:rPr>
              <w:t>274,921,858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274,921,858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7"/>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3,955,951</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3,955,951</w:t>
            </w: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Brokerage</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13,814,321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13,814,321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The Toro Company Common Stock</w:t>
            </w:r>
          </w:p>
        </w:tc>
        <w:tc>
          <w:tcPr>
            <w:tcW w:w="24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322,340,390</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322,340,390</w:t>
            </w: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 in fair value hierarchy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5"/>
              </w:rPr>
              <w:t>615,032,520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615,032,520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7"/>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Investments measured at net asset value(a)</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5"/>
              </w:rPr>
              <w:t>262,001,860</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77"/>
              </w:rPr>
              <w:t>—</w:t>
            </w:r>
          </w:p>
        </w:tc>
        <w:tc>
          <w:tcPr>
            <w:tcW w:w="120" w:type="dxa"/>
            <w:vAlign w:val="bottom"/>
            <w:tcBorders>
              <w:bottom w:val="single" w:sz="8" w:color="CCEEFF"/>
            </w:tcBorders>
          </w:tcPr>
          <w:p>
            <w:pPr>
              <w:spacing w:after="0"/>
              <w:rPr>
                <w:sz w:val="18"/>
                <w:szCs w:val="18"/>
                <w:color w:val="auto"/>
              </w:rPr>
            </w:pPr>
          </w:p>
        </w:tc>
      </w:tr>
      <w:tr>
        <w:trPr>
          <w:trHeight w:val="210"/>
        </w:trPr>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5"/>
              </w:rPr>
              <w:t>877,034,380</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615,032,520</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7"/>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4060" w:type="dxa"/>
            <w:vAlign w:val="bottom"/>
          </w:tcPr>
          <w:p>
            <w:pPr>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24"/>
                <w:szCs w:val="24"/>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5"/>
              </w:rPr>
              <w:t>288,320,321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288,320,321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7"/>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2,755,202</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2,755,202</w:t>
            </w: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Brokerage</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10,970,232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10,970,232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The Toro Company Common Stock</w:t>
            </w:r>
          </w:p>
        </w:tc>
        <w:tc>
          <w:tcPr>
            <w:tcW w:w="24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321,857,743</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321,857,743</w:t>
            </w: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 in fair value hierarchy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5"/>
              </w:rPr>
              <w:t>623,903,498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623,903,498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7"/>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Investments measured at net asset value(a)</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5"/>
              </w:rPr>
              <w:t>253,610,711</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77"/>
              </w:rPr>
              <w:t>—</w:t>
            </w:r>
          </w:p>
        </w:tc>
        <w:tc>
          <w:tcPr>
            <w:tcW w:w="120" w:type="dxa"/>
            <w:vAlign w:val="bottom"/>
            <w:tcBorders>
              <w:bottom w:val="single" w:sz="8" w:color="CCEEFF"/>
            </w:tcBorders>
          </w:tcPr>
          <w:p>
            <w:pPr>
              <w:spacing w:after="0"/>
              <w:rPr>
                <w:sz w:val="18"/>
                <w:szCs w:val="18"/>
                <w:color w:val="auto"/>
              </w:rPr>
            </w:pPr>
          </w:p>
        </w:tc>
      </w:tr>
      <w:tr>
        <w:trPr>
          <w:trHeight w:val="210"/>
        </w:trPr>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5"/>
              </w:rPr>
              <w:t>877,514,209</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623,903,498</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7"/>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962" w:orient="portrait"/>
          <w:cols w:equalWidth="0" w:num="1">
            <w:col w:w="11360"/>
          </w:cols>
          <w:pgMar w:left="240" w:top="125" w:right="299" w:bottom="0" w:gutter="0" w:footer="0" w:header="0"/>
        </w:sectPr>
      </w:pPr>
    </w:p>
    <w:p>
      <w:pPr>
        <w:spacing w:after="0" w:line="2" w:lineRule="exact"/>
        <w:rPr>
          <w:sz w:val="20"/>
          <w:szCs w:val="20"/>
          <w:color w:val="auto"/>
        </w:rPr>
      </w:pPr>
    </w:p>
    <w:p>
      <w:pPr>
        <w:ind w:left="980" w:right="80" w:hanging="324"/>
        <w:spacing w:after="0" w:line="342" w:lineRule="auto"/>
        <w:tabs>
          <w:tab w:leader="none" w:pos="97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accordance with Subtopic 820-10, certain investments that were measured at net asset value per share have not been classified in the fair value hierarchy. The Master Trust has the ability to redeem its interest in the investments measured at net asset value in the fair value hierarchy</w:t>
      </w:r>
    </w:p>
    <w:p>
      <w:pPr>
        <w:sectPr>
          <w:pgSz w:w="11900" w:h="16962" w:orient="portrait"/>
          <w:cols w:equalWidth="0" w:num="1">
            <w:col w:w="11360"/>
          </w:cols>
          <w:pgMar w:left="240" w:top="125" w:right="299" w:bottom="0" w:gutter="0" w:footer="0" w:header="0"/>
          <w:type w:val="continuous"/>
        </w:sectPr>
      </w:pPr>
    </w:p>
    <w:bookmarkStart w:id="6" w:name="page7"/>
    <w:bookmarkEnd w:id="6"/>
    <w:p>
      <w:pPr>
        <w:ind w:left="980"/>
        <w:spacing w:after="0"/>
        <w:rPr>
          <w:sz w:val="20"/>
          <w:szCs w:val="20"/>
          <w:color w:val="auto"/>
        </w:rPr>
      </w:pPr>
      <w:r>
        <w:rPr>
          <w:rFonts w:ascii="Arial" w:cs="Arial" w:eastAsia="Arial" w:hAnsi="Arial"/>
          <w:sz w:val="18"/>
          <w:szCs w:val="18"/>
          <w:color w:val="auto"/>
        </w:rPr>
        <w:t>within 90 days of the measurement date with no liquidity restrictions.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transfers between Level 1 and Level 2 during the years ended December 31, 2015 and 2014.</w:t>
      </w:r>
    </w:p>
    <w:p>
      <w:pPr>
        <w:spacing w:after="0" w:line="22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29" w:lineRule="exact"/>
        <w:rPr>
          <w:rFonts w:ascii="Arial" w:cs="Arial" w:eastAsia="Arial" w:hAnsi="Arial"/>
          <w:sz w:val="18"/>
          <w:szCs w:val="18"/>
          <w:b w:val="1"/>
          <w:bCs w:val="1"/>
          <w:color w:val="auto"/>
        </w:rPr>
      </w:pPr>
    </w:p>
    <w:p>
      <w:pPr>
        <w:ind w:left="500" w:right="2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Internal Revenue Service (IRS) has determined and informed the Company by a letter dated October 17, 2013, that the Plan and related trust are designed in accordance with applicable sections of the Internal Revenue Code (IRC). Although the Plan has been amended since receiving the determination letter, the Company, as the administrator of the Plan, believes that the Plan is designed and is currently being operated in compliance with the applicable requirements of the IRC and, therefore, believes that the Plan is qualified and the related trust is tax-exempt.</w:t>
      </w:r>
    </w:p>
    <w:p>
      <w:pPr>
        <w:spacing w:after="0" w:line="154" w:lineRule="exact"/>
        <w:rPr>
          <w:sz w:val="20"/>
          <w:szCs w:val="20"/>
          <w:color w:val="auto"/>
        </w:rPr>
      </w:pPr>
    </w:p>
    <w:p>
      <w:pPr>
        <w:ind w:left="500" w:right="100"/>
        <w:spacing w:after="0" w:line="259" w:lineRule="auto"/>
        <w:rPr>
          <w:sz w:val="20"/>
          <w:szCs w:val="20"/>
          <w:color w:val="auto"/>
        </w:rPr>
      </w:pPr>
      <w:r>
        <w:rPr>
          <w:rFonts w:ascii="Arial" w:cs="Arial" w:eastAsia="Arial" w:hAnsi="Arial"/>
          <w:sz w:val="18"/>
          <w:szCs w:val="18"/>
          <w:color w:val="auto"/>
        </w:rPr>
        <w:t>U.S. GAAP requires the Plan’s sponsor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 The Company believes that the Plan is no longer subject to income tax examinations for years prior to 2012.</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b w:val="1"/>
                <w:bCs w:val="1"/>
                <w:color w:val="auto"/>
                <w:w w:val="84"/>
              </w:rPr>
              <w:t>Schedule 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040" w:type="dxa"/>
            <w:vAlign w:val="bottom"/>
            <w:gridSpan w:val="4"/>
          </w:tcPr>
          <w:p>
            <w:pPr>
              <w:jc w:val="center"/>
              <w:ind w:right="1440"/>
              <w:spacing w:after="0"/>
              <w:rPr>
                <w:sz w:val="20"/>
                <w:szCs w:val="20"/>
                <w:color w:val="auto"/>
              </w:rPr>
            </w:pPr>
            <w:r>
              <w:rPr>
                <w:rFonts w:ascii="Arial" w:cs="Arial" w:eastAsia="Arial" w:hAnsi="Arial"/>
                <w:sz w:val="18"/>
                <w:szCs w:val="18"/>
                <w:b w:val="1"/>
                <w:bCs w:val="1"/>
                <w:color w:val="auto"/>
              </w:rPr>
              <w:t>THE TORO COMPANY INVESTMENT, SAVINGS,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040" w:type="dxa"/>
            <w:vAlign w:val="bottom"/>
            <w:gridSpan w:val="4"/>
          </w:tcPr>
          <w:p>
            <w:pPr>
              <w:jc w:val="center"/>
              <w:ind w:right="1440"/>
              <w:spacing w:after="0"/>
              <w:rPr>
                <w:sz w:val="20"/>
                <w:szCs w:val="20"/>
                <w:color w:val="auto"/>
              </w:rPr>
            </w:pPr>
            <w:r>
              <w:rPr>
                <w:rFonts w:ascii="Arial" w:cs="Arial" w:eastAsia="Arial" w:hAnsi="Arial"/>
                <w:sz w:val="18"/>
                <w:szCs w:val="18"/>
                <w:b w:val="1"/>
                <w:bCs w:val="1"/>
                <w:color w:val="auto"/>
              </w:rPr>
              <w:t>AND EMPLOYEE STOCK OWNERSHIP PLAN</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0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Schedule H, line 4i — Schedule of Assets (Held at End of the Year)</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040" w:type="dxa"/>
            <w:vAlign w:val="bottom"/>
            <w:gridSpan w:val="4"/>
          </w:tcPr>
          <w:p>
            <w:pPr>
              <w:jc w:val="center"/>
              <w:ind w:right="1460"/>
              <w:spacing w:after="0"/>
              <w:rPr>
                <w:sz w:val="20"/>
                <w:szCs w:val="20"/>
                <w:color w:val="auto"/>
              </w:rPr>
            </w:pPr>
            <w:r>
              <w:rPr>
                <w:rFonts w:ascii="Arial" w:cs="Arial" w:eastAsia="Arial" w:hAnsi="Arial"/>
                <w:sz w:val="18"/>
                <w:szCs w:val="18"/>
                <w:color w:val="auto"/>
                <w:w w:val="89"/>
              </w:rPr>
              <w:t>December 31, 2015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2"/>
          </w:tcPr>
          <w:p>
            <w:pPr>
              <w:ind w:left="5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Current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Plan’s interest in Master Trust</w:t>
            </w:r>
          </w:p>
        </w:tc>
        <w:tc>
          <w:tcPr>
            <w:tcW w:w="5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873,090,947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Notes receivable from participants*</w:t>
            </w:r>
          </w:p>
        </w:tc>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27,496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873,118,443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*Party-in-interest as defined by ERISA. 3 loans outstanding with 5 year terms and interest rates of 4.25%.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200" w:right="260" w:firstLine="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2"/>
          </w:tcPr>
          <w:p>
            <w:pPr>
              <w:ind w:left="4020"/>
              <w:spacing w:after="0"/>
              <w:rPr>
                <w:sz w:val="20"/>
                <w:szCs w:val="20"/>
                <w:color w:val="auto"/>
              </w:rPr>
            </w:pPr>
            <w:r>
              <w:rPr>
                <w:rFonts w:ascii="Arial" w:cs="Arial" w:eastAsia="Arial" w:hAnsi="Arial"/>
                <w:sz w:val="18"/>
                <w:szCs w:val="18"/>
                <w:color w:val="auto"/>
              </w:rPr>
              <w:t>The Toro Company Investment, Savings,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20" w:type="dxa"/>
            <w:vAlign w:val="bottom"/>
            <w:gridSpan w:val="2"/>
          </w:tcPr>
          <w:p>
            <w:pPr>
              <w:ind w:left="4020"/>
              <w:spacing w:after="0"/>
              <w:rPr>
                <w:sz w:val="20"/>
                <w:szCs w:val="20"/>
                <w:color w:val="auto"/>
              </w:rPr>
            </w:pPr>
            <w:r>
              <w:rPr>
                <w:rFonts w:ascii="Arial" w:cs="Arial" w:eastAsia="Arial" w:hAnsi="Arial"/>
                <w:sz w:val="18"/>
                <w:szCs w:val="18"/>
                <w:color w:val="auto"/>
              </w:rPr>
              <w:t>Employee Stock Ownership Plan</w:t>
            </w:r>
          </w:p>
        </w:tc>
        <w:tc>
          <w:tcPr>
            <w:tcW w:w="40" w:type="dxa"/>
            <w:vAlign w:val="bottom"/>
          </w:tcPr>
          <w:p>
            <w:pPr>
              <w:spacing w:after="0"/>
              <w:rPr>
                <w:sz w:val="20"/>
                <w:szCs w:val="20"/>
                <w:color w:val="auto"/>
              </w:rPr>
            </w:pPr>
          </w:p>
        </w:tc>
      </w:tr>
      <w:tr>
        <w:trPr>
          <w:trHeight w:val="648"/>
        </w:trPr>
        <w:tc>
          <w:tcPr>
            <w:tcW w:w="1700" w:type="dxa"/>
            <w:vAlign w:val="bottom"/>
            <w:gridSpan w:val="4"/>
          </w:tcPr>
          <w:p>
            <w:pPr>
              <w:spacing w:after="0"/>
              <w:rPr>
                <w:sz w:val="20"/>
                <w:szCs w:val="20"/>
                <w:color w:val="auto"/>
              </w:rPr>
            </w:pPr>
            <w:r>
              <w:rPr>
                <w:rFonts w:ascii="Arial" w:cs="Arial" w:eastAsia="Arial" w:hAnsi="Arial"/>
                <w:sz w:val="18"/>
                <w:szCs w:val="18"/>
                <w:color w:val="auto"/>
              </w:rPr>
              <w:t>Date: June 27, 2016</w:t>
            </w:r>
          </w:p>
        </w:tc>
        <w:tc>
          <w:tcPr>
            <w:tcW w:w="9720" w:type="dxa"/>
            <w:vAlign w:val="bottom"/>
            <w:gridSpan w:val="2"/>
          </w:tcPr>
          <w:p>
            <w:pPr>
              <w:ind w:left="402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20" w:type="dxa"/>
            <w:vAlign w:val="bottom"/>
          </w:tcPr>
          <w:p>
            <w:pPr>
              <w:ind w:left="4020"/>
              <w:spacing w:after="0" w:line="182" w:lineRule="exact"/>
              <w:rPr>
                <w:sz w:val="20"/>
                <w:szCs w:val="20"/>
                <w:color w:val="auto"/>
              </w:rPr>
            </w:pPr>
            <w:r>
              <w:rPr>
                <w:rFonts w:ascii="Arial" w:cs="Arial" w:eastAsia="Arial" w:hAnsi="Arial"/>
                <w:sz w:val="18"/>
                <w:szCs w:val="18"/>
                <w:color w:val="auto"/>
                <w:w w:val="71"/>
              </w:rPr>
              <w:t>Renee</w:t>
            </w:r>
          </w:p>
        </w:tc>
        <w:tc>
          <w:tcPr>
            <w:tcW w:w="530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2"/>
          </w:tcPr>
          <w:p>
            <w:pPr>
              <w:ind w:left="402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2"/>
          </w:tcPr>
          <w:p>
            <w:pPr>
              <w:ind w:left="40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20" w:type="dxa"/>
            <w:vAlign w:val="bottom"/>
            <w:gridSpan w:val="2"/>
          </w:tcPr>
          <w:p>
            <w:pPr>
              <w:ind w:left="4020"/>
              <w:spacing w:after="0"/>
              <w:rPr>
                <w:sz w:val="20"/>
                <w:szCs w:val="20"/>
                <w:color w:val="auto"/>
              </w:rPr>
            </w:pPr>
            <w:r>
              <w:rPr>
                <w:rFonts w:ascii="Arial" w:cs="Arial" w:eastAsia="Arial" w:hAnsi="Arial"/>
                <w:sz w:val="18"/>
                <w:szCs w:val="18"/>
                <w:color w:val="auto"/>
              </w:rPr>
              <w:t>of The Toro Company</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ind w:left="3920"/>
              <w:spacing w:after="0"/>
              <w:rPr>
                <w:sz w:val="20"/>
                <w:szCs w:val="20"/>
                <w:color w:val="auto"/>
              </w:rPr>
            </w:pPr>
            <w:r>
              <w:rPr>
                <w:rFonts w:ascii="Arial" w:cs="Arial" w:eastAsia="Arial" w:hAnsi="Arial"/>
                <w:sz w:val="18"/>
                <w:szCs w:val="18"/>
                <w:color w:val="auto"/>
              </w:rPr>
              <w:t>11</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42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7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20" w:type="dxa"/>
            <w:vAlign w:val="bottom"/>
            <w:gridSpan w:val="2"/>
          </w:tcPr>
          <w:p>
            <w:pPr>
              <w:ind w:left="348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Exhibit Number</w:t>
            </w:r>
          </w:p>
        </w:tc>
        <w:tc>
          <w:tcPr>
            <w:tcW w:w="4420" w:type="dxa"/>
            <w:vAlign w:val="bottom"/>
          </w:tcPr>
          <w:p>
            <w:pPr>
              <w:spacing w:after="0"/>
              <w:rPr>
                <w:sz w:val="24"/>
                <w:szCs w:val="24"/>
                <w:color w:val="auto"/>
              </w:rPr>
            </w:pPr>
          </w:p>
        </w:tc>
        <w:tc>
          <w:tcPr>
            <w:tcW w:w="5300" w:type="dxa"/>
            <w:vAlign w:val="bottom"/>
          </w:tcPr>
          <w:p>
            <w:pPr>
              <w:ind w:left="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-1048385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-1048385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285" w:gutter="0" w:footer="0" w:header="0"/>
        </w:sectPr>
      </w:pP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285"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(Nos. 033-59563, 333-11860, 333-100004, and 333-119504) on Form S-8 of The Toro Company, of our report dated June 27, 2016, with respect to the statements of net assets available for benefits of The Toro Company Investment, Savings, and Employee Stock Ownership Plan as of December 31, 2015 and 2014, and the related statements of changes in net assets available for benefits for the years then ended, and the supplemental Schedule H, line 4i - Schedule of Assets (Held at End of Year) as of December 31, 2015, which report appears in the December 31, 2015 annual report on Form 11-K of The Toro Company Investment, Savings, and Employee Stock Ownership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lvl w:ilvl="1">
      <w:lvlJc w:val="left"/>
      <w:lvlText w:val="%2)"/>
      <w:numFmt w:val="lowerLetter"/>
      <w:start w:val="1"/>
    </w:lvl>
  </w:abstractNum>
  <w:abstractNum w:abstractNumId="4">
    <w:nsid w:val="79E2A9E3"/>
    <w:multiLevelType w:val="hybridMultilevel"/>
    <w:lvl w:ilvl="0">
      <w:lvlJc w:val="left"/>
      <w:lvlText w:val="%1)"/>
      <w:numFmt w:val="lowerLetter"/>
      <w:start w:val="3"/>
    </w:lvl>
  </w:abstractNum>
  <w:abstractNum w:abstractNumId="5">
    <w:nsid w:val="7545E146"/>
    <w:multiLevelType w:val="hybridMultilevel"/>
    <w:lvl w:ilvl="0">
      <w:lvlJc w:val="left"/>
      <w:lvlText w:val="%1)"/>
      <w:numFmt w:val="lowerLetter"/>
      <w:start w:val="5"/>
    </w:lvl>
  </w:abstractNum>
  <w:abstractNum w:abstractNumId="6">
    <w:nsid w:val="515F007C"/>
    <w:multiLevelType w:val="hybridMultilevel"/>
    <w:lvl w:ilvl="0">
      <w:lvlJc w:val="left"/>
      <w:lvlText w:val="%1)"/>
      <w:numFmt w:val="lowerLetter"/>
      <w:start w:val="6"/>
    </w:lvl>
  </w:abstractNum>
  <w:abstractNum w:abstractNumId="7">
    <w:nsid w:val="5BD062C2"/>
    <w:multiLevelType w:val="hybridMultilevel"/>
    <w:lvl w:ilvl="0">
      <w:lvlJc w:val="left"/>
      <w:lvlText w:val="(%1)"/>
      <w:numFmt w:val="decimal"/>
      <w:start w:val="3"/>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2019-12-05T16:33:10Z</dcterms:created>
  <dcterms:modified xsi:type="dcterms:W3CDTF">2019-12-05T16:33:10Z</dcterms:modified>
</cp:coreProperties>
</file>