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82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8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Residential &amp; LCB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28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08/24/2009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5,800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8.4063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43,672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08/24/2009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1,271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42,401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08/24/2009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1,017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41,384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08/26/2009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5,629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37.4334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35,755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6,680.637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 xml:space="preserve">Common   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94"/>
                <w:vertAlign w:val="subscript"/>
              </w:rPr>
              <w:t>5,800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8.4063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5,800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12/05/2000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12/03/2010</w:t>
            </w: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Includes 33.619 shares of common stock acquired by the reporting person under the dividend reinvestment feature of The Toro Company Investment, Savings &amp; ESOP since the date of his last report.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08/26/2009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2019-12-16T23:10:31Z</dcterms:created>
  <dcterms:modified xsi:type="dcterms:W3CDTF">2019-12-16T23:10:31Z</dcterms:modified>
</cp:coreProperties>
</file>