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03/15/2012</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Pr>
          <w:p>
            <w:pPr>
              <w:ind w:left="140"/>
              <w:spacing w:after="0"/>
              <w:rPr>
                <w:sz w:val="20"/>
                <w:szCs w:val="20"/>
                <w:color w:val="auto"/>
              </w:rPr>
            </w:pPr>
            <w:r>
              <w:rPr>
                <w:rFonts w:ascii="Arial" w:cs="Arial" w:eastAsia="Arial" w:hAnsi="Arial"/>
                <w:sz w:val="18"/>
                <w:szCs w:val="18"/>
                <w:color w:val="0000FF"/>
              </w:rPr>
              <w:t>1,000</w:t>
            </w:r>
          </w:p>
        </w:tc>
        <w:tc>
          <w:tcPr>
            <w:tcW w:w="500" w:type="dxa"/>
            <w:vAlign w:val="bottom"/>
          </w:tcPr>
          <w:p>
            <w:pPr>
              <w:ind w:left="160"/>
              <w:spacing w:after="0"/>
              <w:rPr>
                <w:sz w:val="20"/>
                <w:szCs w:val="20"/>
                <w:color w:val="auto"/>
              </w:rPr>
            </w:pPr>
            <w:r>
              <w:rPr>
                <w:rFonts w:ascii="Arial" w:cs="Arial" w:eastAsia="Arial" w:hAnsi="Arial"/>
                <w:sz w:val="18"/>
                <w:szCs w:val="18"/>
                <w:color w:val="0000FF"/>
              </w:rPr>
              <w:t>D</w:t>
            </w:r>
          </w:p>
        </w:tc>
        <w:tc>
          <w:tcPr>
            <w:tcW w:w="2020" w:type="dxa"/>
            <w:vAlign w:val="bottom"/>
            <w:gridSpan w:val="5"/>
          </w:tcPr>
          <w:p>
            <w:pPr>
              <w:jc w:val="right"/>
              <w:ind w:right="159"/>
              <w:spacing w:after="0" w:line="217" w:lineRule="exact"/>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71.775</w:t>
            </w:r>
            <w:r>
              <w:rPr>
                <w:rFonts w:ascii="Arial" w:cs="Arial" w:eastAsia="Arial" w:hAnsi="Arial"/>
                <w:sz w:val="22"/>
                <w:szCs w:val="22"/>
                <w:color w:val="008000"/>
                <w:w w:val="88"/>
                <w:vertAlign w:val="superscript"/>
              </w:rPr>
              <w:t>(1)</w:t>
            </w:r>
            <w:r>
              <w:rPr>
                <w:rFonts w:ascii="Arial" w:cs="Arial" w:eastAsia="Arial" w:hAnsi="Arial"/>
                <w:sz w:val="18"/>
                <w:szCs w:val="18"/>
                <w:color w:val="auto"/>
                <w:w w:val="88"/>
              </w:rPr>
              <w:t xml:space="preserve">    </w:t>
            </w:r>
            <w:r>
              <w:rPr>
                <w:rFonts w:ascii="Arial" w:cs="Arial" w:eastAsia="Arial" w:hAnsi="Arial"/>
                <w:sz w:val="18"/>
                <w:szCs w:val="18"/>
                <w:color w:val="0000FF"/>
                <w:w w:val="88"/>
              </w:rPr>
              <w:t>6,154.339</w:t>
            </w:r>
            <w:r>
              <w:rPr>
                <w:rFonts w:ascii="Arial" w:cs="Arial" w:eastAsia="Arial" w:hAnsi="Arial"/>
                <w:sz w:val="22"/>
                <w:szCs w:val="22"/>
                <w:color w:val="008000"/>
                <w:w w:val="88"/>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0000FF"/>
              </w:rPr>
              <w:t>2,021.307</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0000FF"/>
              </w:rPr>
              <w:t>2,093.286</w:t>
            </w:r>
            <w:r>
              <w:rPr>
                <w:rFonts w:ascii="Arial" w:cs="Arial" w:eastAsia="Arial" w:hAnsi="Arial"/>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of common stock were sold in multiple transactions. The reporting person undertakes to provide to The Toro Company, any security holder of The Toro Company, or the staff of the Securities and Exchange Commission, upon request, full information regarding the number of shares sold and the prices at which sold.</w:t>
      </w: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24.618 shares acquired under the dividend reinvestment feature of The Toro Company Investment, Savings &amp; ESOP (IS&amp;ESOP); and 51.472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7.017 shares acquired by the reporting person since the date of his last report under The Toro Company Dividend Reinvestment Plan (the "DRIP") on 2,014.290 shares of restricted stock and related DRIP shares. The restricted stock and all related DRIP shares vest in full on the third anniversary of the date of grant, which was March 30, 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7.252 performance share units acquired by the reporting person under the dividend reinvestment feature of the Deferred Plan since the date of his last report.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2019-12-17T01:35:45Z</dcterms:created>
  <dcterms:modified xsi:type="dcterms:W3CDTF">2019-12-17T01:35:45Z</dcterms:modified>
</cp:coreProperties>
</file>