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-624840</wp:posOffset>
            </wp:positionV>
            <wp:extent cx="57785" cy="638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3979545</wp:posOffset>
            </wp:positionH>
            <wp:positionV relativeFrom="paragraph">
              <wp:posOffset>-624840</wp:posOffset>
            </wp:positionV>
            <wp:extent cx="57785" cy="638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741680</wp:posOffset>
            </wp:positionV>
            <wp:extent cx="6993890" cy="59810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981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138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Svendsen Kurt D</w:t>
        </w:r>
      </w:hyperlink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TTC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12/23/2024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2" w:right="640" w:firstLine="2"/>
        <w:spacing w:after="0" w:line="257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8"/>
        <w:spacing w:after="0"/>
        <w:tabs>
          <w:tab w:leader="none" w:pos="209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18"/>
        <w:spacing w:after="0"/>
        <w:tabs>
          <w:tab w:leader="none" w:pos="209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5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VP, Technology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2" w:space="720"/>
            <w:col w:w="3358"/>
          </w:cols>
          <w:pgMar w:left="460" w:top="217" w:right="359" w:bottom="1138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10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55420-1196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2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Form filed by One Reporting 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2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Beneficially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11,227.86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11,248.306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Performance Share Units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5,812.852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86.02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12/23/2024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5,647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12/23/2034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5,647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5,647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927.664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ind w:right="14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927.664</w:t>
            </w:r>
          </w:p>
        </w:tc>
        <w:tc>
          <w:tcPr>
            <w:tcW w:w="540" w:type="dxa"/>
            <w:vAlign w:val="bottom"/>
          </w:tcPr>
          <w:p>
            <w:pPr>
              <w:ind w:left="3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-2446655</wp:posOffset>
            </wp:positionV>
            <wp:extent cx="29210" cy="24517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51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in three equal annual installments commencing on the first anniversary of the December 23, 2024 grant date.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TTC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and related dividend equivalents vest and become non-forfeitable in three equal annual installments commencing on the first anniversary of the March 1, 2023 grant date.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Joanna M. Totsky,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12/23/2024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423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2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-20955</wp:posOffset>
            </wp:positionV>
            <wp:extent cx="3009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5581650</wp:posOffset>
            </wp:positionH>
            <wp:positionV relativeFrom="paragraph">
              <wp:posOffset>-86360</wp:posOffset>
            </wp:positionV>
            <wp:extent cx="4838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2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138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81944" TargetMode="External"/><Relationship Id="rId14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2024-12-23T12:03:07Z</dcterms:created>
  <dcterms:modified xsi:type="dcterms:W3CDTF">2024-12-23T12:03:07Z</dcterms:modified>
</cp:coreProperties>
</file>