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12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6"/>
          <w:szCs w:val="16"/>
          <w:color w:val="0000FF"/>
        </w:rPr>
        <w:t>VP, Contractor Business &amp; CIO</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12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12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12/06/2011</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1,350</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00" w:type="dxa"/>
            <w:vAlign w:val="bottom"/>
            <w:tcBorders>
              <w:bottom w:val="single" w:sz="8" w:color="2C2C2C"/>
            </w:tcBorders>
          </w:tcPr>
          <w:p>
            <w:pPr>
              <w:jc w:val="center"/>
              <w:ind w:right="1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22,872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12/06/2011</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32"/>
              <w:spacing w:after="0"/>
              <w:rPr>
                <w:sz w:val="20"/>
                <w:szCs w:val="20"/>
                <w:color w:val="auto"/>
              </w:rPr>
            </w:pPr>
            <w:r>
              <w:rPr>
                <w:rFonts w:ascii="Arial" w:cs="Arial" w:eastAsia="Arial" w:hAnsi="Arial"/>
                <w:sz w:val="18"/>
                <w:szCs w:val="18"/>
                <w:color w:val="0000FF"/>
              </w:rPr>
              <w:t>442</w:t>
            </w:r>
          </w:p>
        </w:tc>
        <w:tc>
          <w:tcPr>
            <w:tcW w:w="6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56.88</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22,430</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2,074.23</w:t>
            </w:r>
            <w:r>
              <w:rPr>
                <w:rFonts w:ascii="Arial" w:cs="Arial" w:eastAsia="Arial" w:hAnsi="Arial"/>
                <w:sz w:val="22"/>
                <w:szCs w:val="22"/>
                <w:color w:val="008000"/>
                <w:w w:val="84"/>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13,213.845</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56.45</w:t>
            </w:r>
          </w:p>
        </w:tc>
        <w:tc>
          <w:tcPr>
            <w:tcW w:w="1140" w:type="dxa"/>
            <w:vAlign w:val="bottom"/>
          </w:tcPr>
          <w:p>
            <w:pPr>
              <w:ind w:left="260"/>
              <w:spacing w:after="0"/>
              <w:rPr>
                <w:sz w:val="20"/>
                <w:szCs w:val="20"/>
                <w:color w:val="auto"/>
              </w:rPr>
            </w:pPr>
            <w:r>
              <w:rPr>
                <w:rFonts w:ascii="Arial" w:cs="Arial" w:eastAsia="Arial" w:hAnsi="Arial"/>
                <w:sz w:val="14"/>
                <w:szCs w:val="14"/>
                <w:color w:val="0000FF"/>
              </w:rPr>
              <w:t>12/07/2011</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A</w:t>
            </w:r>
          </w:p>
        </w:tc>
        <w:tc>
          <w:tcPr>
            <w:tcW w:w="44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0000FF"/>
              </w:rPr>
              <w:t>7,200</w:t>
            </w:r>
          </w:p>
        </w:tc>
        <w:tc>
          <w:tcPr>
            <w:tcW w:w="300" w:type="dxa"/>
            <w:vAlign w:val="bottom"/>
          </w:tcPr>
          <w:p>
            <w:pPr>
              <w:spacing w:after="0"/>
              <w:rPr>
                <w:sz w:val="17"/>
                <w:szCs w:val="17"/>
                <w:color w:val="auto"/>
              </w:rPr>
            </w:pPr>
          </w:p>
        </w:tc>
        <w:tc>
          <w:tcPr>
            <w:tcW w:w="820" w:type="dxa"/>
            <w:vAlign w:val="bottom"/>
          </w:tcPr>
          <w:p>
            <w:pPr>
              <w:ind w:left="320"/>
              <w:spacing w:after="0"/>
              <w:rPr>
                <w:sz w:val="20"/>
                <w:szCs w:val="20"/>
                <w:color w:val="auto"/>
              </w:rPr>
            </w:pPr>
            <w:r>
              <w:rPr>
                <w:rFonts w:ascii="Arial" w:cs="Arial" w:eastAsia="Arial" w:hAnsi="Arial"/>
                <w:sz w:val="11"/>
                <w:szCs w:val="11"/>
                <w:color w:val="008000"/>
              </w:rPr>
              <w:t>(4)</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12/07/2021</w:t>
            </w:r>
          </w:p>
        </w:tc>
        <w:tc>
          <w:tcPr>
            <w:tcW w:w="660" w:type="dxa"/>
            <w:vAlign w:val="bottom"/>
          </w:tcPr>
          <w:p>
            <w:pPr>
              <w:ind w:left="80"/>
              <w:spacing w:after="0"/>
              <w:rPr>
                <w:sz w:val="20"/>
                <w:szCs w:val="20"/>
                <w:color w:val="auto"/>
              </w:rPr>
            </w:pPr>
            <w:r>
              <w:rPr>
                <w:rFonts w:ascii="Arial" w:cs="Arial" w:eastAsia="Arial" w:hAnsi="Arial"/>
                <w:sz w:val="14"/>
                <w:szCs w:val="14"/>
                <w:color w:val="0000FF"/>
                <w:w w:val="98"/>
              </w:rPr>
              <w:t>Common</w:t>
            </w:r>
          </w:p>
        </w:tc>
        <w:tc>
          <w:tcPr>
            <w:tcW w:w="600" w:type="dxa"/>
            <w:vAlign w:val="bottom"/>
          </w:tcPr>
          <w:p>
            <w:pPr>
              <w:ind w:left="100"/>
              <w:spacing w:after="0" w:line="200" w:lineRule="exact"/>
              <w:rPr>
                <w:sz w:val="20"/>
                <w:szCs w:val="20"/>
                <w:color w:val="auto"/>
              </w:rPr>
            </w:pPr>
            <w:r>
              <w:rPr>
                <w:rFonts w:ascii="Arial" w:cs="Arial" w:eastAsia="Arial" w:hAnsi="Arial"/>
                <w:sz w:val="18"/>
                <w:szCs w:val="18"/>
                <w:color w:val="0000FF"/>
              </w:rPr>
              <w:t>7,200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tcPr>
          <w:p>
            <w:pPr>
              <w:ind w:left="300"/>
              <w:spacing w:after="0"/>
              <w:rPr>
                <w:sz w:val="20"/>
                <w:szCs w:val="20"/>
                <w:color w:val="auto"/>
              </w:rPr>
            </w:pPr>
            <w:r>
              <w:rPr>
                <w:rFonts w:ascii="Arial" w:cs="Arial" w:eastAsia="Arial" w:hAnsi="Arial"/>
                <w:sz w:val="14"/>
                <w:szCs w:val="14"/>
                <w:color w:val="0000FF"/>
              </w:rPr>
              <w:t>7,200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center"/>
              <w:spacing w:after="0" w:line="110" w:lineRule="exact"/>
              <w:rPr>
                <w:sz w:val="20"/>
                <w:szCs w:val="20"/>
                <w:color w:val="auto"/>
              </w:rPr>
            </w:pPr>
            <w:r>
              <w:rPr>
                <w:rFonts w:ascii="Arial" w:cs="Arial" w:eastAsia="Arial" w:hAnsi="Arial"/>
                <w:sz w:val="12"/>
                <w:szCs w:val="12"/>
                <w:color w:val="0000FF"/>
              </w:rPr>
              <w:t>Stock</w:t>
            </w: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 Performance Share Award for the Fiscal 2009 to Fiscal 2011 Performance Period under The Toro Company Performance Share Plan (the "PSP"), as approved by the registrant's Compensation &amp; Human Resources Committee of its Board of Directors and conditioned upon and subject to confirmation by the registrant's Fiscal 2011 financial results released on December 6, 2011. Performance Share Awards are paid in shares of common stock under the PSP.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14.646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93.441 performance share units acquired by the reporting person under the dividend reinvestment feature of The Toro Company Deferred Compensation Plan for Officers since the date of his last report.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12/08/2011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1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2019-12-17T00:17:55Z</dcterms:created>
  <dcterms:modified xsi:type="dcterms:W3CDTF">2019-12-17T00:17:55Z</dcterms:modified>
</cp:coreProperties>
</file>